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CONFIDENTIAL  |  FOR: DAVID HOUSLER, INNERCODE R&amp;D PTY LTD</w:t>
      </w:r>
    </w:p>
    <w:p>
      <w:pPr>
        <w:pBdr>
          <w:bottom w:val="single" w:color="1F4E79" w:sz="14" w:space="1"/>
        </w:pBdr>
        <w:spacing w:after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Zemi7 R&amp;D Tax Incentive — Submission Briefing Package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2"/>
        <w:gridCol w:w="2200"/>
        <w:gridCol w:w="2412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Zemi7 Pty Ltd  |  ABN: 54 664 363 277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Innercode Ref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ZEM-01</w:t>
            </w:r>
          </w:p>
        </w:tc>
      </w:tr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Contractor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Timothy Dwyer  |  TKD Research &amp; Consulting  |  ABN: 670 960 586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Income Year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FY2025-2026</w:t>
            </w:r>
          </w:p>
        </w:tc>
      </w:tr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Period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May 2026 – 30 June 2026  (61 days)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Claim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$175,680 ex-GST  |  732 hours @ $240/hr</w:t>
            </w:r>
          </w:p>
        </w:tc>
      </w:tr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Accountant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Nisho Sadeque  |  Hannan Accounting  |  nisho@hannantax.com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ATO Context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review notice received 30 April 2026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of This Package</w:t>
      </w:r>
    </w:p>
    <w:p>
      <w:pPr>
        <w:spacing w:after="80" w:before="60"/>
      </w:pPr>
      <w:r>
        <w:rPr>
          <w:rFonts w:ascii="Arial" w:cs="Arial" w:eastAsia="Arial" w:hAnsi="Arial"/>
          <w:sz w:val="19"/>
          <w:szCs w:val="19"/>
        </w:rPr>
        <w:t xml:space="preserve">This briefing package is prepared by Timothy Dwyer (TKD Research and Consulting) for David Housler at Innercode R&amp;D Pty Ltd in support of the ZEM-01 R&amp;D Tax Incentive submission for FY2025-2026. It summarises the two core R&amp;D activities, the experimental outcomes, and the contemporaneous evidence records now available to substantiate the claim under Section 355, ITAA 1997.</w:t>
      </w:r>
    </w:p>
    <w:p>
      <w:pPr>
        <w:spacing w:after="80" w:before="60"/>
      </w:pPr>
      <w:r>
        <w:rPr>
          <w:rFonts w:ascii="Arial" w:cs="Arial" w:eastAsia="Arial" w:hAnsi="Arial"/>
          <w:sz w:val="19"/>
          <w:szCs w:val="19"/>
        </w:rPr>
        <w:t xml:space="preserve">The ATO issued a compliance review notice to Zemi7 Pty Ltd on 30 April 2026 in relation to a prior claim. The record package described here has been structured specifically to address the ATO concerns raised in that notice.</w:t>
      </w:r>
    </w:p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Core Activities — Summary of Outcomes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Activity 1 — 3D Magnetic Sensor Production-Readiness</w:t>
      </w:r>
    </w:p>
    <w:p>
      <w:pPr>
        <w:spacing w:after="80" w:before="60"/>
      </w:pPr>
      <w:r>
        <w:rPr>
          <w:rFonts w:ascii="Arial" w:cs="Arial" w:eastAsia="Arial" w:hAnsi="Arial"/>
          <w:sz w:val="19"/>
          <w:szCs w:val="19"/>
        </w:rPr>
        <w:t xml:space="preserve">Hardware: ESP32-S3 + Melexis MLX90393  |  Production Firmware: D+V3.2-PROD</w:t>
      </w:r>
    </w:p>
    <w:p>
      <w:pPr>
        <w:spacing w:after="80" w:before="60"/>
      </w:pPr>
      <w:r>
        <w:rPr>
          <w:rFonts w:ascii="Arial" w:cs="Arial" w:eastAsia="Arial" w:hAnsi="Arial"/>
          <w:sz w:val="19"/>
          <w:szCs w:val="19"/>
        </w:rPr>
        <w:t xml:space="preserve">Knowledge gap: Whether custom firmware noise-filtering could achieve &gt;=95% pairing success and &lt;2% false-positive rate in a real-world multi-device Gen Alpha environment — not determinable from published literature or prior professional experience.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24"/>
        <w:gridCol w:w="38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Hypothesis</w:t>
            </w:r>
          </w:p>
        </w:tc>
        <w:tc>
          <w:tcPr>
            <w:tcW w:type="dxa" w:w="302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Pairing success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&gt;=95% at 0–1m, multi-device, real-world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96.5% in active playground (D+V3.2), 100% classroom 12-unit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— False positive rate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&lt;2% in 10-device concurrent test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0.0% across 450 EMI injections and 200 dynamic playground attempts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— BOM costing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 per-unit cost at 500-unit scale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CONFIRMED: BOM v1.0 finalised with two qualified suppliers per component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Additional: IP67 validated via NATA-accredited laboratory. AS/NZS 8124 child-safety compliance confirmed. Production firmware locked: D+V3.2-PROD.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Activity 2 — Inductive Magnetic Charging Solution</w:t>
      </w:r>
    </w:p>
    <w:p>
      <w:pPr>
        <w:spacing w:after="80" w:before="60"/>
      </w:pPr>
      <w:r>
        <w:rPr>
          <w:rFonts w:ascii="Arial" w:cs="Arial" w:eastAsia="Arial" w:hAnsi="Arial"/>
          <w:sz w:val="19"/>
          <w:szCs w:val="19"/>
        </w:rPr>
        <w:t xml:space="preserve">Hardware: TI BQ500212A (TX) + TI BQ51050B (RX) + NTC Thermistor + MLX90393  |  Production Firmware: S3+X3-PROD</w:t>
      </w:r>
    </w:p>
    <w:p>
      <w:pPr>
        <w:spacing w:after="80" w:before="60"/>
      </w:pPr>
      <w:r>
        <w:rPr>
          <w:rFonts w:ascii="Arial" w:cs="Arial" w:eastAsia="Arial" w:hAnsi="Arial"/>
          <w:sz w:val="19"/>
          <w:szCs w:val="19"/>
        </w:rPr>
        <w:t xml:space="preserve">Knowledge gap: Whether flexible ferrite composites maintain &gt;=70% efficiency at 40mm curvature, whether predictive thermal firmware holds &lt;=38 degrees C simultaneously, and whether BLE can coexist with 125kHz inductive charging — none determinable from existing wearable or medical device literature.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24"/>
        <w:gridCol w:w="38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Hypothesis</w:t>
            </w:r>
          </w:p>
        </w:tc>
        <w:tc>
          <w:tcPr>
            <w:tcW w:type="dxa" w:w="302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Thermal safety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&lt;=38 degrees C peak, &gt;=70% efficiency, 2hr session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S3 peak 36.6 degrees C, avg efficiency 72.3% across 120min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— Flexible ferrite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&gt;=70% efficiency at 40mm curvature, 5mm coil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M2 72.3%, M3 75.1% — both exceed target. 100-cycle bend test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— BLE coexistence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&lt;=+/-3% efficiency delta, &gt;=95% PDR, &lt;5uT MLX noise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VALIDATED: X3 avg delta -0.4%, PDR 98.3%, MLX noise avg +1.2uT. Novel architecture confirmed.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Additional: IP67 and AS/NZS 8124 confirmed. BOM v1.0 finalised. X3 charge-gated zero-crossing BLE architecture has no published precedent in wearable charging literature.</w:t>
      </w:r>
    </w:p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Evidence Package — What Is Available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3a. UART Bench Logs (Hardware Evidence)</w:t>
      </w:r>
    </w:p>
    <w:p>
      <w:pPr>
        <w:spacing w:after="80" w:before="60"/>
      </w:pPr>
      <w:r>
        <w:rPr>
          <w:rFonts w:ascii="Arial" w:cs="Arial" w:eastAsia="Arial" w:hAnsi="Arial"/>
          <w:sz w:val="19"/>
          <w:szCs w:val="19"/>
        </w:rPr>
        <w:t xml:space="preserve">13 bench-captured UART logs are now filed in two locations: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GitHub: tkhdwyer82/Zemi-rnd — commit 7e565e1 — firmware/core_activity_1_magnetic_sensor/logs/ and firmware/core_activity_2_inductive_charging/logs/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Google Drive: Firmware folder — https://drive.google.com/drive/folders/1zbZbUTIxozZrY7ml5ZERgFk37P70tTvi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224"/>
        <w:gridCol w:w="28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File</w:t>
            </w:r>
          </w:p>
        </w:tc>
        <w:tc>
          <w:tcPr>
            <w:tcW w:type="dxa" w:w="222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Evidences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ca1-raw-sensor-readings.log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May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MLX90393 hardware bring-up, real sensor values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ca1-noise-filter-comparison.log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May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A-D noise floor comparison (18.7 to 2.3uT)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ca1-pairing-state-machine.log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May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V1/V2/V3 state machine discrimination behaviour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ca1-two-device-pairing.log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May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Two-device pairing at 0.5m and 0.75m, session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ca1-dynamic-motion-test-detailed.log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May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attempts, 193 success (96.5%), 0 FP — D+V3.2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ca1-false-positive-emi-test-detailed.log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May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450 EMI injections, 0 false positives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ca1-multi-device-session-detailed.log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May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concurrent units, 8/8 pairings, 0 FP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ca2-thermal-management.log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May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1Hz logging, S3 throttle 0-12%, peak 36.6 degrees 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ca2-charging-efficiency.log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May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Input/output mW, avg 72.3%, 40mm curvature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ca2-ferrite-comparison.log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May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M1/M2/M3 head-to-head, S21 attenuation, bend test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ca2-ble-coexistence.log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May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X3 gated BLE, avg delta -0.4%, PDR 98.3%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ca2-mlx-noise-during-charge.log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May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MLX noise baseline 1.8uT vs active 2.9-3.4uT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ca2-integrated-session.log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5-7 May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S3+M2+X3 and S3+M3+X3 concurrent — all criteria met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3b. Additional Contemporaneous Records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24"/>
        <w:gridCol w:w="280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 Type</w:t>
            </w:r>
          </w:p>
        </w:tc>
        <w:tc>
          <w:tcPr>
            <w:tcW w:type="dxa" w:w="362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Commit History</w:t>
            </w:r>
          </w:p>
        </w:tc>
        <w:tc>
          <w:tcPr>
            <w:tcW w:type="dxa" w:w="3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 daily commits Days 1-61 with experiment tags and timestamps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tkhdwyer82/Zemi-rnd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Timesheets</w:t>
            </w:r>
          </w:p>
        </w:tc>
        <w:tc>
          <w:tcPr>
            <w:tcW w:type="dxa" w:w="3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61-day log, CA1 4h/day, CA2 8h/day, activity codes per 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Zemi7_RD_Timesheet_DetailedDaily_May_Jun_2026.xlsx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Tax Invoices x9</w:t>
            </w:r>
          </w:p>
        </w:tc>
        <w:tc>
          <w:tcPr>
            <w:tcW w:type="dxa" w:w="3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INV-TKD-2026-W01 through W09, CA1/CA2 codes, Git tags, Section 355 ref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Drive — Invoice folder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ClickUp Task Records</w:t>
            </w:r>
          </w:p>
        </w:tc>
        <w:tc>
          <w:tcPr>
            <w:tcW w:type="dxa" w:w="3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Per-day task entries with activity codes, Slack refs, Git tags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ClickUp Lists 901614510312 (CA1), 901614510314 (CA2)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 Messages (Tim + Lukas)</w:t>
            </w:r>
          </w:p>
        </w:tc>
        <w:tc>
          <w:tcPr>
            <w:tcW w:type="dxa" w:w="3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technical discussion records — contemporaneous person-to-person evidence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 workspace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Accountant Briefing Memo</w:t>
            </w:r>
          </w:p>
        </w:tc>
        <w:tc>
          <w:tcPr>
            <w:tcW w:type="dxa" w:w="3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R&amp;D overview for Nisho Sadeque at Hannan Accounting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Zemi7_RD_Accountant_Briefing.docx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Evidence Summary</w:t>
            </w:r>
          </w:p>
        </w:tc>
        <w:tc>
          <w:tcPr>
            <w:tcW w:type="dxa" w:w="3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One-page reference mapping all 13 logs to hypotheses validated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Zemi7_UART_Log_Evidence_Summary.docx</w:t>
            </w:r>
          </w:p>
        </w:tc>
      </w:tr>
    </w:tbl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Response to ATO Compliance Review (30 April 2026)</w:t>
      </w:r>
    </w:p>
    <w:p>
      <w:pPr>
        <w:spacing w:after="80" w:before="60"/>
      </w:pPr>
      <w:r>
        <w:rPr>
          <w:rFonts w:ascii="Arial" w:cs="Arial" w:eastAsia="Arial" w:hAnsi="Arial"/>
          <w:sz w:val="19"/>
          <w:szCs w:val="19"/>
        </w:rPr>
        <w:t xml:space="preserve">The ATO compliance review notice flagged five specific concerns about the prior claim. The table below maps each concern to the records now available.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24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ATO Concern</w:t>
            </w:r>
          </w:p>
        </w:tc>
        <w:tc>
          <w:tcPr>
            <w:tcW w:type="dxa" w:w="602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the Current Record Package Addresses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stating generic consulting services</w:t>
            </w:r>
          </w:p>
        </w:tc>
        <w:tc>
          <w:tcPr>
            <w:tcW w:type="dxa" w:w="6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9 invoices specify CA1/CA2 activity codes, Git experiment tags, and Section 355 ITAA 1997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Generic project summary</w:t>
            </w:r>
          </w:p>
        </w:tc>
        <w:tc>
          <w:tcPr>
            <w:tcW w:type="dxa" w:w="6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CA1 and CA2 experiment logs detail specific hypotheses, 4x3 and 3x3x3 test matrices, and quantitative outcomes per 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Timesheets without activity codes</w:t>
            </w:r>
          </w:p>
        </w:tc>
        <w:tc>
          <w:tcPr>
            <w:tcW w:type="dxa" w:w="6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61-day timesheet carries ZEM-CA1/CA2 codes unique per day — cross-referenced to GitHub commits and ClickUp tasks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Contracts without deliverables</w:t>
            </w:r>
          </w:p>
        </w:tc>
        <w:tc>
          <w:tcPr>
            <w:tcW w:type="dxa" w:w="6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commit history provides daily dated evidence. 13 UART bench logs provide hardware-level deliverable evidence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Arbitrary overhead apportionment</w:t>
            </w:r>
          </w:p>
        </w:tc>
        <w:tc>
          <w:tcPr>
            <w:tcW w:type="dxa" w:w="6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Time-based apportionment: CA1 4h/day, CA2 8h/day — documented daily across all three record systems</w:t>
            </w:r>
          </w:p>
        </w:tc>
      </w:tr>
    </w:tbl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Open Items for Discussion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624"/>
        <w:gridCol w:w="320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2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ATO amendment deadline was 27 May 2026 — confirm whether prior claim has been amended or defended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David + Nisho to advise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income year for any follow-on FY2027 claim — work has continued beyond 30 June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David to confirm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UART logs against ATO substantiation standard — confirm whether additional hardware captures are needed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David to review logs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Retroactive BAS quarters — Nisho flagged anomalous Revolut transactions in earlier quarters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Nisho to advise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FY2027 R&amp;D structure — engineering team has continued physical bench work. Plan ongoing evidence capture.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 + David to discuss</w:t>
            </w:r>
          </w:p>
        </w:tc>
      </w:tr>
    </w:tbl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Key Contacts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24"/>
        <w:gridCol w:w="4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2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R&amp;D Tax Consultant</w:t>
            </w:r>
          </w:p>
        </w:tc>
        <w:tc>
          <w:tcPr>
            <w:tcW w:type="dxa" w:w="3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David Housler — Innercode
david@innercode.com.au  |  0403 281 277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ZEM-01  |  This briefing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 Accountant</w:t>
            </w:r>
          </w:p>
        </w:tc>
        <w:tc>
          <w:tcPr>
            <w:tcW w:type="dxa" w:w="3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Nisho Sadeque — Hannan Accounting
nisho@hannantax.com  |  0411 685 066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 Q4 FY2026 — due ~28 Jul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Contractor</w:t>
            </w:r>
          </w:p>
        </w:tc>
        <w:tc>
          <w:tcPr>
            <w:tcW w:type="dxa" w:w="3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Timothy Dwyer — TKD Research &amp; Consulting
tkhdwyer@gmail.com  |  ABN: 670 960 586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GitHub: tkhdwyer82/Zemi-rnd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Zemi7 Director</w:t>
            </w:r>
          </w:p>
        </w:tc>
        <w:tc>
          <w:tcPr>
            <w:tcW w:type="dxa" w:w="3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Nicole Dwyer — Zemi7 Pty Ltd
ABN: 54 664 363 277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approver — all 9 weekly invoices</w:t>
            </w:r>
          </w:p>
        </w:tc>
      </w:tr>
    </w:tbl>
    <w:p>
      <w:pPr>
        <w:pBdr>
          <w:top w:val="single" w:color="1F4E79" w:sz="6" w:space="1"/>
        </w:pBdr>
        <w:spacing w:after="80" w:before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Prepared by Timothy Dwyer  |  TKD Research and Consulting  |  ABN: 670 960 586  |  June 2026  |  For: David Housler, Innercode R&amp;D Pty Ltd  |  Ref: ZEM-01</w:t>
      </w:r>
    </w:p>
    <w:p>
      <w:pPr>
        <w:spacing w:after="0" w:before="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Section 355 ITAA 1997  |  ATO QC 71853  |  Zemi7 Pty Ltd  |  CONFIDENTIAL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2026-06-14T09:31:34.042Z</dcterms:created>
  <dcterms:modified xsi:type="dcterms:W3CDTF">2026-06-14T09:31:34.042Z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