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Innercode R&amp;D Pty Ltd</w:t>
      </w:r>
    </w:p>
    <w:p>
      <w:pPr>
        <w:spacing w:after="240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ABN 57 632 701 109  |  www.innercode.com.au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C00000"/>
          <w:sz w:val="52"/>
          <w:szCs w:val="52"/>
        </w:rPr>
        <w:t xml:space="preserve">R&amp;D Submission Briefing Package</w:t>
      </w:r>
    </w:p>
    <w:p>
      <w:pPr>
        <w:spacing w:after="40"/>
        <w:jc w:val="center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CONFIDENTIAL  |  FOR: DAVID HOUSLER, INNERCODE R&amp;D PTY LTD</w:t>
      </w:r>
    </w:p>
    <w:p>
      <w:pPr>
        <w:pBdr>
          <w:bottom w:val="single" w:color="C00000" w:sz="6" w:space="1"/>
        </w:pBdr>
        <w:spacing w:after="200"/>
        <w:jc w:val="center"/>
      </w:pPr>
      <w:r>
        <w:t xml:space="preserve"/>
      </w:r>
    </w:p>
    <w:tbl>
      <w:tblPr>
        <w:tblW w:type="dxa" w:w="9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12"/>
        <w:gridCol w:w="2400"/>
        <w:gridCol w:w="2212"/>
      </w:tblGrid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Company</w:t>
            </w:r>
          </w:p>
        </w:tc>
        <w:tc>
          <w:tcPr>
            <w:tcW w:type="dxa" w:w="2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Zemi7 Pty Ltd  |  ABN: 54 664 363 277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Innercode Ref</w:t>
            </w:r>
          </w:p>
        </w:tc>
        <w:tc>
          <w:tcPr>
            <w:tcW w:type="dxa" w:w="2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ZEM-01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Contractor</w:t>
            </w:r>
          </w:p>
        </w:tc>
        <w:tc>
          <w:tcPr>
            <w:tcW w:type="dxa" w:w="2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Timothy Dwyer  |  TKD Research &amp; Consulting  |  ABN: 670 960 586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Income Year</w:t>
            </w:r>
          </w:p>
        </w:tc>
        <w:tc>
          <w:tcPr>
            <w:tcW w:type="dxa" w:w="2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FY2025-2026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R&amp;D Period</w:t>
            </w:r>
          </w:p>
        </w:tc>
        <w:tc>
          <w:tcPr>
            <w:tcW w:type="dxa" w:w="2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May – 30 June 2026  (61 days)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Claim</w:t>
            </w:r>
          </w:p>
        </w:tc>
        <w:tc>
          <w:tcPr>
            <w:tcW w:type="dxa" w:w="2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$175,680 ex-GST  |  732 hours @ $240/hr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Accountant</w:t>
            </w:r>
          </w:p>
        </w:tc>
        <w:tc>
          <w:tcPr>
            <w:tcW w:type="dxa" w:w="2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Nisho Sadeque  |  Hannan Accounting  |  nisho@hannantax.com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ATO Context</w:t>
            </w:r>
          </w:p>
        </w:tc>
        <w:tc>
          <w:tcPr>
            <w:tcW w:type="dxa" w:w="22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Compliance review notice received 30 April 2026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00000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1. Purpose of This Package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This briefing package is prepared by Timothy Dwyer (TKD Research and Consulting) for David Housler at Innercode R&amp;D Pty Ltd in support of the ZEM-01 R&amp;D Tax Incentive submission for FY2025-2026. It summarises the two core R&amp;D activities, the experimental outcomes, and the contemporaneous evidence records now available to substantiate the claim under Section 355, ITAA 1997.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The ATO issued a compliance review notice to Zemi7 Pty Ltd on 30 April 2026 in relation to a prior claim. The record package described here has been structured specifically to address the ATO concerns raised in that notice.</w:t>
      </w:r>
    </w:p>
    <w:p>
      <w:pPr>
        <w:pBdr>
          <w:bottom w:val="single" w:color="C00000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2. Core Activities — Summary of Outcomes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Core Activity 1 — 3D Magnetic Sensor Production-Readiness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Hardware: ESP32-S3 + Melexis MLX90393  |  Production Firmware: D+V3.2-PROD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Knowledge gap: Whether custom firmware noise-filtering could achieve &gt;=95% pairing success and &lt;2% false-positive rate in a real-world multi-device Gen Alpha environment.</w:t>
      </w:r>
    </w:p>
    <w:tbl>
      <w:tblPr>
        <w:tblW w:type="dxa" w:w="9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24"/>
        <w:gridCol w:w="4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Hypothesis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Outcome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 — Pairing success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&gt;=95% at 0–1m, multi-device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VALIDATED: 96.5% active playground, 100% 12-unit classroom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 — False positive rate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&lt;2% in 10-device concurrent test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VALIDATED: 0.0% across 450 EMI injections and 200 dynamic attempts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 — BOM costing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Acceptable per-unit cost at 500-unit scale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CONFIRMED: BOM v1.0 finalised with two suppliers per component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i/>
          <w:iCs/>
          <w:color w:val="404040"/>
          <w:sz w:val="17"/>
          <w:szCs w:val="17"/>
        </w:rPr>
        <w:t xml:space="preserve">IP67 validated via NATA lab. AS/NZS 8124 compliance confirmed. Firmware locked: D+V3.2-PROD.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Core Activity 2 — Inductive Magnetic Charging Solution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Hardware: TI BQ500212A / BQ51050B + NTC Thermistor + MLX90393  |  Production Firmware: S3+X3-PROD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Knowledge gap: Whether flexible ferrite maintains &gt;=70% efficiency at 40mm curvature, thermal firmware holds &lt;=38°C simultaneously, and BLE coexists with 125kHz charging.</w:t>
      </w:r>
    </w:p>
    <w:tbl>
      <w:tblPr>
        <w:tblW w:type="dxa" w:w="9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24"/>
        <w:gridCol w:w="4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Hypothesis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Outcome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 — Thermal safety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&lt;=38°C peak, &gt;=70% efficiency, 2hr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VALIDATED: S3 peak 36.6°C, avg 72.3% efficiency, 120min session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 — Flexible ferrite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&gt;=70% efficiency at 40mm curvature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VALIDATED: M2 72.3%, M3 75.1% — both exceed target. Bend test 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 — BLE coexistence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&lt;=±3% delta, &gt;=95% PDR, &lt;5µT noise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VALIDATED: X3 avg delta -0.4%, PDR 98.3%, MLX noise +1.2µT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i/>
          <w:iCs/>
          <w:color w:val="404040"/>
          <w:sz w:val="17"/>
          <w:szCs w:val="17"/>
        </w:rPr>
        <w:t xml:space="preserve">IP67 and AS/NZS 8124 confirmed. BOM v1.0 finalised. X3 zero-crossing BLE architecture has no published precedent in wearable charging literature.</w:t>
      </w:r>
    </w:p>
    <w:p>
      <w:pPr>
        <w:pBdr>
          <w:bottom w:val="single" w:color="C00000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3. Evidence Package — UART Bench Logs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13 bench-captured UART logs filed in: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•  GitHub: tkhdwyer82/Zemi-rnd — commit 7e565e1 — firmware/core_activity_1_magnetic_sensor/logs/ and firmware/core_activity_2_inductive_charging/logs/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•  Google Drive: Firmware folder — https://drive.google.com/drive/folders/1zbZbUTIxozZrY7ml5ZERgFk37P70tTvi</w:t>
      </w:r>
    </w:p>
    <w:p>
      <w:pPr>
        <w:spacing w:after="60" w:before="60"/>
      </w:pPr>
      <w:r>
        <w:t xml:space="preserve"/>
      </w:r>
    </w:p>
    <w:tbl>
      <w:tblPr>
        <w:tblW w:type="dxa" w:w="9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424"/>
        <w:gridCol w:w="38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Log File</w:t>
            </w:r>
          </w:p>
        </w:tc>
        <w:tc>
          <w:tcPr>
            <w:tcW w:type="dxa" w:w="1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Evidences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ca1-raw-sensor-readings.log</w:t>
            </w:r>
          </w:p>
        </w:tc>
        <w:tc>
          <w:tcPr>
            <w:tcW w:type="dxa" w:w="1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 May 2026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MLX90393 X/Y/Z µT values, millisecond timestamps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ca1-noise-filter-comparison.log</w:t>
            </w:r>
          </w:p>
        </w:tc>
        <w:tc>
          <w:tcPr>
            <w:tcW w:type="dxa" w:w="1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16 May 2026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Filter A-D noise floor: 18.7µT down to 2.3µT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ca1-pairing-state-machine.log</w:t>
            </w:r>
          </w:p>
        </w:tc>
        <w:tc>
          <w:tcPr>
            <w:tcW w:type="dxa" w:w="1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 May 2026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V1/V2/V3 state machine discrimination behaviour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ca1-two-device-pairing.log</w:t>
            </w:r>
          </w:p>
        </w:tc>
        <w:tc>
          <w:tcPr>
            <w:tcW w:type="dxa" w:w="1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22 May 2026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Two-device pairing at 0.5m and 0.75m, session ID, RSSI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ca1-dynamic-motion-test-detailed.log</w:t>
            </w:r>
          </w:p>
        </w:tc>
        <w:tc>
          <w:tcPr>
            <w:tcW w:type="dxa" w:w="1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27 May 2026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200 attempts, 193 success (96.5%), 0 FP — D+V3.2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ca1-false-positive-emi-test-detailed.log</w:t>
            </w:r>
          </w:p>
        </w:tc>
        <w:tc>
          <w:tcPr>
            <w:tcW w:type="dxa" w:w="1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25 May 2026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450 EMI injections, 0 false positives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ca1-multi-device-session-detailed.log</w:t>
            </w:r>
          </w:p>
        </w:tc>
        <w:tc>
          <w:tcPr>
            <w:tcW w:type="dxa" w:w="1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28 May 2026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 concurrent units, 8/8 pairings, 0 FP, RSSI per device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ca2-thermal-management.log</w:t>
            </w:r>
          </w:p>
        </w:tc>
        <w:tc>
          <w:tcPr>
            <w:tcW w:type="dxa" w:w="1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 May 2026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1Hz logging, S3 throttle 0-12%, peak 36.6°C, 120min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ca2-charging-efficiency.log</w:t>
            </w:r>
          </w:p>
        </w:tc>
        <w:tc>
          <w:tcPr>
            <w:tcW w:type="dxa" w:w="1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 May 2026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Input/output mW, avg 72.3%, 40mm curvature, 5mm coil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ca2-ferrite-comparison.log</w:t>
            </w:r>
          </w:p>
        </w:tc>
        <w:tc>
          <w:tcPr>
            <w:tcW w:type="dxa" w:w="1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 May 2026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M1/M2/M3 head-to-head, S21 attenuation, bend test 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ca2-ble-coexistence.log</w:t>
            </w:r>
          </w:p>
        </w:tc>
        <w:tc>
          <w:tcPr>
            <w:tcW w:type="dxa" w:w="1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 May 2026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X3 gated BLE, avg delta -0.4%, PDR 98.3%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ca2-mlx-noise-during-charge.log</w:t>
            </w:r>
          </w:p>
        </w:tc>
        <w:tc>
          <w:tcPr>
            <w:tcW w:type="dxa" w:w="1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 May 2026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Baseline 1.8µT vs active 3.4µT peak — under 5µT limit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ca2-integrated-session.log</w:t>
            </w:r>
          </w:p>
        </w:tc>
        <w:tc>
          <w:tcPr>
            <w:tcW w:type="dxa" w:w="1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5-7 May 2026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S3+M2+X3 and S3+M3+X3 concurrent — all criteria met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00000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4. Response to ATO Compliance Review (30 April 2026)</w:t>
      </w:r>
    </w:p>
    <w:tbl>
      <w:tblPr>
        <w:tblW w:type="dxa" w:w="9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24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ATO Concern</w:t>
            </w:r>
          </w:p>
        </w:tc>
        <w:tc>
          <w:tcPr>
            <w:tcW w:type="dxa" w:w="6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the Current Records Address 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Invoice stating generic consulting services</w:t>
            </w:r>
          </w:p>
        </w:tc>
        <w:tc>
          <w:tcPr>
            <w:tcW w:type="dxa" w:w="6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9 invoices specify CA1/CA2 codes, Git tags, and Section 355 ITAA 1997 reference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Generic project summary</w:t>
            </w:r>
          </w:p>
        </w:tc>
        <w:tc>
          <w:tcPr>
            <w:tcW w:type="dxa" w:w="6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CA1 and CA2 logs detail hypotheses, test matrices, and quantitative outcomes per phase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Timesheets without activity codes</w:t>
            </w:r>
          </w:p>
        </w:tc>
        <w:tc>
          <w:tcPr>
            <w:tcW w:type="dxa" w:w="6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61-day timesheet carries ZEM-CA1/CA2 codes per day, cross-referenced to GitHub and ClickUp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Contracts without deliverables</w:t>
            </w:r>
          </w:p>
        </w:tc>
        <w:tc>
          <w:tcPr>
            <w:tcW w:type="dxa" w:w="6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GitHub commit history and 13 UART bench logs provide daily dated hardware-level evidence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Arbitrary overhead apportionment</w:t>
            </w:r>
          </w:p>
        </w:tc>
        <w:tc>
          <w:tcPr>
            <w:tcW w:type="dxa" w:w="6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Time-based: CA1 4h/day, CA2 8h/day — documented daily across timesheets, ClickUp, and GitHub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00000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5. Open Items for Discussion</w:t>
      </w:r>
    </w:p>
    <w:tbl>
      <w:tblPr>
        <w:tblW w:type="dxa" w:w="9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864"/>
        <w:gridCol w:w="30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8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58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ATO amendment deadline 27 May 2026 — confirm whether prior claim was amended or defended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David + Nisho to advise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58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Income year for follow-on FY2027 claim — work has continued beyond 30 June 2026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David to confirm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58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Review UART logs against ATO substantiation standard — confirm if additional captures needed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David to review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58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Retroactive BAS quarters — Nisho flagged anomalous Revolut transactions in earlier quarters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Nisho to advise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58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FY2027 R&amp;D structure — engineering team has continued bench work. Plan ongoing evidence capture.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 + David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00000" w:sz="6" w:space="1"/>
        </w:pBdr>
        <w:spacing w:after="80" w:before="2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6. Key Contacts</w:t>
      </w:r>
    </w:p>
    <w:tbl>
      <w:tblPr>
        <w:tblW w:type="dxa" w:w="9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24"/>
        <w:gridCol w:w="3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8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Contact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Reference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R&amp;D Tax Consultant</w:t>
            </w:r>
          </w:p>
        </w:tc>
        <w:tc>
          <w:tcPr>
            <w:tcW w:type="dxa" w:w="38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David Housler — Innercode  |  david@innercode.com.au  |  0403 281 277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ZEM-01  |  This briefing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Tax Accountant</w:t>
            </w:r>
          </w:p>
        </w:tc>
        <w:tc>
          <w:tcPr>
            <w:tcW w:type="dxa" w:w="38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Nisho Sadeque — Hannan Accounting  |  nisho@hannantax.com  |  0411 685 066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BAS Q4 FY2026 — due ~28 Jul 2026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Contractor</w:t>
            </w:r>
          </w:p>
        </w:tc>
        <w:tc>
          <w:tcPr>
            <w:tcW w:type="dxa" w:w="38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Timothy Dwyer — TKD Research &amp; Consulting  |  tkhdwyer@gmail.com  |  ABN: 670 960 586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GitHub: tkhdwyer82/Zemi-rnd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Zemi7 Director</w:t>
            </w:r>
          </w:p>
        </w:tc>
        <w:tc>
          <w:tcPr>
            <w:tcW w:type="dxa" w:w="38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Nicole Dwyer — Zemi7 Pty Ltd  |  ABN: 54 664 363 277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Invoice approver — all 9 weekly invoices</w:t>
            </w:r>
          </w:p>
        </w:tc>
      </w:tr>
    </w:tbl>
    <w:p>
      <w:pPr>
        <w:pBdr>
          <w:top w:val="single" w:color="C00000" w:sz="6" w:space="1"/>
        </w:pBdr>
        <w:spacing w:after="40" w:before="240"/>
      </w:pPr>
      <w:r>
        <w:rPr>
          <w:rFonts w:ascii="Arial" w:cs="Arial" w:eastAsia="Arial" w:hAnsi="Arial"/>
          <w:color w:val="404040"/>
          <w:sz w:val="16"/>
          <w:szCs w:val="16"/>
        </w:rPr>
        <w:t xml:space="preserve">Prepared by Timothy Dwyer  |  TKD Research and Consulting  |  ABN: 670 960 586  |  June 2026  |  For: David Housler, Innercode R&amp;D Pty Ltd  |  Ref: ZEM-01</w:t>
      </w:r>
    </w:p>
    <w:p>
      <w:r>
        <w:rPr>
          <w:rFonts w:ascii="Arial" w:cs="Arial" w:eastAsia="Arial" w:hAnsi="Arial"/>
          <w:color w:val="404040"/>
          <w:sz w:val="16"/>
          <w:szCs w:val="16"/>
        </w:rPr>
        <w:t xml:space="preserve">Section 355 ITAA 1997  |  ATO QC 71853  |  Zemi7 Pty Ltd  |  CONFIDENTIAL</w:t>
      </w:r>
    </w:p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2026-06-15T01:40:21.649Z</dcterms:created>
  <dcterms:modified xsi:type="dcterms:W3CDTF">2026-06-15T01:40:21.661Z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