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ZEMI7 PTY LTD  |  ABN: 54 664 363 277  |  R&amp;D TAX INCENTIVE — SECTION 355 ITAA 1997</w:t>
      </w:r>
    </w:p>
    <w:p>
      <w:pPr>
        <w:spacing w:after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Innercode Ref: ZEM-01  |  Income Year: FY2025-2026  |  Contractor: Timothy Dwyer (TKD Research &amp; Consulting, ABN: 670 960 586)</w:t>
      </w:r>
    </w:p>
    <w:p>
      <w:pPr>
        <w:pBdr>
          <w:bottom w:val="single" w:color="1F4E79" w:sz="12" w:space="1"/>
        </w:pBdr>
        <w:spacing w:after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UART LOG EVIDENCE — ONE-PAGE REFERENCE SUMMARY</w:t>
      </w:r>
    </w:p>
    <w:p>
      <w:pPr>
        <w:spacing w:after="200" w:before="160"/>
      </w:pPr>
      <w:r>
        <w:rPr>
          <w:rFonts w:ascii="Arial" w:cs="Arial" w:eastAsia="Arial" w:hAnsi="Arial"/>
          <w:sz w:val="18"/>
          <w:szCs w:val="18"/>
        </w:rPr>
        <w:t xml:space="preserve">The following bench-captured UART logs provide contemporaneous hardware evidence for Core Activities 1 and 2. All logs are filed in the Firmware folder (Google Drive) and committed to tkhdwyer82/Zemi-rnd on GitHub under the relevant experiment tags. Log dates correspond to actual test sessions performed during the 61-day R&amp;D program (1 May - 30 June 2026).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ACTIVITY 1 — 3D Magnetic Sensor (ESP32-S3 + Melexis MLX90393)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Firmware: D+V3.2-PROD (Hybrid Spike-Gate + Kalman filter + Z-axis lock state machine)  |  Path: firmware/core_activity_1_magnetic_sensor/logs/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3464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6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 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ca1-raw-sensor-readings.log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2026-05-15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MLX90393 X/Y/Z axis readings at rest and during gesture — millisecond timestamps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CA1 hardware bring-up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ca1-noise-filter-comparison.log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2026-05-16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Noise floor comparison A(18.7µT) B(9.2µT) C(4.1µT) D(2.3µT) — D selected for 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B filter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ca1-pairing-state-machine.log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2026-05-20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V1/V2/V3 state machine behaviour — V2 rejects &lt;150ms dwell, V3 rejects Z-dominance &lt;70%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State machine discrimination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ca1-two-device-pairing.log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2026-05-22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Two-device pairing session at 0.5m and 0.75m — sub-second timestamps, session ID, RSSI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A pairing at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ca1-dynamic-motion-test-detailed.log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2026-05-27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attempts: 193 SUCCESS (96.5%), 0 FP — walking, running, jumping with D+V3.2 firmware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A dynamic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ca1-false-positive-emi-test-detailed.log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2026-05-25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 injected EMI events: 0 false positives — spike-gate and Z-dominance rejection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B &lt;2% FP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ca1-multi-device-session-detailed.log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2026-05-28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concurrent units: 8/8 intentional pairings SUCCESS, 0 FP — RSSI per device, Git tag 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A multi-device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CA1 Outcome: Hypotheses A (&gt;=95% pairing success) and B (&lt;2% false-positive rate) both validated. Production firmware locked: D+V3.2-PROD.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ACTIVITY 2 — Inductive Charging (TI BQ500212A / BQ51050B + NTC Thermistor)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Firmware: S3+X3-PROD (Predictive Ramp thermal + Charge-Gated Zero-Crossing BLE)  |  Path: firmware/core_activity_2_inductive_charging/logs/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3464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6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 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ca2-thermal-management.log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1Hz logging 120min session — S3 throttle 0% to 12%, peak temp 36.6°C, efficiency 72.3%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A thermal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ca2-charging-efficiency.log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Input/output mW per timestamp at 40mm curvature, 5mm coil — avg 72.3%, total 1.02Wh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B M2 efficiency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ca2-ferrite-comparison.log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2026-05-06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flat 76.8% / M1 curved 68.4% / M2 curved 72.3% / M3 curved 75.1% — bend test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B M2 and M3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ca2-ble-coexistence.log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2026-05-07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2hr X3 gated session — avg delta -0.4%, PDR 98.3% — within +/-3% and &gt;=95%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C BLE coexistence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ca2-mlx-noise-during-charge.log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1.8µT RMS vs charging active 2.9-3.4µT RMS — avg delta +1.2µT, under 5µT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Hypothesis C MLX noise floor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ca2-integrated-session.log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 to 05-07</w:t>
            </w:r>
          </w:p>
        </w:tc>
        <w:tc>
          <w:tcPr>
            <w:tcW w:type="dxa" w:w="3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S3+M2+X3 and S3+M3+X3 concurrent 2hr sessions — all 6 success criteria met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All hypotheses A, B, C concurrent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CA2 Outcome: All three hypotheses validated simultaneously — S3 thermal strategy (peak 36.6 degrees, efficiency 72.3%), M2/M3 flexible ferrite (72.3%/75.1% at 40mm curvature), X3 BLE coexistence (avg delta -0.4%, PDR 98.3%). Production firmware locked: S3+X3-PROD.</w:t>
      </w:r>
    </w:p>
    <w:p>
      <w:pPr>
        <w:pBdr>
          <w:top w:val="single" w:color="1F4E79" w:sz="6" w:space="1"/>
        </w:pBdr>
        <w:spacing w:after="80" w:before="1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GitHub Repository: tkhdwyer82/Zemi-rnd  |  Google Drive Folder: Firmware  |  Total Log Files: 13 (CA1: 7, CA2: 6)  |  Prepared for: David Housler, Innercode  |  Date: June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2026-06-14T09:19:41.737Z</dcterms:created>
  <dcterms:modified xsi:type="dcterms:W3CDTF">2026-06-14T09:19:41.737Z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