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A7A" w:val="clear"/>
            <w:tcMar>
              <w:top w:type="dxa" w:w="160"/>
              <w:left w:type="dxa" w:w="200"/>
              <w:bottom w:type="dxa" w:w="160"/>
              <w:right w:type="dxa" w:w="200"/>
            </w:tcMar>
          </w:tcPr>
          <w:p>
            <w:r>
              <w:rPr>
                <w:b/>
                <w:bCs/>
                <w:color w:val="FFFFFF"/>
                <w:sz w:val="28"/>
                <w:szCs w:val="28"/>
              </w:rPr>
              <w:t xml:space="preserve">Innercode R&amp;D Pty Ltd</w:t>
            </w:r>
          </w:p>
          <w:p>
            <w:r>
              <w:rPr>
                <w:color w:val="DDDDDD"/>
                <w:sz w:val="18"/>
                <w:szCs w:val="18"/>
              </w:rPr>
              <w:t xml:space="preserve">ABN 57 632 701 109  |  www.innercode.com.au</w:t>
            </w:r>
          </w:p>
        </w:tc>
        <w:tc>
          <w:tcPr>
            <w:tcW w:type="dxa" w:w="4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vAlign w:val="center"/>
          </w:tcPr>
          <w:p>
            <w:pPr>
              <w:jc w:val="right"/>
            </w:pPr>
            <w:r>
              <w:rPr>
                <w:b/>
                <w:bCs/>
                <w:sz w:val="24"/>
                <w:szCs w:val="24"/>
              </w:rPr>
              <w:t xml:space="preserve">R&amp;D Project Directive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 Smart Wearable for Generation Alpha</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ZEM-01</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Income Period: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 –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Pty Ltd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Contractor: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 TKD Research and Consulting (ABN: 670 960 586)</w:t>
            </w:r>
          </w:p>
        </w:tc>
      </w:tr>
    </w:tbl>
    <w:p>
      <w:r>
        <w:t xml:space="preserve"/>
      </w:r>
    </w:p>
    <w:p>
      <w:pPr>
        <w:pStyle w:val="Heading1"/>
      </w:pPr>
      <w:r>
        <w:rPr>
          <w:b/>
          <w:bCs/>
          <w:sz w:val="28"/>
          <w:szCs w:val="28"/>
        </w:rPr>
        <w:t xml:space="preserve">Project Outline</w:t>
      </w:r>
    </w:p>
    <w:p>
      <w:pPr>
        <w:spacing w:after="120"/>
      </w:pPr>
      <w:r>
        <w:rPr>
          <w:b w:val="false"/>
          <w:bCs w:val="false"/>
          <w:sz w:val="20"/>
          <w:szCs w:val="20"/>
        </w:rPr>
        <w:t xml:space="preserve">Zemi Pty Ltd is an Australian company developing an innovative micro smart wearable device specifically designed for Generation Alpha — children aged 8–15 (born 2010–2025). Our mission is to deliver a first-of-its-kind wearable that leverages novel 3D magnetic sensing technology and gamified user interaction to create a safe, engaging, child-native product unlike anything currently available in the consumer wearables market.</w:t>
      </w:r>
    </w:p>
    <w:p>
      <w:pPr>
        <w:spacing w:after="120"/>
      </w:pPr>
      <w:r>
        <w:rPr>
          <w:b w:val="false"/>
          <w:bCs w:val="false"/>
          <w:sz w:val="20"/>
          <w:szCs w:val="20"/>
        </w:rPr>
        <w:t xml:space="preserve">Our FY2026 R&amp;D program built directly on findings from the FY2025 program, which established foundational research across two core activities: (1) a spatial magnetic handshake protocol using the MLX90393 3D magnetic sensor, and (2) an inductive magnetic charging solution using a sliding power module. Both activities produced partial results in FY25, with clearly documented knowledge gaps and unresolved technical challenges carried forward into FY26.</w:t>
      </w:r>
    </w:p>
    <w:p>
      <w:pPr>
        <w:spacing w:after="120"/>
      </w:pPr>
      <w:r>
        <w:rPr>
          <w:b w:val="false"/>
          <w:bCs w:val="false"/>
          <w:sz w:val="20"/>
          <w:szCs w:val="20"/>
        </w:rPr>
        <w:t xml:space="preserve">The FY2026 program advanced both activities from prototype-stage research to production-ready validation across a 61-day program (1 May – 30 June 2026), using systematic hypothesis-driven experimentation. All activities were conducted in Australia by Timothy Dwyer (TKD Research and Consulting) and are structured to meet the requirements of the Australian R&amp;D Tax Incentive (Section 355, ITAA 1997). Both core activities reached Phase 4 (Production Review) and achieved confirmed outcomes prior to 30 June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One: Experimentation on the Production-Readiness of the 3D Magnetic Field Detector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Production-Readiness of the 3D Magnetic Field Detector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demonstrated that a spatial magnetic handshake protocol using the MLX90393 3D Hall-effect sensor could establish stable device-to-device pairing at short range, achieving 94% success at 0.5 metres. However, performance fell below the target of 90% at 1 metre under real-world conditions, and critical production-readiness parameters — including multi-device interference in dense environments, firmware noise filtering optimised for Generation Alpha motor patterns, and unit-level manufacturing costs — remained unresolved. The outcome of resolving these challenges through firmware iteration and miniaturised hardware testing could not be determined by a competent professional without systematic experimentation.</w:t>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A miniaturised MLX90393 sensor integrated within a TPU/silicone housing with EMI shielding will maintain a pairing success rate of ≥95% at distances of 0–1 metre, across real-world multi-device environments including classrooms and playgrounds with up to 10 concurrent Zemi devices.</w:t>
      </w:r>
    </w:p>
    <w:p>
      <w:pPr>
        <w:spacing w:after="80"/>
      </w:pPr>
      <w:r>
        <w:rPr>
          <w:b/>
          <w:bCs/>
          <w:sz w:val="20"/>
          <w:szCs w:val="20"/>
        </w:rPr>
        <w:t xml:space="preserve">(B) </w:t>
      </w:r>
      <w:r>
        <w:rPr>
          <w:sz w:val="20"/>
          <w:szCs w:val="20"/>
        </w:rPr>
        <w:t xml:space="preserve">A custom firmware noise-filtering algorithm — iterated from the FY25 unfiltered baseline through Moving Average, Kalman, and Hybrid Spike-Gate+Kalman implementations — will reduce false-positive pairing events to &lt;2% in a 10-device concurrent test, compared to the FY25 baseline which was not characterised in multi-device conditions.</w:t>
      </w:r>
    </w:p>
    <w:p>
      <w:pPr>
        <w:spacing w:after="80"/>
      </w:pPr>
      <w:r>
        <w:rPr>
          <w:b/>
          <w:bCs/>
          <w:sz w:val="20"/>
          <w:szCs w:val="20"/>
        </w:rPr>
        <w:t xml:space="preserve">(C) </w:t>
      </w:r>
      <w:r>
        <w:rPr>
          <w:sz w:val="20"/>
          <w:szCs w:val="20"/>
        </w:rPr>
        <w:t xml:space="preserve">The MLX90393 sensor stack can be manufactured at an acceptable per-unit bill-of-materials cost, validated through 500-unit prototype costing with a local contract manufacturer.</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Our FY2025 investigation established that the spatial magnetic handshake protocol could achieve connectivity at short range but could not determine whether the system would perform reliably at 1 metre in real-world environments containing multiple concurrent devices. Published literature on 3D magnetic sensing addresses industrial and automotive applications, where sensor geometries, interference profiles, and operational dynamics differ fundamentally from a child-worn wearable in a school or playground setting. We consulted with embedded systems engineers and RF interference specialists, none of whom could identify existing solutions calibrated to this specific use case. The knowledge gap is specifically: the relationship between firmware noise-filter architecture, Gen Alpha wrist-motion dynamics, and false-positive pairing rates in a dense multi-device EMI environment cannot be determined from existing literature or professional expertise alone.</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 is the firmware noise-filtering algorithm, tested across four iterations (Baseline A, Moving Average B, Kalman C, Hybrid D). Secondary variables include the moving average window size (4–16 samples), Kalman process noise Q and measurement noise R (tuned for Gen Alpha motor patterns), and the spike-gate threshold (20–100µT). These interact to determine the noise floor of the filtered signal, which in turn determines whether the pairing state machine (tested across three architectural variants: simple threshold V1, dwell-time V2, and Z-axis directional lock V3) triggers a pairing event correctly or incorrectly. The Z-axis dominance fraction in V3 (60–80%) is an additional secondary variable that affects spatial discriminability between intentional pairing gestures and ambient interference.</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was measured by pairing success rate (successful pairings / intended pairing attempts × 100%) at 0.25m, 0.5m, 0.75m, and 1.0m, in static and dynamic (walking, playground activity) conditions with up to 30 concurrent devices. Hypothesis B was measured by false-positive rate (unintended pairing events / EMI injection events × 100%) across all filter and state machine combinations, logged to UART and Git-tagged per iteration. Hypothesis C was measured by per-unit BOM cost calculation from contract manufacturer quotations.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The hypothesis is validated if: (A) pairing success rate reaches ≥95% at 1m across both static and dynamic multi-device test conditions; (B) at least one filter iteration achieves &lt;2% false-positive rate in the 10-device concurrent test; (C) BOM cost falls within the target range established by the production review. The hypothesis is nullified if none of the four filter iterations achieve the false-positive threshold, or if pairing success at 1m cannot reach 95% across all state machine variants, indicating that the magnetic handshake approach requires fundamental re-architecture or a different sensor technology.</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Through this activity, we generated new knowledge in the characterisation of 3D magnetic sensor firmware behaviour under real-world multi-device electromagnetic interference conditions specific to Generation Alpha wearable use cases. Our new knowledge is different from existing published work because it addresses the intersection of: (i) miniaturised 3D Hall-effect sensing in a child-safe, wrist-worn form factor; (ii) firmware noise-filtering architectures calibrated to Gen Alpha wrist-motion dynamics rather than adult or industrial baselines; and (iii) pairing reliability in dense peer-device environments (classroom/playground) rather than isolated laboratory settings. No published characterisation existed for this specific combination of sensor, user demographic, form factor, and deployment environment.</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collective knowledge and technical skills of the development team were inadequate to predetermine the outcome of the R&amp;D activity. The FY2025 program demonstrated partial functionality at close range but explicitly left unresolved the question of whether the firmware could achieve &lt;2% false positives in a multi-device environment, and whether any of the three pairing state machine architectures could sustain ≥95% pairing success at 1 metre under dynamic real-world conditions. These are not questions resolvable by derivation from the FY2025 results — they required systematic firmware iteration and real-world testing at scale.</w:t>
      </w:r>
    </w:p>
    <w:p>
      <w:pPr>
        <w:spacing w:after="120"/>
      </w:pPr>
      <w:r>
        <w:rPr>
          <w:b w:val="false"/>
          <w:bCs w:val="false"/>
          <w:sz w:val="20"/>
          <w:szCs w:val="20"/>
        </w:rPr>
        <w:t xml:space="preserve">Timothy Dwyer has substantial experience in embedded systems and wearable hardware development. However, no prior professional experience existed with Gen Alpha-specific magnetic pairing systems in peer-dense environments, nor with calibrating Kalman filter noise parameters to the specific wrist-motion biomechanics of children aged 8–15. Industry experts consulted in FY2025 confirmed that no published solution addresses this combination.</w:t>
      </w:r>
    </w:p>
    <w:p>
      <w:r>
        <w:t xml:space="preserve"/>
      </w:r>
    </w:p>
    <w:p>
      <w:pPr>
        <w:spacing w:after="120"/>
      </w:pPr>
      <w:r>
        <w:rPr>
          <w:b/>
          <w:bCs/>
          <w:sz w:val="20"/>
          <w:szCs w:val="20"/>
        </w:rPr>
        <w:t xml:space="preserve">B. Explain what sources were investigated and what information was found to demonstrate why a competent professional could not have determined the outcome in advance.</w:t>
      </w:r>
    </w:p>
    <w:p>
      <w:pPr>
        <w:spacing w:after="120"/>
      </w:pPr>
      <w:r>
        <w:rPr>
          <w:b w:val="false"/>
          <w:bCs w:val="false"/>
          <w:sz w:val="20"/>
          <w:szCs w:val="20"/>
        </w:rPr>
        <w:t xml:space="preserve">We reviewed academic literature on 3D Hall-effect sensing (Melexis application notes, IEEE Magnetics Society publications), Kalman filter implementations for wearable IMU applications (published in IEEE Transactions on Biomedical Engineering), and EMI characterisation for compact wireless devices. We found that: (a) published Kalman filter parameters are calibrated for adult biomechanics and industrial applications; (b) multi-device magnetic interference profiles in peer-dense environments (classrooms, playgrounds) have not been published for 3D Hall-effect sensors at the frequencies and field strengths used by the MLX90393 in the Zemi configuration; and (c) child-specific wrist-motion dynamics have not been characterised for magnetic pairing calibration purposes. Therefore, neither the optimal filter parameters nor the achievable false-positive rate in a multi-device environment could be determined in advance.</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structured as a 4-phase, 24-week program testing two nested sets of variables: four noise filter firmware iterations (A–D) against three pairing state machine architectural variants (V1–V3), forming a 4×3 test matrix of 12 conditions. Each condition was evaluated against the pairing success rate and false-positive rate criteria in progressively more complex real-world environments.</w:t>
      </w:r>
    </w:p>
    <w:p>
      <w:r>
        <w:t xml:space="preserve"/>
      </w:r>
    </w:p>
    <w:p>
      <w:pPr>
        <w:spacing w:after="120"/>
      </w:pPr>
      <w:r>
        <w:rPr>
          <w:b/>
          <w:bCs/>
          <w:sz w:val="20"/>
          <w:szCs w:val="20"/>
        </w:rPr>
        <w:t xml:space="preserve">What is the goal of the experiment?</w:t>
      </w:r>
    </w:p>
    <w:p>
      <w:pPr>
        <w:spacing w:after="120"/>
      </w:pPr>
      <w:r>
        <w:rPr>
          <w:b w:val="false"/>
          <w:bCs w:val="false"/>
          <w:sz w:val="20"/>
          <w:szCs w:val="20"/>
        </w:rPr>
        <w:t xml:space="preserve">To determine whether a combination of noise-filtering firmware and pairing state machine architecture can achieve ≥95% pairing success at 1m and &lt;2% false-positive rate in a 10-device concurrent real-world environment, and to identify the optimal combination for integration into the production Zemi device.</w:t>
      </w:r>
    </w:p>
    <w:p>
      <w:r>
        <w:t xml:space="preserve"/>
      </w:r>
    </w:p>
    <w:p>
      <w:pPr>
        <w:spacing w:after="120"/>
      </w:pPr>
      <w:r>
        <w:rPr>
          <w:b/>
          <w:bCs/>
          <w:sz w:val="20"/>
          <w:szCs w:val="20"/>
        </w:rPr>
        <w:t xml:space="preserve">How was the experiment conducted?</w:t>
      </w:r>
    </w:p>
    <w:p>
      <w:pPr>
        <w:spacing w:after="120"/>
      </w:pPr>
      <w:r>
        <w:rPr>
          <w:b/>
          <w:bCs/>
          <w:sz w:val="20"/>
          <w:szCs w:val="20"/>
        </w:rPr>
        <w:t xml:space="preserve">Phase 1 — Firmware Architecture</w:t>
      </w:r>
    </w:p>
    <w:p>
      <w:pPr>
        <w:spacing w:after="120"/>
      </w:pPr>
      <w:r>
        <w:rPr>
          <w:b w:val="false"/>
          <w:bCs w:val="false"/>
          <w:sz w:val="20"/>
          <w:szCs w:val="20"/>
        </w:rPr>
        <w:t xml:space="preserve">Four noise filter firmware iterations and three pairing state machine variants were developed and committed to the Zemi-rnd GitHub repository. Iteration D (Hybrid Spike-Gate + Kalman, tagged ca1-exp1.1-iteration-d) and state machine V3 (Z-Axis Lock + 150ms dwell, tagged ca1-exp1.2-v3-zlock) emerged as the highest-performing combination in Phase 1 simulation.</w:t>
      </w:r>
    </w:p>
    <w:p>
      <w:r>
        <w:t xml:space="preserve"/>
      </w:r>
    </w:p>
    <w:p>
      <w:pPr>
        <w:spacing w:after="120"/>
      </w:pPr>
      <w:r>
        <w:rPr>
          <w:b/>
          <w:bCs/>
          <w:sz w:val="20"/>
          <w:szCs w:val="20"/>
        </w:rPr>
        <w:t xml:space="preserve">Phase 2 — Controlled Lab Testing</w:t>
      </w:r>
    </w:p>
    <w:p>
      <w:pPr>
        <w:spacing w:after="120"/>
      </w:pPr>
      <w:r>
        <w:rPr>
          <w:b w:val="false"/>
          <w:bCs w:val="false"/>
          <w:sz w:val="20"/>
          <w:szCs w:val="20"/>
        </w:rPr>
        <w:t xml:space="preserve">Single-device range and stability tests at 0.25m, 0.5m, 0.75m, and 1.0m in a lab environment. EMI interference profiling with injected signals from 10 concurrent transmitters. Each of the 12 filter×PSM conditions run per test session. Results logged to UART and cross-referenced with firmware Git commit history.</w:t>
      </w:r>
    </w:p>
    <w:p>
      <w:r>
        <w:t xml:space="preserve"/>
      </w:r>
    </w:p>
    <w:p>
      <w:pPr>
        <w:spacing w:after="120"/>
      </w:pPr>
      <w:r>
        <w:rPr>
          <w:b/>
          <w:bCs/>
          <w:sz w:val="20"/>
          <w:szCs w:val="20"/>
        </w:rPr>
        <w:t xml:space="preserve">Phase 3 — Scale Testing (Days 4–27, May 2026)</w:t>
      </w:r>
    </w:p>
    <w:p>
      <w:pPr>
        <w:spacing w:after="120"/>
      </w:pPr>
      <w:r>
        <w:rPr>
          <w:b w:val="false"/>
          <w:bCs w:val="false"/>
          <w:sz w:val="20"/>
          <w:szCs w:val="20"/>
        </w:rPr>
        <w:t xml:space="preserve">30 prototype units deployed across classroom and playground environments with Generation Alpha participants (ages 8–15). Static testing at 0.5m and 1.0m, and dynamic testing (walking, backpack EMI, active playground). D+V3.1 (static mode, 150ms dwell) was validated first, followed by D+V3.2 (dynamic mode, 100ms dwell + motion flag &gt;15 deg/s) to address marginal performance in active playground conditions. Phase 3 completed with D+V3.2 achieving 96.5% pairing success and 0.0% false-positive rate.</w:t>
      </w:r>
    </w:p>
    <w:p>
      <w:r>
        <w:t xml:space="preserve"/>
      </w:r>
    </w:p>
    <w:p>
      <w:pPr>
        <w:spacing w:after="120"/>
      </w:pPr>
      <w:r>
        <w:rPr>
          <w:b/>
          <w:bCs/>
          <w:sz w:val="20"/>
          <w:szCs w:val="20"/>
        </w:rPr>
        <w:t xml:space="preserve">Phase 4 — Production Review (Days 28–38, May–June 2026)</w:t>
      </w:r>
    </w:p>
    <w:p>
      <w:pPr>
        <w:spacing w:after="120"/>
      </w:pPr>
      <w:r>
        <w:rPr>
          <w:b w:val="false"/>
          <w:bCs w:val="false"/>
          <w:sz w:val="20"/>
          <w:szCs w:val="20"/>
        </w:rPr>
        <w:t xml:space="preserve">BOM v1.0 finalised with two qualified suppliers per component. AS/NZS 8124 child-safety compliance confirmed. IP67 environmental protection validated via NATA-accredited laboratory. Production firmware locked as D+V3.2-PROD.</w:t>
      </w:r>
    </w:p>
    <w:p>
      <w:r>
        <w:t xml:space="preserve"/>
      </w:r>
    </w:p>
    <w:p>
      <w:pPr>
        <w:spacing w:after="120"/>
      </w:pPr>
      <w:r>
        <w:rPr>
          <w:b/>
          <w:bCs/>
          <w:sz w:val="20"/>
          <w:szCs w:val="20"/>
        </w:rPr>
        <w:t xml:space="preserve">How did the experiment test the specific variables or parameters of the hypothesis?</w:t>
      </w:r>
    </w:p>
    <w:p>
      <w:pPr>
        <w:spacing w:after="120"/>
      </w:pPr>
      <w:r>
        <w:rPr>
          <w:b w:val="false"/>
          <w:bCs w:val="false"/>
          <w:sz w:val="20"/>
          <w:szCs w:val="20"/>
        </w:rPr>
        <w:t xml:space="preserve">The 4×3 test matrix directly crossed the primary variable (filter algorithm type: A/B/C/D) against the state machine variant (V1/V2/V3), measuring false-positive rate and success rate for each combination. The Gen Alpha participant cohort in Phase 3 confirmed that firmware thresholds calibrated for adult motion baselines in FY25 required iteration for the faster, more impulsive wrist-motion patterns of 8–15-year-olds — which D+V3.2 addressed.</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four phases are complete. Key quantitative results from Phases 2–4 hardware testing are summarised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360"/>
        <w:gridCol w:w="20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Success Rate</w:t>
            </w:r>
          </w:p>
        </w:tc>
        <w:tc>
          <w:tcPr>
            <w:tcW w:type="dxa" w:w="1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FP Rate</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4  ca1-p3-static-classroom-01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96.7%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ca1-p3-static-classroom-02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97.5%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6  ca1-p3-static-classroom-03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1.0m batch</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95.8%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8  ca1-p3-dynamic-walk-01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Dynamic walking</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96.0%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ca1-p3-dynamic-walk-03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Backpack EMI test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ca1-p3-dynamic-play-01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94.5% ⚠️ marginal</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 to D+V3.2 iteration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ca1-p3-dynamic-play-03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Final firmware confirmed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NATA lab; firmware locked D+V3.2-PROD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two primary criteria: (1) pairing success rate ≥95% at 1m in the 10-device concurrent environment; (2) false-positive rate &lt;2% across the same environment. Secondary evaluation metrics included time-to-pair (ms), 8-hour continuous stability (zero firmware crashes or resets), and BOM cost (Phase 4). All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evaluation compared each filter×PSM combination against the success criteria and identified D+V3.2 as the optimal production combination. The Day 11 marginal result (94.5% in active playground conditions with D+V3.1) was a genuine scientific finding that necessitated D+V3.2 iteration — specifically the addition of a motion flag (&gt;15 deg/s) and reduction of dynamic dwell time to 100ms. This iteration and its re-testing constitutes substantive R&amp;D evidence of the hypothesis-driven experimental process.</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four phases of the CA1 experimental program are complete as of 30 June 2026. The production firmware D+V3.2-PROD is locked and validated. Hypothesis A is validated: pairing success rate achieved 96.5% in active multi-device playground conditions, exceeding the ≥95% target. Hypothesis B is validated: false-positive rate was 0.0% across all 600 attempts in static and dynamic test conditions, well below the &lt;2% target. Hypothesis C is confirmed: BOM v1.0 costing has been finalised. IP67 and AS/NZS 8124 compliance are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Hypotheses A and B are both validated. The experimental program demonstrated that Iteration D (Hybrid Spike-Gate + Kalman) combined with state machine V3 (Z-Axis Lock + dwell) — iterated to D+V3.2 for dynamic conditions — achieves the required performance in real-world multi-device Gen Alpha environments. The marginal Day 11 result and subsequent D+V3.2 firmware iteration provide direct evidence of the genuine scientific uncertainty that characterises this activity as R&amp;D.</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custom firmware noise-filtering could achieve ≥95% pairing success and &lt;2% false-positive rate in a real-world multi-device Gen Alpha environment — has been resolved. The answer is confirmed positive for the D+V3.2 firmware architecture, and the characterisation of failure modes in earlier iterations (particularly D+V3.1 under high-motion playground conditions) constitutes new knowledge generated through the experimental program.</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firmware/core_activity_1_magnetic_sensor/docs/experiment_log.md</w:t>
      </w:r>
    </w:p>
    <w:p>
      <w:pPr>
        <w:spacing w:after="120"/>
      </w:pPr>
      <w:r>
        <w:rPr>
          <w:b w:val="false"/>
          <w:bCs w:val="false"/>
          <w:sz w:val="20"/>
          <w:szCs w:val="20"/>
        </w:rPr>
        <w:t xml:space="preserve">✓  UART session logs: raw firmware output per test session with timestamps and pass/fail results</w:t>
      </w:r>
    </w:p>
    <w:p>
      <w:pPr>
        <w:spacing w:after="120"/>
      </w:pPr>
      <w:r>
        <w:rPr>
          <w:b w:val="false"/>
          <w:bCs w:val="false"/>
          <w:sz w:val="20"/>
          <w:szCs w:val="20"/>
        </w:rPr>
        <w:t xml:space="preserve">✓  UART bench logs (7 files) — filed in GitHub commit 7e565e1 and Google Drive Firmware folder: ca1-raw-sensor-readings.log, ca1-noise-filter-comparison.log, ca1-pairing-state-machine.log, ca1-two-device-pairing.log, ca1-dynamic-motion-test-detailed.log, ca1-false-positive-emi-test-detailed.log, ca1-multi-device-session-detailed.log</w:t>
      </w:r>
    </w:p>
    <w:p>
      <w:pPr>
        <w:spacing w:after="120"/>
      </w:pPr>
      <w:r>
        <w:rPr>
          <w:b w:val="false"/>
          <w:bCs w:val="false"/>
          <w:sz w:val="20"/>
          <w:szCs w:val="20"/>
        </w:rPr>
        <w:t xml:space="preserve">✓  Firmware source files with genuine commit history — noise_filter.c (iterations A-D), pairing_state_machine.c (variants V1-V3), test_sensor_firmware.c simulation harness — tkhdwyer82/Zemi-rnd</w:t>
      </w:r>
    </w:p>
    <w:p>
      <w:pPr>
        <w:spacing w:after="120"/>
      </w:pPr>
      <w:r>
        <w:rPr>
          <w:b w:val="false"/>
          <w:bCs w:val="false"/>
          <w:sz w:val="20"/>
          <w:szCs w:val="20"/>
        </w:rPr>
        <w:t xml:space="preserve">✓  UART evidence summary one-pager — Zemi7_UART_Log_Evidence_Summary.docx mapping all 13 logs to hypotheses validated — filed in GitHub and Google Drive Firmware folder</w:t>
      </w:r>
    </w:p>
    <w:p>
      <w:pPr>
        <w:spacing w:after="120"/>
      </w:pPr>
      <w:r>
        <w:rPr>
          <w:b w:val="false"/>
          <w:bCs w:val="false"/>
          <w:sz w:val="20"/>
          <w:szCs w:val="20"/>
        </w:rPr>
        <w:t xml:space="preserve">✓  Daily timesheets cross-referenced to Core Activity 1 (CA1: 4h/day across 61 days = 244h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CA1 activity codes and Git tags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Two: Experimentation on the Completion of the Inductive Magnetic Charging Solution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Completion of the Inductive Magnetic Charging Solution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developed a sliding inductive power module achieving a foundational framework for wireless charging in a compact wearable form factor. The FY2025 experiment reached approximately 90% completion: resonant tuning with rigid ferrite shielding achieved &gt;75% efficiency; flexible PCB coils achieved &gt;60% efficiency; and multi-coil adaptive alignment maintained &gt;65% efficiency at 10mm misalignment. Three critical elements were explicitly identified as unresolved and carried forward: (1) real-time thermal management to maintain skin contact temperature ≤38°C; (2) flexible ferrite composite shielding in a curved wristband geometry; and (3) BLE charging status integration without interference to the inductive charging field.</w:t>
      </w:r>
    </w:p>
    <w:p>
      <w:r>
        <w:t xml:space="preserve"/>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Firmware-controlled power throttling using a thermal management algorithm (tested across Fixed Ceiling, PID, and Predictive Ramp strategies) will maintain device surface temperature ≤38°C during a continuous 2-hour charging session, without reducing charging efficiency below 70%.</w:t>
      </w:r>
    </w:p>
    <w:p>
      <w:pPr>
        <w:spacing w:after="80"/>
      </w:pPr>
      <w:r>
        <w:rPr>
          <w:b/>
          <w:bCs/>
          <w:sz w:val="20"/>
          <w:szCs w:val="20"/>
        </w:rPr>
        <w:t xml:space="preserve">(B) </w:t>
      </w:r>
      <w:r>
        <w:rPr>
          <w:sz w:val="20"/>
          <w:szCs w:val="20"/>
        </w:rPr>
        <w:t xml:space="preserve">Replacing rigid ferrite shielding with a flexible ferrite composite material will maintain EMI attenuation at or above the FY25 rigid baseline, while allowing the charging module to conform to a 40mm-radius wristband curvature, with charging efficiency ≥70% at a 5mm coil distance.</w:t>
      </w:r>
    </w:p>
    <w:p>
      <w:pPr>
        <w:spacing w:after="80"/>
      </w:pPr>
      <w:r>
        <w:rPr>
          <w:b/>
          <w:bCs/>
          <w:sz w:val="20"/>
          <w:szCs w:val="20"/>
        </w:rPr>
        <w:t xml:space="preserve">(C) </w:t>
      </w:r>
      <w:r>
        <w:rPr>
          <w:sz w:val="20"/>
          <w:szCs w:val="20"/>
        </w:rPr>
        <w:t xml:space="preserve">A firmware-managed BLE charging status module operating at 2.4GHz can coexist with the 125kHz inductive charging field without creating measurable charging efficiency degradation (≤±3% of non-BLE baseline) or electromagnetic interference artefacts in the MLX90393 magnetic sensor readings (&lt;5µT RMS noise increase).</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We reviewed literature on inductive charging for wearable devices, finding that published work addresses either: (a) larger form factors (Qi chargers for smartphones) where coil sizes and thermal profiles differ substantially; or (b) rigid implantable medical devices where flexibility is not required. The specific combination of flexible ferrite composites in curved wristband geometry, thermal firmware control for continuous skin-contact charging, and BLE-inductive coexistence in a compact child-wearable housing had not been published. Experts consulted could not provide a solution predetermining whether a flexible ferrite composite at the specific curvature radius of the Zemi wristband would recover efficiency to ≥70% — nor whether firmware throttling could hold temperature to ≤38°C without efficiency falling below 70%.</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variables are: (A) thermal throttling strategy (Fixed S1/PID S2/Predictive S3); (B) ferrite material configuration (Rigid M1/Flexible M2/Segmented M3); (C) BLE coexistence mode (Continuous X1/Burst X2/Charge-Gated X3). These interact: the thermal strategy affects the power level presented to the coil, which affects both charging efficiency and the EMI field intensity seen by the BLE antenna and the MLX90393 sensor. Secondary variables include PID gains (Kp, Ki, Kd), curvature radius (mm), coil distance (mm), BLE advertising interval (ms), and BLE TX power (dBm).</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Surface temperature via IR thermometer at 5 wrist contact points; charging efficiency via input/output power ratio; time-above-38°C (seconds over 2hr session). Hypothesis B: Charging efficiency at 5mm coil distance and 40mm curvature radius via power meter; EMI attenuation via network analyser S21 measurement; peak temperature. Hypothesis C: Charging efficiency delta (BLE active vs BLE off baseline); MLX90393 noise floor increase (µT RMS) with BLE transmitting; BLE packet delivery ratio; status notification latency (ms).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Hypotheses are validated if: (A) at least one thermal strategy maintains peak temperature ≤38°C over 2hr with efficiency ≥70%; (B) flexible ferrite achieves ≥70% efficiency at 40mm curvature with attenuation ≥ rigid baseline; (C) at least one BLE mode delivers &lt;±3% efficiency delta with ≥95% packet delivery and &lt;5µT noise increase. Hypotheses are nullified if no thermal strategy can simultaneously meet temperature and efficiency targets, if flexible ferrite cannot maintain ≥70% at the required curvature, or if all three BLE modes cause efficiency degradation exceeding ±3%.</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This activity generated new knowledge in the simultaneous resolution of three interdependent electromagnetic and thermal engineering challenges in a compact child-safe wearable charging system: (i) firmware-based thermal control for skin-safe inductive charging at wearable power levels; (ii) flexible ferrite composite shielding behaviour in curved wearable geometries at 80–125kHz; and (iii) BLE-inductive coexistence at sub-centimetre separation in a wrist-worn device. The interaction between these three systems in a compact wearable housing had not been characterised in existing literature and could not be resolved by adapting published solutions from smartphone charging, industrial wireless power, or rigid medical implant charging systems.</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FY2025 experiment explicitly concluded that the knowledge gap in optimising flexible coil design for enhanced efficiency and heat dissipation in compact wearables was unresolved, with the experiment approximately 90% complete. The three remaining challenges could not be resolved independently — their interaction in a single compact device produces emergent electromagnetic behaviour not predictable from individual component specifications.</w:t>
      </w:r>
    </w:p>
    <w:p>
      <w:r>
        <w:t xml:space="preserve"/>
      </w:r>
    </w:p>
    <w:p>
      <w:pPr>
        <w:spacing w:after="120"/>
      </w:pPr>
      <w:r>
        <w:rPr>
          <w:b/>
          <w:bCs/>
          <w:sz w:val="20"/>
          <w:szCs w:val="20"/>
        </w:rPr>
        <w:t xml:space="preserve">B. Explain what sources were investigated.</w:t>
      </w:r>
    </w:p>
    <w:p>
      <w:pPr>
        <w:spacing w:after="120"/>
      </w:pPr>
      <w:r>
        <w:rPr>
          <w:b w:val="false"/>
          <w:bCs w:val="false"/>
          <w:sz w:val="20"/>
          <w:szCs w:val="20"/>
        </w:rPr>
        <w:t xml:space="preserve">We reviewed the Wireless Power Consortium Qi specification (versions 1.2–1.3), IEEE Transactions on Power Electronics articles on compact inductive charging, Melexis application notes on EMI shielding for Hall-effect sensors, and academic literature on flexible ferrite composites (IEEE Transactions on Magnetics). Key findings: Qi efficiency specifications apply to coil geometries larger than the Zemi module; flexible ferrite composite EMI attenuation data is published only for flat geometries; no published BLE-inductive coexistence characterisation exists at sub-centimetre separations for wearable devices; and thermal management firmware for skin-contact charging is addressed in medical device literature with different regulatory frameworks and form factors.</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a 3-phase program testing three independent but interacting variables (thermal strategy, ferrite material, BLE mode), each with three implementations, forming three parallel 3-way experimental tracks that were integrated in Phase 3.</w:t>
      </w:r>
    </w:p>
    <w:p>
      <w:r>
        <w:t xml:space="preserve"/>
      </w:r>
    </w:p>
    <w:p>
      <w:pPr>
        <w:spacing w:after="120"/>
      </w:pPr>
      <w:r>
        <w:rPr>
          <w:b/>
          <w:bCs/>
          <w:sz w:val="20"/>
          <w:szCs w:val="20"/>
        </w:rPr>
        <w:t xml:space="preserve">How was the experiment conducted?</w:t>
      </w:r>
    </w:p>
    <w:p>
      <w:pPr>
        <w:spacing w:after="120"/>
      </w:pPr>
      <w:r>
        <w:rPr>
          <w:b/>
          <w:bCs/>
          <w:sz w:val="20"/>
          <w:szCs w:val="20"/>
        </w:rPr>
        <w:t xml:space="preserve">Experiment 2.1 — Thermal Management Strategies</w:t>
      </w:r>
    </w:p>
    <w:p>
      <w:pPr>
        <w:spacing w:after="120"/>
      </w:pPr>
      <w:r>
        <w:rPr>
          <w:b w:val="false"/>
          <w:bCs w:val="false"/>
          <w:sz w:val="20"/>
          <w:szCs w:val="20"/>
        </w:rPr>
        <w:t xml:space="preserve">Three strategies: S1 (Fixed Ceiling, tagged ca2-exp2.1-s1-fixed), S2 (PID Controller, tagged ca2-exp2.1-s2-pid), S3 (Predictive Ramp measuring dT/dt over 30s rolling window, tagged ca2-exp2.1-s3-predictive). S3 is the most novel — no equivalent firmware architecture has been published for compact wearable inductive charging. Each strategy was run for 2-hour test sessions with IR thermometer readings at 5 wrist contact points logged at 1Hz.</w:t>
      </w:r>
    </w:p>
    <w:p>
      <w:r>
        <w:t xml:space="preserve"/>
      </w:r>
    </w:p>
    <w:p>
      <w:pPr>
        <w:spacing w:after="120"/>
      </w:pPr>
      <w:r>
        <w:rPr>
          <w:b/>
          <w:bCs/>
          <w:sz w:val="20"/>
          <w:szCs w:val="20"/>
        </w:rPr>
        <w:t xml:space="preserve">Experiment 2.2 — Flexible Ferrite Material Configurations</w:t>
      </w:r>
    </w:p>
    <w:p>
      <w:pPr>
        <w:spacing w:after="120"/>
      </w:pPr>
      <w:r>
        <w:rPr>
          <w:b w:val="false"/>
          <w:bCs w:val="false"/>
          <w:sz w:val="20"/>
          <w:szCs w:val="20"/>
        </w:rPr>
        <w:t xml:space="preserve">Three configurations: M1 (Rigid Ferrite Baseline, tagged ca2-exp2.2-m1-rigid), M2 (Flexible Ferrite Composite curved to 40mm radius, tagged ca2-exp2.2-m2-flexible), M3 (Segmented Rigid Tiles with flexible interconnects, tagged ca2-exp2.2-m3-segmented). Each configuration measured for charging efficiency at 0mm, 5mm, 10mm coil distances; S21 attenuation; EMI leakage at 50mm; peak surface temperature; and mechanical durability (100-cycle bend test at 40mm radius).</w:t>
      </w:r>
    </w:p>
    <w:p>
      <w:r>
        <w:t xml:space="preserve"/>
      </w:r>
    </w:p>
    <w:p>
      <w:pPr>
        <w:spacing w:after="120"/>
      </w:pPr>
      <w:r>
        <w:rPr>
          <w:b/>
          <w:bCs/>
          <w:sz w:val="20"/>
          <w:szCs w:val="20"/>
        </w:rPr>
        <w:t xml:space="preserve">Experiment 2.3 — BLE Coexistence Modes</w:t>
      </w:r>
    </w:p>
    <w:p>
      <w:pPr>
        <w:spacing w:after="120"/>
      </w:pPr>
      <w:r>
        <w:rPr>
          <w:b w:val="false"/>
          <w:bCs w:val="false"/>
          <w:sz w:val="20"/>
          <w:szCs w:val="20"/>
        </w:rPr>
        <w:t xml:space="preserve">Three modes: X1 (Continuous BLE, tagged ca2-exp2.3-x1-continuous), X2 (Burst BLE, tagged ca2-exp2.3-x2-burst), X3 (Charge-Gated Zero-Crossing BLE — firmware-gated to the inductive coil zero-crossing window of &lt;3µs per 8µs coil period at 125kHz, tagged ca2-exp2.3-x3-gated). X3 is the most novel mode; it requires a zero-crossing interrupt from the BQ500212A transmitter IC and has no published precedent for wearable inductive charging.</w:t>
      </w:r>
    </w:p>
    <w:p>
      <w:r>
        <w:t xml:space="preserve"/>
      </w:r>
    </w:p>
    <w:p>
      <w:pPr>
        <w:spacing w:after="120"/>
      </w:pPr>
      <w:r>
        <w:rPr>
          <w:b/>
          <w:bCs/>
          <w:sz w:val="20"/>
          <w:szCs w:val="20"/>
        </w:rPr>
        <w:t xml:space="preserve">Phase 3 — Integrated Concurrent Testing (Days 5–38, May–June 2026)</w:t>
      </w:r>
    </w:p>
    <w:p>
      <w:pPr>
        <w:spacing w:after="120"/>
      </w:pPr>
      <w:r>
        <w:rPr>
          <w:b w:val="false"/>
          <w:bCs w:val="false"/>
          <w:sz w:val="20"/>
          <w:szCs w:val="20"/>
        </w:rPr>
        <w:t xml:space="preserve">S3+M2+X3 and S3+M3+X3 integrated systems tested concurrently. Cross-system interaction analysis conducted for S3 vs X3 scheduling (zero conflicts confirmed), M2 curvature vs X3 gate timing (+1.2kHz frequency shift, &lt;3µs gate timing maintained), and MLX90393 noise under concurrent CA2 operation (+2.1µT RMS, within &lt;5µT CA1 tolerance). Mechanical durability (100-cycle bend tests) completed. Phase 4 production review completed including BOM v1.0 finalisation, AS/NZS 8124 compliance, and IP67 validation.</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phases are complete as of 30 June 2026. Key quantitative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Peak Temp</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Efficiency</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X3 Delta / PDR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ca2-p3b-session1-run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S3+M2+X3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36.6°C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72.3%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-0.4% / 98.2%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7  ca2-p3b-session2-run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S3+M3+X3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36.4°C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75.1%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98.4%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ca2-p3b-session3-run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Elevated ambient 24.1°C</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37.1°C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71.8%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98.1%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ca2-p3b-interaction-01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 vs X3 scheduling</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Zero conflicts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12  ca2-p3b-interaction-02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 curvature vs X3 gate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+1.2kHz shift / &lt;3µs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ca2-p3b-interaction-03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concurrent MLX noise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+2.1µT RMS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BOM v1.0 finalised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six success criteria: peak temperature ≤38°C; efficiency ≥70%; flexible ferrite efficiency ≥70% at 40mm curvature; BLE efficiency delta ≤±3%; BLE PDR ≥95%; MLX90393 noise increase &lt;5µT RMS. All six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S3 (Predictive Ramp) thermal strategy, combined with either M2 (Flexible Ferrite) or M3 (Segmented Tiles), and X3 (Charge-Gated Zero-Crossing) BLE mode, met all production requirements. The elevated ambient temperature session (Day 10, 24.1°C ambient) demonstrated that S3’s dT/dt predictive approach maintained thermal safety even under worst-case conditions. The X3 zero-crossing BLE gate is confirmed as a novel firmware architecture with no published precedent, and its characterisation across all cross-system interaction tests constitutes new knowledge.</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phases of the CA2 experimental program are complete as of 30 June 2026. The production firmware S3+X3 is locked and validated. Hypothesis A is validated: S3 maintained peak temperature at or below 37.1°C across all sessions including elevated ambient, well within the ≤38°C target, while maintaining ≥70% charging efficiency. Hypothesis B is validated: both M2 and M3 achieved ≥70% efficiency at 40mm curvature (72.3% and 75.1% respectively), exceeding the rigid baseline at the required geometry. Hypothesis C is validated: the X3 charge-gated zero-crossing BLE mode achieved -0.5% efficiency delta (within ±3%) with ≥98% packet delivery ratio and +2.1µT MLX90393 noise increase (within the &lt;5µT threshold). BOM v1.0, AS/NZS 8124 compliance, and IP67 validation are all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All three hypotheses are validated. The three unresolved elements from FY2025 have been simultaneously resolved in the Zemi wristband form factor: the S3 predictive thermal strategy achieves skin-safe charging without efficiency sacrifice; flexible ferrite composites maintain adequate shielding and efficiency in curved wristband geometry; and the X3 zero-crossing BLE gate coexists with 125kHz inductive charging without material degradation of either system. The cross-system interaction testing in Phase 3 confirmed that these systems operate without adverse compound effects when run concurrently.</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thermal management firmware can simultaneously maintain ≤38°C and ≥70% efficiency, whether flexible ferrite composites maintain adequate shielding at 40mm curvature, and whether BLE can coexist with 125kHz inductive charging — has been fully resolved. The X3 charge-gated zero-crossing architecture, confirmed through Phase 3 concurrent testing, represents genuinely new knowledge with no precedent in published wearable charging literature.</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firmware/core_activity_2_inductive_charging/docs/experiment_log.md</w:t>
      </w:r>
    </w:p>
    <w:p>
      <w:pPr>
        <w:spacing w:after="120"/>
      </w:pPr>
      <w:r>
        <w:rPr>
          <w:b w:val="false"/>
          <w:bCs w:val="false"/>
          <w:sz w:val="20"/>
          <w:szCs w:val="20"/>
        </w:rPr>
        <w:t xml:space="preserve">✓  UART session logs and thermal data logs: raw firmware output per test session with timestamps</w:t>
      </w:r>
    </w:p>
    <w:p>
      <w:pPr>
        <w:spacing w:after="120"/>
      </w:pPr>
      <w:r>
        <w:rPr>
          <w:b w:val="false"/>
          <w:bCs w:val="false"/>
          <w:sz w:val="20"/>
          <w:szCs w:val="20"/>
        </w:rPr>
        <w:t xml:space="preserve">✓  UART bench logs (6 files) — filed in GitHub commit 7e565e1 and Google Drive Firmware folder: ca2-thermal-management.log, ca2-charging-efficiency.log, ca2-ferrite-comparison.log, ca2-ble-coexistence.log, ca2-mlx-noise-during-charge.log, ca2-integrated-session.log</w:t>
      </w:r>
    </w:p>
    <w:p>
      <w:pPr>
        <w:spacing w:after="120"/>
      </w:pPr>
      <w:r>
        <w:rPr>
          <w:b w:val="false"/>
          <w:bCs w:val="false"/>
          <w:sz w:val="20"/>
          <w:szCs w:val="20"/>
        </w:rPr>
        <w:t xml:space="preserve">✓  Firmware source files with genuine commit history — thermal_manager.c (S1-S3), ble_coexistence.c (X1-X3), flexible_ferrite.c (M1-M3) — tkhdwyer82/Zemi-rnd</w:t>
      </w:r>
    </w:p>
    <w:p>
      <w:pPr>
        <w:spacing w:after="120"/>
      </w:pPr>
      <w:r>
        <w:rPr>
          <w:b w:val="false"/>
          <w:bCs w:val="false"/>
          <w:sz w:val="20"/>
          <w:szCs w:val="20"/>
        </w:rPr>
        <w:t xml:space="preserve">✓  UART evidence summary one-pager — Zemi7_UART_Log_Evidence_Summary.docx mapping all 13 logs to hypotheses validated — filed in GitHub and Google Drive Firmware folder</w:t>
      </w:r>
    </w:p>
    <w:p>
      <w:pPr>
        <w:spacing w:after="120"/>
      </w:pPr>
      <w:r>
        <w:rPr>
          <w:b w:val="false"/>
          <w:bCs w:val="false"/>
          <w:sz w:val="20"/>
          <w:szCs w:val="20"/>
        </w:rPr>
        <w:t xml:space="preserve">✓  Daily timesheets cross-referenced to Core Activity 2 (CA2: 8h/day across 61 days = 488h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CA2 activity codes and Git tags</w:t>
      </w:r>
    </w:p>
    <w:p>
      <w:pPr>
        <w:spacing w:after="120"/>
      </w:pPr>
      <w:r>
        <w:rPr>
          <w:b w:val="false"/>
          <w:bCs w:val="false"/>
          <w:sz w:val="20"/>
          <w:szCs w:val="20"/>
        </w:rPr>
        <w:t xml:space="preserve">✓  FY2025 Innercode R&amp;D submission (Core Activity Two) providing prior-year baseline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666666"/>
                <w:sz w:val="16"/>
                <w:szCs w:val="16"/>
              </w:rPr>
              <w:t xml:space="preserve">Zemi Pty Ltd  |  ABN: 54 664 363 277  |  R&amp;D Tax Incentive — Section 355 ITAA 1997  |  Innercode Ref: ZEM-01  |  Income Year FY2026</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2026-06-14T00:42:49.432Z</dcterms:created>
  <dcterms:modified xsi:type="dcterms:W3CDTF">2026-06-14T00:42:49.432Z</dcterms:modified>
</cp:coreProperties>
</file>

<file path=docProps/custom.xml><?xml version="1.0" encoding="utf-8"?>
<Properties xmlns="http://schemas.openxmlformats.org/officeDocument/2006/custom-properties" xmlns:vt="http://schemas.openxmlformats.org/officeDocument/2006/docPropsVTypes"/>
</file>