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[JUDGMENT] UI 変更要求の工数見積</w:t>
      </w:r>
    </w:p>
    <w:p>
      <w:r>
        <w:t>この UI 変更要求について、プロダクトマネージャーの立場で判断してください。</w:t>
        <w:br/>
        <w:t>既存画面と 4 つの赤い吹き出しの変更要求を読み、以下 4 点に具体的に答えてください。</w:t>
        <w:br/>
        <w:br/>
        <w:t>(1) 4 つの変更要求それぞれの実装工数見積もり (Small / Medium / Large) と理由。</w:t>
        <w:br/>
        <w:t>(2) 各変更がバックエンド (API) の変更を必要とするか否か。</w:t>
        <w:br/>
        <w:t>(3) 最も技術的リスクが高い変更はどれで、その理由は何か。</w:t>
        <w:br/>
        <w:t>(4) これら 4 つの変更を並列で実装できますか? 依存関係があれば指摘してください。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07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i_ch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