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56"/>
          <w:szCs w:val="56"/>
        </w:rPr>
        <w:t xml:space="preserve">Changan MMM Platform</w:t>
      </w:r>
    </w:p>
    <w:p>
      <w:pPr>
        <w:spacing w:after="200"/>
      </w:pPr>
      <w:r>
        <w:rPr>
          <w:rFonts w:ascii="Arial" w:cs="Arial" w:eastAsia="Arial" w:hAnsi="Arial"/>
          <w:b/>
          <w:bCs/>
          <w:color w:val="1a1a2e"/>
          <w:sz w:val="28"/>
          <w:szCs w:val="28"/>
        </w:rPr>
        <w:t xml:space="preserve">User Stories &amp; Query Mapping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6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Document Type</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Story Reference / Pipeline Requirements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Changan MMM Platform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Audience</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 Khongsap (Data Pipeline Engineer)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Purpose</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Define who uses the platform, what they ask, which data sources are needed to answer each query, and where hallucination risks exist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Companion Document</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Changan MMM Synthetic Data Document (field schemas, example records)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Author</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Jason Liew, Managing Director, S42 Labs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Last Updated</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2026-02-08</w:t>
            </w:r>
          </w:p>
        </w:tc>
      </w:tr>
    </w:tbl>
    <w:p>
      <w:pPr>
        <w:pBdr>
          <w:bottom w:val="single" w:color="CCCCCC" w:sz="1"/>
        </w:pBdr>
        <w:spacing w:before="200" w:after="200"/>
      </w:pPr>
    </w:p>
    <w:p>
      <w:pPr>
        <w:pStyle w:val="Heading1"/>
        <w:spacing w:before="300" w:after="120"/>
      </w:pPr>
      <w:r>
        <w:rPr>
          <w:rFonts w:ascii="Arial" w:cs="Arial" w:eastAsia="Arial" w:hAnsi="Arial"/>
          <w:b/>
          <w:bCs/>
          <w:color w:val="1a1a2e"/>
          <w:sz w:val="28"/>
          <w:szCs w:val="28"/>
        </w:rPr>
        <w:t xml:space="preserve">1. How to Read This Document</w:t>
      </w:r>
    </w:p>
    <w:p>
      <w:pPr>
        <w:pStyle w:val="Heading2"/>
        <w:spacing w:before="240" w:after="100"/>
      </w:pPr>
      <w:r>
        <w:rPr>
          <w:rFonts w:ascii="Arial" w:cs="Arial" w:eastAsia="Arial" w:hAnsi="Arial"/>
          <w:b/>
          <w:bCs/>
          <w:color w:val="1a1a2e"/>
          <w:sz w:val="24"/>
          <w:szCs w:val="24"/>
        </w:rPr>
        <w:t xml:space="preserve">1.1 Why This Matters for Data Pipeline Work</w:t>
      </w:r>
    </w:p>
    <w:p>
      <w:pPr>
        <w:spacing w:after="80"/>
      </w:pPr>
      <w:r>
        <w:rPr>
          <w:rFonts w:ascii="Arial" w:cs="Arial" w:eastAsia="Arial" w:hAnsi="Arial"/>
          <w:sz w:val="18"/>
          <w:szCs w:val="18"/>
        </w:rPr>
        <w:t xml:space="preserve">The Synthetic Data Document tells you WHAT data exists and what format it comes in. This document tells you WHY that data matters — what real people will be asking, and which data sources need to come together to answer their questions.</w:t>
      </w:r>
    </w:p>
    <w:p>
      <w:pPr>
        <w:spacing w:after="80"/>
      </w:pPr>
      <w:r>
        <w:rPr>
          <w:rFonts w:ascii="Arial" w:cs="Arial" w:eastAsia="Arial" w:hAnsi="Arial"/>
          <w:sz w:val="18"/>
          <w:szCs w:val="18"/>
        </w:rPr>
        <w:t xml:space="preserve">When you’re building the ingestion pipeline, this document helps you understand:</w:t>
      </w:r>
    </w:p>
    <w:p>
      <w:pPr>
        <w:pStyle w:val="ListParagraph"/>
        <w:numPr>
          <w:ilvl w:val="0"/>
          <w:numId w:val="2"/>
        </w:numPr>
        <w:spacing w:after="40"/>
      </w:pPr>
      <w:r>
        <w:rPr>
          <w:rFonts w:ascii="Arial" w:cs="Arial" w:eastAsia="Arial" w:hAnsi="Arial"/>
          <w:sz w:val="18"/>
          <w:szCs w:val="18"/>
        </w:rPr>
        <w:t xml:space="preserve">Which data sources are mission-critical vs nice-to-have (if the sales data pipeline breaks, everything breaks; if the radio data is delayed by a week, nobody notices for a while)</w:t>
      </w:r>
    </w:p>
    <w:p>
      <w:pPr>
        <w:pStyle w:val="ListParagraph"/>
        <w:numPr>
          <w:ilvl w:val="0"/>
          <w:numId w:val="2"/>
        </w:numPr>
        <w:spacing w:after="40"/>
      </w:pPr>
      <w:r>
        <w:rPr>
          <w:rFonts w:ascii="Arial" w:cs="Arial" w:eastAsia="Arial" w:hAnsi="Arial"/>
          <w:sz w:val="18"/>
          <w:szCs w:val="18"/>
        </w:rPr>
        <w:t xml:space="preserve">Which data sources need to be joined together (a CMO asking “is TV working?” requires TV spend data + sales data + economic indicators all linked by date and geography)</w:t>
      </w:r>
    </w:p>
    <w:p>
      <w:pPr>
        <w:pStyle w:val="ListParagraph"/>
        <w:numPr>
          <w:ilvl w:val="0"/>
          <w:numId w:val="2"/>
        </w:numPr>
        <w:spacing w:after="40"/>
      </w:pPr>
      <w:r>
        <w:rPr>
          <w:rFonts w:ascii="Arial" w:cs="Arial" w:eastAsia="Arial" w:hAnsi="Arial"/>
          <w:sz w:val="18"/>
          <w:szCs w:val="18"/>
        </w:rPr>
        <w:t xml:space="preserve">Where the AI interpretation layer needs to be careful (some questions have definitive answers from the data; others require the AI to make judgement calls, which is where hallucination risk is highest)</w:t>
      </w:r>
    </w:p>
    <w:p>
      <w:pPr>
        <w:pStyle w:val="ListParagraph"/>
        <w:numPr>
          <w:ilvl w:val="0"/>
          <w:numId w:val="2"/>
        </w:numPr>
        <w:spacing w:after="40"/>
      </w:pPr>
      <w:r>
        <w:rPr>
          <w:rFonts w:ascii="Arial" w:cs="Arial" w:eastAsia="Arial" w:hAnsi="Arial"/>
          <w:sz w:val="18"/>
          <w:szCs w:val="18"/>
        </w:rPr>
        <w:t xml:space="preserve">What “real-time” means for different users (a media planner wants yesterday’s data; a CMO is happy with last week’s; procurement only needs monthly)</w:t>
      </w:r>
    </w:p>
    <w:p>
      <w:pPr>
        <w:pStyle w:val="Heading2"/>
        <w:spacing w:before="240" w:after="100"/>
      </w:pPr>
      <w:r>
        <w:rPr>
          <w:rFonts w:ascii="Arial" w:cs="Arial" w:eastAsia="Arial" w:hAnsi="Arial"/>
          <w:b/>
          <w:bCs/>
          <w:color w:val="1a1a2e"/>
          <w:sz w:val="24"/>
          <w:szCs w:val="24"/>
        </w:rPr>
        <w:t xml:space="preserve">1.2 AI Complexity Levels</w:t>
      </w:r>
    </w:p>
    <w:p>
      <w:pPr>
        <w:spacing w:after="80"/>
      </w:pPr>
      <w:r>
        <w:rPr>
          <w:rFonts w:ascii="Arial" w:cs="Arial" w:eastAsia="Arial" w:hAnsi="Arial"/>
          <w:sz w:val="18"/>
          <w:szCs w:val="18"/>
        </w:rPr>
        <w:t xml:space="preserve">Each query in this document is tagged with an AI complexity level. This tells you how much the AI layer needs to do beyond just pulling data:</w:t>
      </w:r>
    </w:p>
    <w:p>
      <w:pPr>
        <w:pStyle w:val="ListParagraph"/>
        <w:numPr>
          <w:ilvl w:val="0"/>
          <w:numId w:val="2"/>
        </w:numPr>
        <w:spacing w:after="40"/>
      </w:pPr>
      <w:r>
        <w:rPr>
          <w:rFonts w:ascii="Arial" w:cs="Arial" w:eastAsia="Arial" w:hAnsi="Arial"/>
          <w:sz w:val="18"/>
          <w:szCs w:val="18"/>
        </w:rPr>
        <w:t xml:space="preserve">LOOKUP — Simple data retrieval. The answer exists in one data source. The AI just needs to find it and present it clearly. Example: “How much did we spend on Meta last month?” Pipeline requirement: fast, reliable data access.</w:t>
      </w:r>
    </w:p>
    <w:p>
      <w:pPr>
        <w:pStyle w:val="ListParagraph"/>
        <w:numPr>
          <w:ilvl w:val="0"/>
          <w:numId w:val="2"/>
        </w:numPr>
        <w:spacing w:after="40"/>
      </w:pPr>
      <w:r>
        <w:rPr>
          <w:rFonts w:ascii="Arial" w:cs="Arial" w:eastAsia="Arial" w:hAnsi="Arial"/>
          <w:sz w:val="18"/>
          <w:szCs w:val="18"/>
        </w:rPr>
        <w:t xml:space="preserve">JOIN — The answer requires combining data from 2-3 sources. The AI needs to match records by date, geography, or campaign name. Example: “What’s our cost per test drive from Google Ads?” (requires Google Ads spend + test drive bookings linked by UTM campaign). Pipeline requirement: consistent date formats, reliable campaign name mapping.</w:t>
      </w:r>
    </w:p>
    <w:p>
      <w:pPr>
        <w:pStyle w:val="ListParagraph"/>
        <w:numPr>
          <w:ilvl w:val="0"/>
          <w:numId w:val="2"/>
        </w:numPr>
        <w:spacing w:after="40"/>
      </w:pPr>
      <w:r>
        <w:rPr>
          <w:rFonts w:ascii="Arial" w:cs="Arial" w:eastAsia="Arial" w:hAnsi="Arial"/>
          <w:sz w:val="18"/>
          <w:szCs w:val="18"/>
        </w:rPr>
        <w:t xml:space="preserve">ANALYSIS — The answer requires calculation, comparison, or trend detection across multiple sources. The AI needs to compute ratios, identify patterns, or compare against benchmarks. Example: “Which channel has the best ROI?” Pipeline requirement: all spend and outcome data normalised and time-aligned.</w:t>
      </w:r>
    </w:p>
    <w:p>
      <w:pPr>
        <w:pStyle w:val="ListParagraph"/>
        <w:numPr>
          <w:ilvl w:val="0"/>
          <w:numId w:val="2"/>
        </w:numPr>
        <w:spacing w:after="40"/>
      </w:pPr>
      <w:r>
        <w:rPr>
          <w:rFonts w:ascii="Arial" w:cs="Arial" w:eastAsia="Arial" w:hAnsi="Arial"/>
          <w:sz w:val="18"/>
          <w:szCs w:val="18"/>
        </w:rPr>
        <w:t xml:space="preserve">MODEL — The answer requires running or interpreting an MMM model. These are the big strategic questions that are the whole reason this platform exists. The AI needs to present model outputs with appropriate uncertainty. Example: “If I move £500K from TV to YouTube, what happens to sales?” Pipeline requirement: complete, consistent, time-series data across all channels and outcomes.</w:t>
      </w:r>
    </w:p>
    <w:p>
      <w:pPr>
        <w:pStyle w:val="ListParagraph"/>
        <w:numPr>
          <w:ilvl w:val="0"/>
          <w:numId w:val="2"/>
        </w:numPr>
        <w:spacing w:after="40"/>
      </w:pPr>
      <w:r>
        <w:rPr>
          <w:rFonts w:ascii="Arial" w:cs="Arial" w:eastAsia="Arial" w:hAnsi="Arial"/>
          <w:sz w:val="18"/>
          <w:szCs w:val="18"/>
        </w:rPr>
        <w:t xml:space="preserve">EXTRACTION — The answer requires parsing unstructured documents (contracts, PDFs, vendor reports). The AI needs to find specific terms buried in legal language. Example: “What’s our cancellation period with ITV?” Pipeline requirement: document ingestion, chunking, embedding, RAG retrieval.</w:t>
      </w:r>
    </w:p>
    <w:p>
      <w:pPr>
        <w:pStyle w:val="Heading2"/>
        <w:spacing w:before="240" w:after="100"/>
      </w:pPr>
      <w:r>
        <w:rPr>
          <w:rFonts w:ascii="Arial" w:cs="Arial" w:eastAsia="Arial" w:hAnsi="Arial"/>
          <w:b/>
          <w:bCs/>
          <w:color w:val="1a1a2e"/>
          <w:sz w:val="24"/>
          <w:szCs w:val="24"/>
        </w:rPr>
        <w:t xml:space="preserve">1.3 Hallucination Risk Ratings</w:t>
      </w:r>
    </w:p>
    <w:p>
      <w:pPr>
        <w:spacing w:after="80"/>
      </w:pPr>
      <w:r>
        <w:rPr>
          <w:rFonts w:ascii="Arial" w:cs="Arial" w:eastAsia="Arial" w:hAnsi="Arial"/>
          <w:sz w:val="18"/>
          <w:szCs w:val="18"/>
        </w:rPr>
        <w:t xml:space="preserve">Every query has a hallucination risk rating. This is critical for Ta to understand because it affects how the pipeline and AI layer need to be designed:</w:t>
      </w:r>
    </w:p>
    <w:p>
      <w:pPr>
        <w:pStyle w:val="ListParagraph"/>
        <w:numPr>
          <w:ilvl w:val="0"/>
          <w:numId w:val="2"/>
        </w:numPr>
        <w:spacing w:after="40"/>
      </w:pPr>
      <w:r>
        <w:rPr>
          <w:rFonts w:ascii="Arial" w:cs="Arial" w:eastAsia="Arial" w:hAnsi="Arial"/>
          <w:sz w:val="18"/>
          <w:szCs w:val="18"/>
        </w:rPr>
        <w:t xml:space="preserve">LOW — The answer is a direct fact from the data. If the data is correct, the answer will be correct. The AI has very little room to make things up. Example: “How much did we spend on Meta in October?”</w:t>
      </w:r>
    </w:p>
    <w:p>
      <w:pPr>
        <w:pStyle w:val="ListParagraph"/>
        <w:numPr>
          <w:ilvl w:val="0"/>
          <w:numId w:val="2"/>
        </w:numPr>
        <w:spacing w:after="40"/>
      </w:pPr>
      <w:r>
        <w:rPr>
          <w:rFonts w:ascii="Arial" w:cs="Arial" w:eastAsia="Arial" w:hAnsi="Arial"/>
          <w:sz w:val="18"/>
          <w:szCs w:val="18"/>
        </w:rPr>
        <w:t xml:space="preserve">MEDIUM — The answer requires some interpretation, comparison, or aggregation. The AI could make errors in how it combines data, which time period it uses, or which metric it reports. Ground truth exists but needs careful retrieval. Example: “What’s our best-performing channel?” (depends on how you define “best”)</w:t>
      </w:r>
    </w:p>
    <w:p>
      <w:pPr>
        <w:pStyle w:val="ListParagraph"/>
        <w:numPr>
          <w:ilvl w:val="0"/>
          <w:numId w:val="2"/>
        </w:numPr>
        <w:spacing w:after="40"/>
      </w:pPr>
      <w:r>
        <w:rPr>
          <w:rFonts w:ascii="Arial" w:cs="Arial" w:eastAsia="Arial" w:hAnsi="Arial"/>
          <w:sz w:val="18"/>
          <w:szCs w:val="18"/>
        </w:rPr>
        <w:t xml:space="preserve">HIGH — The answer involves inference, prediction, or interpreting ambiguous source material. The AI could confidently present an answer that is plausible but wrong. These queries MUST include confidence indicators and source citations. Example: “Will increasing YouTube spend improve Q1 sales?” (model prediction with uncertainty) or “What’s the penalty for cancelling our Sky contract?” (extracted from complex legal docs)</w:t>
      </w:r>
    </w:p>
    <w:p>
      <w:pPr>
        <w:pStyle w:val="Heading2"/>
        <w:spacing w:before="240" w:after="100"/>
      </w:pPr>
      <w:r>
        <w:rPr>
          <w:rFonts w:ascii="Arial" w:cs="Arial" w:eastAsia="Arial" w:hAnsi="Arial"/>
          <w:b/>
          <w:bCs/>
          <w:color w:val="1a1a2e"/>
          <w:sz w:val="24"/>
          <w:szCs w:val="24"/>
        </w:rPr>
        <w:t xml:space="preserve">1.4 What “Data Sources Required” Means</w:t>
      </w:r>
    </w:p>
    <w:p>
      <w:pPr>
        <w:spacing w:after="80"/>
      </w:pPr>
      <w:r>
        <w:rPr>
          <w:rFonts w:ascii="Arial" w:cs="Arial" w:eastAsia="Arial" w:hAnsi="Arial"/>
          <w:sz w:val="18"/>
          <w:szCs w:val="18"/>
        </w:rPr>
        <w:t xml:space="preserve">Each query lists the data sources from the Synthetic Data Document that the pipeline needs to serve up. These are referenced using the section numbers from that document:</w:t>
      </w:r>
    </w:p>
    <w:p>
      <w:pPr>
        <w:pStyle w:val="ListParagraph"/>
        <w:numPr>
          <w:ilvl w:val="0"/>
          <w:numId w:val="2"/>
        </w:numPr>
        <w:spacing w:after="40"/>
      </w:pPr>
      <w:r>
        <w:rPr>
          <w:rFonts w:ascii="Arial" w:cs="Arial" w:eastAsia="Arial" w:hAnsi="Arial"/>
          <w:sz w:val="18"/>
          <w:szCs w:val="18"/>
        </w:rPr>
        <w:t xml:space="preserve">S2.1 = Meta Ads, S2.2 = Google Ads, S2.3 = DV360, S2.4 = TikTok, S2.5 = YouTube, S2.6 = LinkedIn</w:t>
      </w:r>
    </w:p>
    <w:p>
      <w:pPr>
        <w:pStyle w:val="ListParagraph"/>
        <w:numPr>
          <w:ilvl w:val="0"/>
          <w:numId w:val="2"/>
        </w:numPr>
        <w:spacing w:after="40"/>
      </w:pPr>
      <w:r>
        <w:rPr>
          <w:rFonts w:ascii="Arial" w:cs="Arial" w:eastAsia="Arial" w:hAnsi="Arial"/>
          <w:sz w:val="18"/>
          <w:szCs w:val="18"/>
        </w:rPr>
        <w:t xml:space="preserve">S3.1 = TV, S3.2 = OOH, S3.3 = Print, S3.4 = Radio</w:t>
      </w:r>
    </w:p>
    <w:p>
      <w:pPr>
        <w:pStyle w:val="ListParagraph"/>
        <w:numPr>
          <w:ilvl w:val="0"/>
          <w:numId w:val="2"/>
        </w:numPr>
        <w:spacing w:after="40"/>
      </w:pPr>
      <w:r>
        <w:rPr>
          <w:rFonts w:ascii="Arial" w:cs="Arial" w:eastAsia="Arial" w:hAnsi="Arial"/>
          <w:sz w:val="18"/>
          <w:szCs w:val="18"/>
        </w:rPr>
        <w:t xml:space="preserve">S4.1 = Vehicle Sales, S4.2 = Test Drives, S4.3 = GA4 Website, S4.4 = Configurator, S4.5 = Leads</w:t>
      </w:r>
    </w:p>
    <w:p>
      <w:pPr>
        <w:pStyle w:val="ListParagraph"/>
        <w:numPr>
          <w:ilvl w:val="0"/>
          <w:numId w:val="2"/>
        </w:numPr>
        <w:spacing w:after="40"/>
      </w:pPr>
      <w:r>
        <w:rPr>
          <w:rFonts w:ascii="Arial" w:cs="Arial" w:eastAsia="Arial" w:hAnsi="Arial"/>
          <w:sz w:val="18"/>
          <w:szCs w:val="18"/>
        </w:rPr>
        <w:t xml:space="preserve">S5.1 = Vendor Contracts (unstructured docs), S5.2 = SLA Performance Tracking</w:t>
      </w:r>
    </w:p>
    <w:p>
      <w:pPr>
        <w:pStyle w:val="ListParagraph"/>
        <w:numPr>
          <w:ilvl w:val="0"/>
          <w:numId w:val="2"/>
        </w:numPr>
        <w:spacing w:after="40"/>
      </w:pPr>
      <w:r>
        <w:rPr>
          <w:rFonts w:ascii="Arial" w:cs="Arial" w:eastAsia="Arial" w:hAnsi="Arial"/>
          <w:sz w:val="18"/>
          <w:szCs w:val="18"/>
        </w:rPr>
        <w:t xml:space="preserve">S6.1 = Competitor Spend, S6.2 = Economic Indicators</w:t>
      </w:r>
    </w:p>
    <w:p>
      <w:pPr>
        <w:pStyle w:val="ListParagraph"/>
        <w:numPr>
          <w:ilvl w:val="0"/>
          <w:numId w:val="2"/>
        </w:numPr>
        <w:spacing w:after="40"/>
      </w:pPr>
      <w:r>
        <w:rPr>
          <w:rFonts w:ascii="Arial" w:cs="Arial" w:eastAsia="Arial" w:hAnsi="Arial"/>
          <w:sz w:val="18"/>
          <w:szCs w:val="18"/>
        </w:rPr>
        <w:t xml:space="preserve">S7.1 = Events &amp; Sponsorships</w:t>
      </w:r>
    </w:p>
    <w:p>
      <w:r>
        <w:br w:type="page"/>
      </w:r>
    </w:p>
    <w:p>
      <w:pPr>
        <w:pStyle w:val="Heading1"/>
        <w:spacing w:before="300" w:after="120"/>
      </w:pPr>
      <w:r>
        <w:rPr>
          <w:rFonts w:ascii="Arial" w:cs="Arial" w:eastAsia="Arial" w:hAnsi="Arial"/>
          <w:b/>
          <w:bCs/>
          <w:color w:val="1a1a2e"/>
          <w:sz w:val="28"/>
          <w:szCs w:val="28"/>
        </w:rPr>
        <w:t xml:space="preserve">2. Persona 1: Marketing Director / CMO</w:t>
      </w:r>
    </w:p>
    <w:p>
      <w:pPr>
        <w:spacing w:after="80"/>
      </w:pPr>
      <w:r>
        <w:rPr>
          <w:rFonts w:ascii="Arial" w:cs="Arial" w:eastAsia="Arial" w:hAnsi="Arial"/>
          <w:b/>
          <w:bCs/>
          <w:sz w:val="18"/>
          <w:szCs w:val="18"/>
        </w:rPr>
        <w:t xml:space="preserve">Who: </w:t>
      </w:r>
      <w:r>
        <w:rPr>
          <w:rFonts w:ascii="Arial" w:cs="Arial" w:eastAsia="Arial" w:hAnsi="Arial"/>
          <w:sz w:val="18"/>
          <w:szCs w:val="18"/>
        </w:rPr>
        <w:t xml:space="preserve">The UK Marketing Director or Managing Director. Reports to Changan Europe CEO. Responsible for the £20M UK marketing budget and overall brand strategy.</w:t>
      </w:r>
    </w:p>
    <w:p>
      <w:pPr>
        <w:spacing w:after="80"/>
      </w:pPr>
      <w:r>
        <w:rPr>
          <w:rFonts w:ascii="Arial" w:cs="Arial" w:eastAsia="Arial" w:hAnsi="Arial"/>
          <w:b/>
          <w:bCs/>
          <w:sz w:val="18"/>
          <w:szCs w:val="18"/>
        </w:rPr>
        <w:t xml:space="preserve">Background: </w:t>
      </w:r>
      <w:r>
        <w:rPr>
          <w:rFonts w:ascii="Arial" w:cs="Arial" w:eastAsia="Arial" w:hAnsi="Arial"/>
          <w:sz w:val="18"/>
          <w:szCs w:val="18"/>
        </w:rPr>
        <w:t xml:space="preserve">20+ years in automotive marketing. Understands GRPs, brand tracking, share of voice. Does NOT want to see raw data — wants strategic answers with clear recommendations. Used to working with agencies who present PowerPoint decks, not dashboards.</w:t>
      </w:r>
    </w:p>
    <w:p>
      <w:pPr>
        <w:spacing w:after="80"/>
      </w:pPr>
      <w:r>
        <w:rPr>
          <w:rFonts w:ascii="Arial" w:cs="Arial" w:eastAsia="Arial" w:hAnsi="Arial"/>
          <w:b/>
          <w:bCs/>
          <w:sz w:val="18"/>
          <w:szCs w:val="18"/>
        </w:rPr>
        <w:t xml:space="preserve">When they use the platform: </w:t>
      </w:r>
      <w:r>
        <w:rPr>
          <w:rFonts w:ascii="Arial" w:cs="Arial" w:eastAsia="Arial" w:hAnsi="Arial"/>
          <w:sz w:val="18"/>
          <w:szCs w:val="18"/>
        </w:rPr>
        <w:t xml:space="preserve">Weekly (Monday morning review), monthly (budget review with Europe HQ), quarterly (board presentation prep). Also ad-hoc when something unexpected happens (competitor launch, PR crisis).</w:t>
      </w:r>
    </w:p>
    <w:p>
      <w:pPr>
        <w:spacing w:after="80"/>
      </w:pPr>
      <w:r>
        <w:rPr>
          <w:rFonts w:ascii="Arial" w:cs="Arial" w:eastAsia="Arial" w:hAnsi="Arial"/>
          <w:b/>
          <w:bCs/>
          <w:sz w:val="18"/>
          <w:szCs w:val="18"/>
        </w:rPr>
        <w:t xml:space="preserve">What they care about: </w:t>
      </w:r>
      <w:r>
        <w:rPr>
          <w:rFonts w:ascii="Arial" w:cs="Arial" w:eastAsia="Arial" w:hAnsi="Arial"/>
          <w:sz w:val="18"/>
          <w:szCs w:val="18"/>
        </w:rPr>
        <w:t xml:space="preserve">Is the money working? Are we building awareness? How do we compare to BYD? Should I shift budget between channels? What’s the sales forecast if we increase/decrease spend?</w:t>
      </w:r>
    </w:p>
    <w:p>
      <w:pPr>
        <w:pStyle w:val="Heading2"/>
        <w:spacing w:before="240" w:after="100"/>
      </w:pPr>
      <w:r>
        <w:rPr>
          <w:rFonts w:ascii="Arial" w:cs="Arial" w:eastAsia="Arial" w:hAnsi="Arial"/>
          <w:b/>
          <w:bCs/>
          <w:color w:val="1a1a2e"/>
          <w:sz w:val="24"/>
          <w:szCs w:val="24"/>
        </w:rPr>
        <w:t xml:space="preserve">2.1 Budget &amp; Spend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much have we spent this month across all channels?”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S3.1-S3.4, S7.1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Total: £1.67M. Digital: £892K (53%). TV: £480K (29%). OOH: £195K (12%). Other: £103K (6%). Chart: spend by channel.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“Are we on track against budget for Q4?”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S3.1-S3.4, S7.1 + internal budget plan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Q4 budget: £6.2M. Spent to date: £4.1M (66%). Projected end-Q4: £5.9M (95% of budget). Under-spend driven by delayed OOH campaign (2 weeks behind). Recommend: approve OOH catch-up plan or reallocate £300K to digital.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our spend split between brand and performance?”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S3.1-S3.4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Brand: 68% (£1.14M). Performance: 32% (£534K). Target was 70/30. Note: Meta awareness campaigns classified as brand; Meta lead gen classified as performance. YouTube classified as brand. Google Search classified as performance.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does our UK spend compare to Germany and France?”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(all markets), S3.1-S3.4 (all markets)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UK: £1.67M (72%). Germany: €456K (20%). France: €189K (8%). UK is lead market as planned. Germany tracking to annual plan. France underspending vs plan due to delayed dealer openings.</w:t>
            </w:r>
          </w:p>
        </w:tc>
      </w:tr>
    </w:tbl>
    <w:p>
      <w:pPr>
        <w:shd w:fill="FFF9E6" w:val="clear"/>
        <w:spacing w:before="60" w:after="80"/>
      </w:pPr>
      <w:r>
        <w:rPr>
          <w:rFonts w:ascii="Arial" w:cs="Arial" w:eastAsia="Arial" w:hAnsi="Arial"/>
          <w:i/>
          <w:iCs/>
          <w:color w:val="6B5900"/>
          <w:sz w:val="18"/>
          <w:szCs w:val="18"/>
        </w:rPr>
        <w:t xml:space="preserve">💡 For Ta: These spend queries are the easiest to answer but the hardest to get right because they require aggregating data from 10+ different sources with different currencies, date formats, and naming conventions. If Meta calls it “amount_spent” and Google calls it “cost” and DV360 calls it “revenue_cost”, the pipeline needs to normalise all of these into a single “spend” field. Currency conversion (GBP/EUR) needs to use the rate from the reporting date, not today’s rate.</w:t>
      </w:r>
    </w:p>
    <w:p>
      <w:pPr>
        <w:pStyle w:val="Heading2"/>
        <w:spacing w:before="240" w:after="100"/>
      </w:pPr>
      <w:r>
        <w:rPr>
          <w:rFonts w:ascii="Arial" w:cs="Arial" w:eastAsia="Arial" w:hAnsi="Arial"/>
          <w:b/>
          <w:bCs/>
          <w:color w:val="1a1a2e"/>
          <w:sz w:val="24"/>
          <w:szCs w:val="24"/>
        </w:rPr>
        <w:t xml:space="preserve">2.2 Performance &amp; Effectiveness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“Is our TV campaign working?”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S3.1 (TV GRPs/reach) + S4.3 (GA4 direct/organic traffic) + S4.1 (vehicle sales) + S6.2 (seasonal indices)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TV campaign delivered 1,245 Adult GRPs in October (vs 1,100 target). During the flight, direct website traffic increased 34% and brand search volume increased 28%. MMM model attributes 22% of October sales uplift to TV (confidence interval: 15-29%). Recommendation: TV is performing above benchmark for a launch brand.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“Which channel is giving us the best return on investment?”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S3.1-S3.4, S4.1 (sales), S4.2 (test drives), S4.5 (leads)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By cost per vehicle sold: Google Search £1,245, Meta Lead Gen £2,890, YouTube £4,567, TV £6,234, OOH £8,901. BUT: TV and OOH drive the brand awareness that makes search and social work. MMM decomposition shows removing TV would reduce search conversions by ~35%. True incremental ROAS: [model output with confidence intervals].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 happened to our website traffic last week? It dropped 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S4.3 (GA4) + S2.1-S2.6 (all digital spend) + S3.1 (TV schedule) + S6.2 (economic/seasonal)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Traffic dropped 18.7% WoW. Causes identified: (1) TV flight ended Friday 17th — no spots aired this week, removing the traffic halo effect. (2) Meta awareness campaign paused for creative refresh. (3) No external factors (no bank holiday, no competitor event). Recommendation: expect traffic to recover when TV restarts on Monday.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do we compare to BYD’s share of voice?”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S6.1 (competitor spend) + S2.1-S2.6, S3.1-S3.4 (our spend)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Changan UK SOV: 8.3% of EV advertiser spend. BYD: 24.7%. Tesla: 11.2% (mostly digital). MG: 17.4%. Our SOV is below our market share ambition (5% by 2030). Industry rule of thumb: SOV should exceed SOM (share of market) for a growing brand. Current SOM: ~0.8%. Gap is healthy for growth phase.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“If I move £500K from TV to YouTube, what happens to sales?”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digital + traditional + S4.1 (sales) + S6.2 (economic)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MMM scenario modelling: Moving £500K from TV to YouTube is projected to decrease total sales by 2-5% (40-140 fewer units annually). TV drives broad reach that YouTube cannot replicate. However, YouTube drives stronger mid-funnel engagement. Optimal reallocation would be £200K (not £500K), which maintains TV reach while boosting YouTube frequency. Confidence: moderate — model based on 4 months of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our brand awareness now vs when we launched?”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S3.1 (TV GRPs as proxy) + S4.3 (brand search volume from GA4) + S6.1 (competitor SOV) + external brand tracker (if available)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Proxy metrics (no brand tracker in synthetic data): Brand search volume up 340% since launch (Sep: 2,100/month → Dec: 9,240/month). Share of search vs BYD: 6.2% (Sep) → 11.8% (Dec). Social mentions up 280%. Caveat: these are proxy metrics, not direct awareness measurement. Recommend commissioning a YouGov brand tracker for direct measurement.</w:t>
            </w:r>
          </w:p>
        </w:tc>
      </w:tr>
    </w:tbl>
    <w:p>
      <w:pPr>
        <w:shd w:fill="FFF9E6" w:val="clear"/>
        <w:spacing w:before="60" w:after="80"/>
      </w:pPr>
      <w:r>
        <w:rPr>
          <w:rFonts w:ascii="Arial" w:cs="Arial" w:eastAsia="Arial" w:hAnsi="Arial"/>
          <w:i/>
          <w:iCs/>
          <w:color w:val="6B5900"/>
          <w:sz w:val="18"/>
          <w:szCs w:val="18"/>
        </w:rPr>
        <w:t xml:space="preserve">💡 For Ta: The MODEL queries are the most demanding. They require COMPLETE, CONSISTENT time-series data across ALL channels and outcomes, aligned by date and geography. If even one channel’s data is missing or delayed, the model can’t run properly. The pipeline needs to flag data gaps proactively — “TV data missing for week 43” — rather than letting the model run on incomplete data and produce wrong answers.</w:t>
      </w:r>
    </w:p>
    <w:p>
      <w:pPr>
        <w:pStyle w:val="Heading2"/>
        <w:spacing w:before="240" w:after="100"/>
      </w:pPr>
      <w:r>
        <w:rPr>
          <w:rFonts w:ascii="Arial" w:cs="Arial" w:eastAsia="Arial" w:hAnsi="Arial"/>
          <w:b/>
          <w:bCs/>
          <w:color w:val="1a1a2e"/>
          <w:sz w:val="24"/>
          <w:szCs w:val="24"/>
        </w:rPr>
        <w:t xml:space="preserve">2.3 Strategic &amp; Planning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 should our Q1 2026 media plan look like?”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sources + S4.1 (sales trends) + S6.2 (seasonal: Q1 is slow, March is plate change)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Based on Q4 performance and seasonal patterns: Recommend maintaining TV at £1.5M/month through March (plate change). Shift 15% of DV360 budget to Meta lead gen (stronger conversion rates). Increase Google Search budget 20% to capture demand generated by brand activity. Pause radio until April. Total Q1 budget: £5.1M.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“We’re launching the S05 in March. What budget do we need?”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historical data + S4.1 (S07 launch trajectory as benchmark)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Based on S07 launch data: The S07 launch required £4.2M in Sep-Oct (launch burst) to achieve 45% prompted awareness in target audience. The S05 targets a different segment (smaller SUV, lower price) so recommend £3.0-3.5M for the launch burst. Channel split: heavier on social (younger audience) vs the S07 launch (heavier on TV).</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“Should we sponsor the London Motor Show?”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S7.1 (past event data) + S4.2 (test drives from events) + S4.5 (event leads conversion 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Based on Goodwood FoS data: 12,000 stand visitors generated 567 leads at £326/lead. Of those, 89 converted to sales (15.7% conversion rate) at £2,079 cost per sale. London Motor Show is estimated at 8,000 stand visitors. Projected: 378 leads, 59 sales. At sponsorship cost of £150K, projected cost per sale: £2,542. Compare to digital cost per sale: £1,800-3,200. Verdict: competitive but not exceptional.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“Give me the headline numbers for my board deck.”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S3.1-S3.4, S4.1, S4.2, S4.3, S6.1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Q4 2025 summary: 847 units sold (vs 750 target: +12.9%). Total marketing spend: £5.8M. Cost per unit sold: £6,848. Website: 423K sessions (+180% vs pre-launch). Test drives booked: 2,345. Test drive conversion rate: 18.2%. SOV: 8.3%. Dealer network: 47 sites. Top performer: Lookers Birmingham.</w:t>
            </w:r>
          </w:p>
        </w:tc>
      </w:tr>
    </w:tbl>
    <w:p>
      <w:r>
        <w:br w:type="page"/>
      </w:r>
    </w:p>
    <w:p>
      <w:pPr>
        <w:pStyle w:val="Heading1"/>
        <w:spacing w:before="300" w:after="120"/>
      </w:pPr>
      <w:r>
        <w:rPr>
          <w:rFonts w:ascii="Arial" w:cs="Arial" w:eastAsia="Arial" w:hAnsi="Arial"/>
          <w:b/>
          <w:bCs/>
          <w:color w:val="1a1a2e"/>
          <w:sz w:val="28"/>
          <w:szCs w:val="28"/>
        </w:rPr>
        <w:t xml:space="preserve">3. Persona 2: Media Planner / Agency Account Director</w:t>
      </w:r>
    </w:p>
    <w:p>
      <w:pPr>
        <w:spacing w:after="80"/>
      </w:pPr>
      <w:r>
        <w:rPr>
          <w:rFonts w:ascii="Arial" w:cs="Arial" w:eastAsia="Arial" w:hAnsi="Arial"/>
          <w:b/>
          <w:bCs/>
          <w:sz w:val="18"/>
          <w:szCs w:val="18"/>
        </w:rPr>
        <w:t xml:space="preserve">Who: </w:t>
      </w:r>
      <w:r>
        <w:rPr>
          <w:rFonts w:ascii="Arial" w:cs="Arial" w:eastAsia="Arial" w:hAnsi="Arial"/>
          <w:sz w:val="18"/>
          <w:szCs w:val="18"/>
        </w:rPr>
        <w:t xml:space="preserve">The Account Director at the media agency (e.g. OMD, Wavemaker). Day-to-day manager of Changan’s media buying across all channels. Their team of 4-5 planners and buyers execute the media plan.</w:t>
      </w:r>
    </w:p>
    <w:p>
      <w:pPr>
        <w:spacing w:after="80"/>
      </w:pPr>
      <w:r>
        <w:rPr>
          <w:rFonts w:ascii="Arial" w:cs="Arial" w:eastAsia="Arial" w:hAnsi="Arial"/>
          <w:b/>
          <w:bCs/>
          <w:sz w:val="18"/>
          <w:szCs w:val="18"/>
        </w:rPr>
        <w:t xml:space="preserve">Background: </w:t>
      </w:r>
      <w:r>
        <w:rPr>
          <w:rFonts w:ascii="Arial" w:cs="Arial" w:eastAsia="Arial" w:hAnsi="Arial"/>
          <w:sz w:val="18"/>
          <w:szCs w:val="18"/>
        </w:rPr>
        <w:t xml:space="preserve">8+ years in media agencies. Expert in platform-specific metrics. Lives in Meta Ads Manager, Google Ads, and DV360 dashboards. Knows CPMs, CTRs, and viewability rates inside out. Doesn’t need the platform to explain what a CPM is — needs it to give a unified view across channels and connect activity to business outcomes.</w:t>
      </w:r>
    </w:p>
    <w:p>
      <w:pPr>
        <w:spacing w:after="80"/>
      </w:pPr>
      <w:r>
        <w:rPr>
          <w:rFonts w:ascii="Arial" w:cs="Arial" w:eastAsia="Arial" w:hAnsi="Arial"/>
          <w:b/>
          <w:bCs/>
          <w:sz w:val="18"/>
          <w:szCs w:val="18"/>
        </w:rPr>
        <w:t xml:space="preserve">When they use the platform: </w:t>
      </w:r>
      <w:r>
        <w:rPr>
          <w:rFonts w:ascii="Arial" w:cs="Arial" w:eastAsia="Arial" w:hAnsi="Arial"/>
          <w:sz w:val="18"/>
          <w:szCs w:val="18"/>
        </w:rPr>
        <w:t xml:space="preserve">Daily (morning performance check), weekly (client reporting), monthly (strategic review with the Marketing Director). Multiple times per day during a campaign launch.</w:t>
      </w:r>
    </w:p>
    <w:p>
      <w:pPr>
        <w:spacing w:after="80"/>
      </w:pPr>
      <w:r>
        <w:rPr>
          <w:rFonts w:ascii="Arial" w:cs="Arial" w:eastAsia="Arial" w:hAnsi="Arial"/>
          <w:b/>
          <w:bCs/>
          <w:sz w:val="18"/>
          <w:szCs w:val="18"/>
        </w:rPr>
        <w:t xml:space="preserve">What they care about: </w:t>
      </w:r>
      <w:r>
        <w:rPr>
          <w:rFonts w:ascii="Arial" w:cs="Arial" w:eastAsia="Arial" w:hAnsi="Arial"/>
          <w:sz w:val="18"/>
          <w:szCs w:val="18"/>
        </w:rPr>
        <w:t xml:space="preserve">Are campaigns hitting their KPIs? Which creatives are winning? Am I pacing spend correctly? Where do I need to optimise? How does my digital activity connect to the TV schedule?</w:t>
      </w:r>
    </w:p>
    <w:p>
      <w:pPr>
        <w:pStyle w:val="Heading2"/>
        <w:spacing w:before="240" w:after="100"/>
      </w:pPr>
      <w:r>
        <w:rPr>
          <w:rFonts w:ascii="Arial" w:cs="Arial" w:eastAsia="Arial" w:hAnsi="Arial"/>
          <w:b/>
          <w:bCs/>
          <w:color w:val="1a1a2e"/>
          <w:sz w:val="24"/>
          <w:szCs w:val="24"/>
        </w:rPr>
        <w:t xml:space="preserve">3.1 Campaign Performance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did our Meta campaigns perform last week?”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 (Meta Ads)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LOOKUP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Total spend: £47,234. Impressions: 8.9M. Reach: 3.2M. Avg frequency: 2.78. Link clicks: 34,567 (CTR: 0.39%). Leads: 234 (CPL: £201.85). Top campaign: UK_S07_TestDrive_LeadGen (CPL £18.45). Underperformer: UK_S07_Awareness_Broad (CTR 0.12%, below 0.25% benchmark).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our Google Search impression share for brand terms?”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S2.2 (Google Ads)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LOOKUP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Brand terms impression share: 82.4% (target: 90%+). Lost to rank: 8.2%. Lost to budget: 9.4%. Recommendation: increase brand campaign budget by £200/day to close the budget gap. Competitor activity on our brand terms: BYD bidding on “changan” (2.3% of our brand impressions).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“Which YouTube creative is performing best?”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S2.5 (YouTube)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Top performer by VTR: “S07_Born_in_Europe_30s” (VTR: 48.2%, vs account avg 38.1%). Top by earned views: “S07_Design_Story_60s” (earned view ratio: 1.34 — meaning every paid view generated 1.34 organic views). Worst performer: “S07_Price_Promo_15s” (VTR: 22.1%). Recommend pausing price promo and shifting budget to brand storytelling creatives.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“Are we hitting frequency caps on DV360? I don’t want to annoy people.”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S2.3 (DV360)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Average frequency across DV360 line items: 4.7 (7-day window). Retargeting audiences: 8.2 (above the 6x recommended cap). Prospecting audiences: 3.1 (healthy). Recommendation: reduce retargeting frequency cap from 10 to 6. Two line items exceeding 12x frequency — pause immediately.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is TikTok performing vs Meta for the under-30 audience?”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S2.4 (TikTok) + S2.1 (Meta), filtered by age targeting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Under-30 audience: TikTok CPM £1.87 vs Meta £5.23. TikTok VTR 28.9% vs Meta 19.4%. BUT Meta drives 3.2x more website sessions per £1K spent (TikTok users stay on-platform). Meta leads cost £23 vs TikTok leads £67 (TikTok lead forms have higher abandonment). Verdict: TikTok wins for awareness/video views; Meta wins for conversion.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our overall digital CPM by channel?”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(all digital)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TikTok: £1.87. DV360 Display: £3.74. Meta: £4.12. YouTube: £7.87. DV360 Video: £8.45. Google Search: N/A (CPC model). LinkedIn: £14.74. Benchmark context: UK automotive digital average CPM is £4.50-6.50.</w:t>
            </w:r>
          </w:p>
        </w:tc>
      </w:tr>
    </w:tbl>
    <w:p>
      <w:pPr>
        <w:shd w:fill="FFF9E6" w:val="clear"/>
        <w:spacing w:before="60" w:after="80"/>
      </w:pPr>
      <w:r>
        <w:rPr>
          <w:rFonts w:ascii="Arial" w:cs="Arial" w:eastAsia="Arial" w:hAnsi="Arial"/>
          <w:i/>
          <w:iCs/>
          <w:color w:val="6B5900"/>
          <w:sz w:val="18"/>
          <w:szCs w:val="18"/>
        </w:rPr>
        <w:t xml:space="preserve">💡 For Ta: These queries are mostly single-source lookups, but the “vs” queries (TikTok vs Meta, YouTube creative A vs B) require normalised metrics across platforms. The tricky part: every platform defines metrics slightly differently. A “video view” is 3 seconds on Meta, 2 seconds on TikTok, and 30 seconds (or full video) on YouTube. The pipeline needs a clear mapping document so the AI doesn’t compare apples and oranges.</w:t>
      </w:r>
    </w:p>
    <w:p>
      <w:pPr>
        <w:pStyle w:val="Heading2"/>
        <w:spacing w:before="240" w:after="100"/>
      </w:pPr>
      <w:r>
        <w:rPr>
          <w:rFonts w:ascii="Arial" w:cs="Arial" w:eastAsia="Arial" w:hAnsi="Arial"/>
          <w:b/>
          <w:bCs/>
          <w:color w:val="1a1a2e"/>
          <w:sz w:val="24"/>
          <w:szCs w:val="24"/>
        </w:rPr>
        <w:t xml:space="preserve">3.2 Optimisation &amp; Pacing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“Are we pacing spend correctly this month?”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(all digital) + internal budget plan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Day 15 of 31. Should have spent 48.4% of monthly digital budget. Actual: 52.1%. Over-pacing by £12,400. Channels over-pacing: Meta (+£8K, driven by CPM increase), Google Search (+£6K, competitor activity). Under-pacing: DV360 (-£2K, low auction density). Action: reduce Meta daily budgets by 8% for remainder of 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“Which ad sets should I pause? Show me the worst performers.”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 (Meta) or S2.2 (Google), depending on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Bottom 5 Meta ad sets by CPL (with &gt;500 spend): 1. UK_55+_EV_Curious (CPL: £89, 3.4x account avg). 2. UK_Lookalikes_1pct_Broad (CPL: £67). 3. UK_Interest_Luxury_Cars (CPL: £54). Recommendation: Pause #1 and #2 immediately. Test narrower audiences for #3 before pausing.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the best time of day for our Meta ads?”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 (Meta, broken by hour)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Highest CTR: 7-9am (commute, mobile-heavy, CTR 0.67%). Highest conversion rate: 8-10pm (evening research mode, CVR 3.2%). Cheapest CPMs: 11pm-6am (off-peak, CPM £2.10). Recommendation: weight awareness budgets to mornings, conversion budgets to evenings. Exclude 1am-5am unless testing shows 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“Is the TV schedule aligned with our digital activity?”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S3.1 (TV spot schedule) + S2.1-S2.6 (digital spend by day) + S4.3 (GA4 traffic by hour)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Misalignment found: TV spots ran heavy on Tuesday and Thursday evenings, but digital retargeting budgets are flat across the week. Website traffic spikes 15-25 minutes after each TV spot. Recommendation: implement TV sync strategy — increase DV360 and Meta retargeting bids by 30% during and 2 hours after TV spot airings. Potential uplift: 15-20% improvement in retargeting CTR.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 landing pages are converting best from paid traffic?”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S4.3 (GA4, filtered by paid channels) + S2.1-S2.2 (campaign-level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Top converters (test drive bookings): /deepal-s07/book-test-drive: 4.2% CVR. /deepal-s07/configurator: 2.8% CVR (to config start). /offers: 1.9% CVR. Worst: /about-changan: 0.3% CVR (informational, not converting). Recommendation: redirect Meta lead gen traffic from /about to /book-test-drive.</w:t>
            </w:r>
          </w:p>
        </w:tc>
      </w:tr>
    </w:tbl>
    <w:p>
      <w:pPr>
        <w:pStyle w:val="Heading2"/>
        <w:spacing w:before="240" w:after="100"/>
      </w:pPr>
      <w:r>
        <w:rPr>
          <w:rFonts w:ascii="Arial" w:cs="Arial" w:eastAsia="Arial" w:hAnsi="Arial"/>
          <w:b/>
          <w:bCs/>
          <w:color w:val="1a1a2e"/>
          <w:sz w:val="24"/>
          <w:szCs w:val="24"/>
        </w:rPr>
        <w:t xml:space="preserve">3.3 Reporting &amp; Benchmarking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“Give me the weekly report for the Marketing Director.”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digital (S2.1-S2.6) + S3.1 (TV) + S4.1 (sales) + S4.2 (test drives) + S4.3 (GA4)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Auto-generated weekly summary: Spend, impressions, reach, website sessions, test drives, sales — all with WoW % change and colour-coded vs target. Plus one-line AI commentary per channel: “Meta: strong week, CPL down 12% due to new creative. TV: flight ended Thursday, expect traffic dip next week.”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do our LinkedIn CPCs compare to automotive benchmarks?”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S2.6 (LinkedIn) + benchmark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Our CPC: £2.07. UK automotive LinkedIn benchmark: £3.50-5.00. Our CPL: £28.81. Benchmark: £35-55. We’re performing well below benchmark (lower is better). Likely driven by: highly targeted fleet audience (smaller but more relevant), strong creative (single image outperforming carousel by 2.3x).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the full-funnel conversion rate from impression to sale?”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(impressions) + S4.3 (sessions) + S4.5 (leads) + S4.2 (test drives) + S4.1 (sales)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October full funnel: 45.6M impressions → 187K sessions (0.41%) → 1,234 leads (0.66% of sessions) → 567 test drives (45.9% of leads) → 98 sales (17.3% of TDs). Overall: 1 sale per 465K impressions. Cost per sale: £17,041. Caveat: this is an oversimplification — most sales are influenced by multiple channels, not a single linear path.</w:t>
            </w:r>
          </w:p>
        </w:tc>
      </w:tr>
    </w:tbl>
    <w:p>
      <w:pPr>
        <w:shd w:fill="FFF9E6" w:val="clear"/>
        <w:spacing w:before="60" w:after="80"/>
      </w:pPr>
      <w:r>
        <w:rPr>
          <w:rFonts w:ascii="Arial" w:cs="Arial" w:eastAsia="Arial" w:hAnsi="Arial"/>
          <w:i/>
          <w:iCs/>
          <w:color w:val="6B5900"/>
          <w:sz w:val="18"/>
          <w:szCs w:val="18"/>
        </w:rPr>
        <w:t xml:space="preserve">💡 For Ta: The weekly report query is the most common single query the platform will receive. It needs to be fast and reliable. Consider pre-computing weekly aggregates on a Sunday night so Monday morning queries are instant. The full-funnel query is the most complex JOIN in the entire system — it requires linking impressions → sessions → leads → test drives → sales across 6+ different data sources with different identifiers.</w:t>
      </w:r>
    </w:p>
    <w:p>
      <w:r>
        <w:br w:type="page"/>
      </w:r>
    </w:p>
    <w:p>
      <w:pPr>
        <w:pStyle w:val="Heading1"/>
        <w:spacing w:before="300" w:after="120"/>
      </w:pPr>
      <w:r>
        <w:rPr>
          <w:rFonts w:ascii="Arial" w:cs="Arial" w:eastAsia="Arial" w:hAnsi="Arial"/>
          <w:b/>
          <w:bCs/>
          <w:color w:val="1a1a2e"/>
          <w:sz w:val="28"/>
          <w:szCs w:val="28"/>
        </w:rPr>
        <w:t xml:space="preserve">4. Persona 3: Procurement / Finance Director</w:t>
      </w:r>
    </w:p>
    <w:p>
      <w:pPr>
        <w:spacing w:after="80"/>
      </w:pPr>
      <w:r>
        <w:rPr>
          <w:rFonts w:ascii="Arial" w:cs="Arial" w:eastAsia="Arial" w:hAnsi="Arial"/>
          <w:b/>
          <w:bCs/>
          <w:sz w:val="18"/>
          <w:szCs w:val="18"/>
        </w:rPr>
        <w:t xml:space="preserve">Who: </w:t>
      </w:r>
      <w:r>
        <w:rPr>
          <w:rFonts w:ascii="Arial" w:cs="Arial" w:eastAsia="Arial" w:hAnsi="Arial"/>
          <w:sz w:val="18"/>
          <w:szCs w:val="18"/>
        </w:rPr>
        <w:t xml:space="preserve">The Finance Director at Changan Europe. Oversees the £20M marketing budget from a cost-control and compliance perspective. Also involved: the procurement manager who negotiated the media vendor contracts.</w:t>
      </w:r>
    </w:p>
    <w:p>
      <w:pPr>
        <w:spacing w:after="80"/>
      </w:pPr>
      <w:r>
        <w:rPr>
          <w:rFonts w:ascii="Arial" w:cs="Arial" w:eastAsia="Arial" w:hAnsi="Arial"/>
          <w:b/>
          <w:bCs/>
          <w:sz w:val="18"/>
          <w:szCs w:val="18"/>
        </w:rPr>
        <w:t xml:space="preserve">Background: </w:t>
      </w:r>
      <w:r>
        <w:rPr>
          <w:rFonts w:ascii="Arial" w:cs="Arial" w:eastAsia="Arial" w:hAnsi="Arial"/>
          <w:sz w:val="18"/>
          <w:szCs w:val="18"/>
        </w:rPr>
        <w:t xml:space="preserve">Chartered accountant, 15+ years in automotive finance. Does NOT understand marketing metrics (GRPs, CTRs are meaningless to them). Cares about: did we pay what we agreed to pay? Did vendors deliver what they promised? Are there penalties or credits due? Are invoices matching contracts?</w:t>
      </w:r>
    </w:p>
    <w:p>
      <w:pPr>
        <w:spacing w:after="80"/>
      </w:pPr>
      <w:r>
        <w:rPr>
          <w:rFonts w:ascii="Arial" w:cs="Arial" w:eastAsia="Arial" w:hAnsi="Arial"/>
          <w:b/>
          <w:bCs/>
          <w:sz w:val="18"/>
          <w:szCs w:val="18"/>
        </w:rPr>
        <w:t xml:space="preserve">When they use the platform: </w:t>
      </w:r>
      <w:r>
        <w:rPr>
          <w:rFonts w:ascii="Arial" w:cs="Arial" w:eastAsia="Arial" w:hAnsi="Arial"/>
          <w:sz w:val="18"/>
          <w:szCs w:val="18"/>
        </w:rPr>
        <w:t xml:space="preserve">Monthly (invoice reconciliation), quarterly (vendor performance review), annually (contract renewal prep). Ad-hoc when an invoice looks wrong.</w:t>
      </w:r>
    </w:p>
    <w:p>
      <w:pPr>
        <w:spacing w:after="80"/>
      </w:pPr>
      <w:r>
        <w:rPr>
          <w:rFonts w:ascii="Arial" w:cs="Arial" w:eastAsia="Arial" w:hAnsi="Arial"/>
          <w:b/>
          <w:bCs/>
          <w:sz w:val="18"/>
          <w:szCs w:val="18"/>
        </w:rPr>
        <w:t xml:space="preserve">What they care about: </w:t>
      </w:r>
      <w:r>
        <w:rPr>
          <w:rFonts w:ascii="Arial" w:cs="Arial" w:eastAsia="Arial" w:hAnsi="Arial"/>
          <w:sz w:val="18"/>
          <w:szCs w:val="18"/>
        </w:rPr>
        <w:t xml:space="preserve">Contract compliance, value for money, cost control, audit trail, invoice accuracy.</w:t>
      </w:r>
    </w:p>
    <w:p>
      <w:pPr>
        <w:pStyle w:val="Heading2"/>
        <w:spacing w:before="240" w:after="100"/>
      </w:pPr>
      <w:r>
        <w:rPr>
          <w:rFonts w:ascii="Arial" w:cs="Arial" w:eastAsia="Arial" w:hAnsi="Arial"/>
          <w:b/>
          <w:bCs/>
          <w:color w:val="1a1a2e"/>
          <w:sz w:val="24"/>
          <w:szCs w:val="24"/>
        </w:rPr>
        <w:t xml:space="preserve">4.1 Contract Compliance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“Is ITV delivering the GRPs they promised?”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(ITV contract, extracted) + S5.2 (SLA tracking) + S3.1 (TV actual delivery)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 + 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Contract: 3,200 Adult GRPs over 7 months (clause 8.1). Tolerance: ±10% (clause 8.3). Delivered to date (4 months): 1,856 GRPs. Required run rate: 457/month. Actual run rate: 464/month. Status: ON TRACK (+1.5%). Projected full delivery: 3,248 GRPs (101.5% of target). No action required.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“JCDecaux sent us an invoice for £98,000 but I think it should be £78,000. Can you check?”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(JCDecaux contract, extracted) + invoice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Contract rate: 120 x 48-sheet panels at £650/panel/cycle = £78,000 per cycle (Schedule 1). Invoice INV-JCD-2025-0847 shows £98,000. Discrepancy: £20,000. Possible explanation: invoice may include the Appendix D premium for illuminated panels (£167/panel for 12 illuminated sites = £2,004/cycle) plus the December surcharge of 15% on all roadside panels (clause 4.7). Recalculated: £78,000 + £2,004 + £12,000 surcharge = £92,004. Remaining discrepancy: £5,996. Recommend querying with JCDecaux. Source: clauses 4.7 and Schedule 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our cancellation period with Sky? We might not renew.”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(Sky contract, extracted)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Sky Airtime Agreement (clause 11.2): 8 weeks written notice before end of contract period. Contract end date: 31 March 2026. Cancellation deadline: 3 February 2026. WARNING: deadline is in 4 weeks. Sky BVOD Addendum (clause 6.1): 4 weeks notice, independent of main contract. Kill fee: 25% of remaining committed spend if cancelled within notice period (clause 11.4). Estimated kill fee at 8-week notice: £112,500. Confidence: 0.81 — recommend legal review of kill fee calculation.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“Are we getting the bonus spots ITV promised?”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(ITV contract side letter) + S3.1 (TV delivery data) + S5.2 (SLA tracking)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 + 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Side letter commits ITV to 10% added-value spots (i.e. free bonus spots equivalent to 10% of paid spots). Paid spots to date: 420. Expected bonus spots: 42. Delivered bonus spots: 28. Under-delivery: 14 spots (33% shortfall on bonus commitment). Note: bonus spots are not in the main contract — they’re in a separate side letter which may have different enforcement terms. Recommend raising with ITV account manager. Confidence: 0.72 — side letter language is ambiguous on timing.</w:t>
            </w:r>
          </w:p>
        </w:tc>
      </w:tr>
    </w:tbl>
    <w:p>
      <w:pPr>
        <w:shd w:fill="FFF9E6" w:val="clear"/>
        <w:spacing w:before="60" w:after="80"/>
      </w:pPr>
      <w:r>
        <w:rPr>
          <w:rFonts w:ascii="Arial" w:cs="Arial" w:eastAsia="Arial" w:hAnsi="Arial"/>
          <w:i/>
          <w:iCs/>
          <w:color w:val="6B5900"/>
          <w:sz w:val="18"/>
          <w:szCs w:val="18"/>
        </w:rPr>
        <w:t xml:space="preserve">💡 For Ta: These are the highest-risk queries for hallucination. The AI is parsing legal documents and making claims about contract terms. If it gets a cancellation deadline wrong, Changan could miss a notice period and be locked into a contract they don’t want. EVERY extraction from a contract document MUST include: (1) the specific clause reference, (2) a confidence score, and (3) a recommendation to verify with legal/procurement when confidence is below 0.85.</w:t>
      </w:r>
    </w:p>
    <w:p>
      <w:pPr>
        <w:pStyle w:val="Heading2"/>
        <w:spacing w:before="240" w:after="100"/>
      </w:pPr>
      <w:r>
        <w:rPr>
          <w:rFonts w:ascii="Arial" w:cs="Arial" w:eastAsia="Arial" w:hAnsi="Arial"/>
          <w:b/>
          <w:bCs/>
          <w:color w:val="1a1a2e"/>
          <w:sz w:val="24"/>
          <w:szCs w:val="24"/>
        </w:rPr>
        <w:t xml:space="preserve">4.2 Cost Control &amp; Invoice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our effective CPM across all TV buying? Are we getting good value?”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S3.1 (TV spend + GRPs) + S5.1 (contracted rates)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Effective cost per GRP: ITV £612 (contracted: £618, saving £6/GRP from bonus spots). Channel 4: £534 (contracted: £527, slight over-delivery cost). Sky: £1,087 (premium for sports, as contracted). Blended: £687/GRP. Industry benchmark for new automotive brand: £600-800/GRP. Assessment: within normal range.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much are we paying the agency in total? Commission, fees, everything.”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(agency Terms of Business) + all spend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 +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Agency commission: 3% of total media spend (clause 4.1 of ToB). On £20M annual spend: £600K. Monthly retainer: £25K (clause 5.2). Annual retainer: £300K. Project fees (ad hoc): £45K YTD (3 projects billed under clause 6.1). Total agency cost: £945K (4.7% of total marketing budget). Benchmark: 4-6% is normal for agency fees on this budget size.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“Which vendor contracts are up for renewal in the next 3 months?”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(all vendor contracts, extracted end dates)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Contracts expiring by April 2026: (1) ITV — 31 Mar 2026, cancellation deadline: 3 Feb 2026. (2) Sky — 31 Mar 2026, cancellation deadline: 3 Feb 2026 (linear), 3 Mar 2026 (BVOD). (3) Clear Channel — 31 Dec 2025 (EXPIRED — currently on rolling monthly). (4) Print — Auto Express annual deal ends 28 Feb 2026. Action required: renewal decisions needed by end of January.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“Create a summary of all our media commitments for the 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(all contracts) + S5.2 (delivery 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 +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Total committed spend: £8.8M across 7 vendor contracts. Delivered to date: £6.1M (69%). On track: 4 vendors. At risk: JCDecaux (impressions 5.6% below target). Under-delivery: Sky BVOD (24% below committed views). Breached: none. Outstanding credits due: £0. Potential penalties claimable: £45K (Sky BVOD under-delivery, subject to clause 9.3 review). Remaining commitment to year end: £2.7M.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“Did the media agency pass through the Q3 rebate from ITV?”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(agency ToB, rebate clauses) + S5.1 (ITV contract) + invoice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Agency ToB clause 8.2 requires 100% pass-through of all volume rebates within 30 days of receipt. ITV contract (clause 16.1) includes a volume rebate of 5% on spend exceeding £1.5M in any 6-month period. Changan’s ITV spend Jul-Dec 2025: £1.68M. Rebate due: 5% x £180K (excess over threshold) = £9,000. Status: no rebate credit note found in invoice data. Action: request rebate statement from agency. Confidence: 0.76 — rebate threshold clause has conditional language.</w:t>
            </w:r>
          </w:p>
        </w:tc>
      </w:tr>
    </w:tbl>
    <w:p>
      <w:r>
        <w:br w:type="page"/>
      </w:r>
    </w:p>
    <w:p>
      <w:pPr>
        <w:pStyle w:val="Heading1"/>
        <w:spacing w:before="300" w:after="120"/>
      </w:pPr>
      <w:r>
        <w:rPr>
          <w:rFonts w:ascii="Arial" w:cs="Arial" w:eastAsia="Arial" w:hAnsi="Arial"/>
          <w:b/>
          <w:bCs/>
          <w:color w:val="1a1a2e"/>
          <w:sz w:val="28"/>
          <w:szCs w:val="28"/>
        </w:rPr>
        <w:t xml:space="preserve">5. Persona 4: Sales Director / Dealer Network Manager</w:t>
      </w:r>
    </w:p>
    <w:p>
      <w:pPr>
        <w:spacing w:after="80"/>
      </w:pPr>
      <w:r>
        <w:rPr>
          <w:rFonts w:ascii="Arial" w:cs="Arial" w:eastAsia="Arial" w:hAnsi="Arial"/>
          <w:b/>
          <w:bCs/>
          <w:sz w:val="18"/>
          <w:szCs w:val="18"/>
        </w:rPr>
        <w:t xml:space="preserve">Who: </w:t>
      </w:r>
      <w:r>
        <w:rPr>
          <w:rFonts w:ascii="Arial" w:cs="Arial" w:eastAsia="Arial" w:hAnsi="Arial"/>
          <w:sz w:val="18"/>
          <w:szCs w:val="18"/>
        </w:rPr>
        <w:t xml:space="preserve">The Sales Director at Changan UK. Manages the 50-dealer network and owns the UK sales target.</w:t>
      </w:r>
    </w:p>
    <w:p>
      <w:pPr>
        <w:spacing w:after="80"/>
      </w:pPr>
      <w:r>
        <w:rPr>
          <w:rFonts w:ascii="Arial" w:cs="Arial" w:eastAsia="Arial" w:hAnsi="Arial"/>
          <w:b/>
          <w:bCs/>
          <w:sz w:val="18"/>
          <w:szCs w:val="18"/>
        </w:rPr>
        <w:t xml:space="preserve">Background: </w:t>
      </w:r>
      <w:r>
        <w:rPr>
          <w:rFonts w:ascii="Arial" w:cs="Arial" w:eastAsia="Arial" w:hAnsi="Arial"/>
          <w:sz w:val="18"/>
          <w:szCs w:val="18"/>
        </w:rPr>
        <w:t xml:space="preserve">20+ years in automotive retail. Thinks in units, not impressions. The key metric is “cars out the door.” Understands that marketing drives traffic to dealers, but sceptical of digital metrics and wants to see the connection between spend and actual vehicles sold. Under pressure from HQ to hit monthly registration targets.</w:t>
      </w:r>
    </w:p>
    <w:p>
      <w:pPr>
        <w:spacing w:after="80"/>
      </w:pPr>
      <w:r>
        <w:rPr>
          <w:rFonts w:ascii="Arial" w:cs="Arial" w:eastAsia="Arial" w:hAnsi="Arial"/>
          <w:b/>
          <w:bCs/>
          <w:sz w:val="18"/>
          <w:szCs w:val="18"/>
        </w:rPr>
        <w:t xml:space="preserve">When they use the platform: </w:t>
      </w:r>
      <w:r>
        <w:rPr>
          <w:rFonts w:ascii="Arial" w:cs="Arial" w:eastAsia="Arial" w:hAnsi="Arial"/>
          <w:sz w:val="18"/>
          <w:szCs w:val="18"/>
        </w:rPr>
        <w:t xml:space="preserve">Daily (sales dashboard), weekly (dealer performance review), monthly (target review with HQ). Especially intense at end of month and end of quarter.</w:t>
      </w:r>
    </w:p>
    <w:p>
      <w:pPr>
        <w:spacing w:after="80"/>
      </w:pPr>
      <w:r>
        <w:rPr>
          <w:rFonts w:ascii="Arial" w:cs="Arial" w:eastAsia="Arial" w:hAnsi="Arial"/>
          <w:b/>
          <w:bCs/>
          <w:sz w:val="18"/>
          <w:szCs w:val="18"/>
        </w:rPr>
        <w:t xml:space="preserve">What they care about: </w:t>
      </w:r>
      <w:r>
        <w:rPr>
          <w:rFonts w:ascii="Arial" w:cs="Arial" w:eastAsia="Arial" w:hAnsi="Arial"/>
          <w:sz w:val="18"/>
          <w:szCs w:val="18"/>
        </w:rPr>
        <w:t xml:space="preserve">How many cars are we selling? Which dealers are performing? Are marketing leads converting? What’s the cost to sell a car? Where should I focus dealer support?</w:t>
      </w:r>
    </w:p>
    <w:p>
      <w:pPr>
        <w:pStyle w:val="Heading2"/>
        <w:spacing w:before="240" w:after="100"/>
      </w:pPr>
      <w:r>
        <w:rPr>
          <w:rFonts w:ascii="Arial" w:cs="Arial" w:eastAsia="Arial" w:hAnsi="Arial"/>
          <w:b/>
          <w:bCs/>
          <w:color w:val="1a1a2e"/>
          <w:sz w:val="24"/>
          <w:szCs w:val="24"/>
        </w:rPr>
        <w:t xml:space="preserve">5.1 Sales Performance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many cars did we sell this month?”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S4.1 (vehicle sales)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LOOKUP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October 2025: 187 units registered. YTD (Sep-Oct): 298 units. Target: 175 (Oct), 280 (YTD). Status: +6.9% vs monthly target, +6.4% vs YTD. Breakdown: Retail 112 (60%), Fleet 52 (28%), Salary Sacrifice 18 (10%), Demo 5 (2%). Colour: Nebula Green leading (34%).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“Which dealers are converting test drives into sales best?”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S4.2 (test drives) + S4.1 (vehicle sales), joined by dealer_id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Top 5 by TD-to-sale conversion rate (min 20 TDs): 1. Lookers Birmingham: 24.5% (12/49 TDs). 2. Parks East Kilbride: 22.1% (8/36). 3. Ancaster Weybridge: 19.4% (13/67). 4. DM Keith Aberdeen: 18.8% (6/32). 5. Stoneacre Leeds: 17.2% (10/58). Network average: 15.3%. Bottom 3: [list]. Recommendation: share Lookers’ sales process with underperforming dealers.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our cost per vehicle sold? Break it down by channel.”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S3.1-S3.4, S7.1 (all spend) + S4.1 (sales) + MMM attribution 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Blended marketing cost per sale: £6,848 (total spend / total sales). But this is misleading because it doesn’t account for multi-channel effects. MMM-attributed cost per sale: Google Search £1,245 (last-click), Meta £2,890, YouTube £4,567, TV £6,234 (modelled). NOTE: TV’s high cost-per-sale includes its role in driving brand awareness that makes ALL other channels more effective. Without TV, estimated search cost-per-sale would double.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“Are the leads we’re getting from Meta actually buying cars?”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S4.5 (leads, filtered by source=META) + S4.2 (test drives) + S4.1 (sales)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JOIN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Meta leads (Oct): 456. Contacted within 24hrs: 389 (85.3%). Test drive booked: 178 (39.0%). Test drive completed: 134 (29.4%). Converted to sale: 23 (5.0% of total leads, 17.2% of TDs). Average days lead-to-sale: 34. Compare: Google leads convert at 7.8%, Auto Trader at 9.2%, Walk-in at 12.1%. Meta leads are cheaper (£18 CPL) but convert at lower rates. Net cost per Meta-sourced sale: £357.</w:t>
            </w:r>
          </w:p>
        </w:tc>
      </w:tr>
    </w:tbl>
    <w:p>
      <w:pPr>
        <w:pStyle w:val="Heading2"/>
        <w:spacing w:before="240" w:after="100"/>
      </w:pPr>
      <w:r>
        <w:rPr>
          <w:rFonts w:ascii="Arial" w:cs="Arial" w:eastAsia="Arial" w:hAnsi="Arial"/>
          <w:b/>
          <w:bCs/>
          <w:color w:val="1a1a2e"/>
          <w:sz w:val="24"/>
          <w:szCs w:val="24"/>
        </w:rPr>
        <w:t xml:space="preserve">5.2 Dealer &amp; Regional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“Which region is underperforming and why?”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S4.1 (sales by region) + S4.2 (TDs by region) + S2.1-S2.6 (spend by region) + S4.3 (GA4 by region)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North West is 34% below target (28 units vs 42 target). Contributing factors: (1) Only 3 dealers in region vs 5 planned (2 delayed openings). (2) Regional website traffic 45% below average (low paid media coverage). (3) Test drive conversion rate normal (16.1%), so issue is top-of-funnel, not in-dealer. Recommendation: accelerate dealer openings + deploy regional Meta and Google campaigns targeting Manchester and Liverpool postcodes.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“How long does it take from lead to sale? Is it getting faster or slower?”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S4.5 (leads) + S4.1 (sales), time-series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Average lead-to-sale: 38 days (October). Trend: Sep 52 days → Oct 38 days → Nov 31 days (improving). Fastest channel: Walk-in (14 days). Slowest: LinkedIn fleet (67 days, normal for fleet procurement). Website leads: 29 days. Meta leads: 34 days. Improvement driven by: dealer teams getting faster at follow-up (avg first contact now 4.2 hours vs 18 hours in September).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the test drive no-show rate and how do we fix 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S4.2 (test drives: booked vs completed vs no-show)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No-show rate: 22.4% (Oct). By source: Meta leads 28.1%, Google leads 19.3%, Auto Trader 15.7%, Phone 11.2%, Walk-in 3.4%. Pattern: no-shows peak on Monday mornings (weekend bookings, changed minds) and Friday afternoons. Recommendation: implement SMS reminder 24hrs and 2hrs before TD. Expected reduction: 5-8pp based on automotive industry benchmarks.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the most popular finance product? Is PCP still dominant?”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S4.1 (vehicle sales, finance_type field)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LOOKUP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PCP: 58%. Lease (fleet): 22%. Cash: 11%. HP: 6%. Salary sacrifice: 3%. PCP average monthly payment: £449. Average deposit: £5,200. PCP penetration is below industry average (68%) — likely because Changan is a new brand and some customers are cautious about residual values on an unknown marque.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“If marketing spend increased by 50% in the North West, how many extra sales would we 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S2.1-S2.6 (spend by region) + S4.1 (sales by region) + MMM 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Current North West spend: £120K/month. Proposed: £180K/month (+£60K). MMM projection: 8-14 additional units per month (19-33% uplift). Diminishing returns analysis: first £30K uplift yields 6-9 units; second £30K yields only 2-5 units. Optimal increase: £40K/month (+33%) for projected 7-11 additional units. Confidence: moderate — regional model has limited data (2 months). Recommend 3-month test before committing.</w:t>
            </w:r>
          </w:p>
        </w:tc>
      </w:tr>
    </w:tbl>
    <w:p>
      <w:pPr>
        <w:pStyle w:val="Heading2"/>
        <w:spacing w:before="240" w:after="100"/>
      </w:pPr>
      <w:r>
        <w:rPr>
          <w:rFonts w:ascii="Arial" w:cs="Arial" w:eastAsia="Arial" w:hAnsi="Arial"/>
          <w:b/>
          <w:bCs/>
          <w:color w:val="1a1a2e"/>
          <w:sz w:val="24"/>
          <w:szCs w:val="24"/>
        </w:rPr>
        <w:t xml:space="preserve">5.3 Forecasting &amp; Pipeline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 does December look like? Are we going to hit target?”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S4.1 (sales trend) + S4.5 (current pipeline) + S4.2 (booked TDs) + S6.2 (seasonal patterns)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December target: 220 units. Current pipeline: 234 qualified leads, 89 TDs booked, 12 deposits taken. At current conversion rates: projected 198-232 units. Risk factor: December is historically soft for new brands (consumer focus on Christmas spend, fewer dealer visits after Dec 20). Confidence range: 85-105% of target. Recommend: end-of-year dealer incentive to pull forward January pipeline.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our order bank? How many cars are waiting for delivery?”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S4.1 (sales data, ordered vs registered) + S4.5 (leads in NEGOTIATION or WON 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LOOKUP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Orders placed, awaiting delivery: 145 units. Average wait time: 4.2 weeks (factory to UK). Oldest order: 8 weeks (colour-specific — Sunset Orange, limited UK stock). Stock in UK ready for immediate delivery: 312 units across 47 dealers. Average dealer stock: 6.6 units. Low-stock dealers (fewer than 3): Stoneacre Leeds, DM Keith Aberdeen.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“For 2026, based on everything we know, what should our sales target be?”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sources + S6.2 (economic forecasts) + MMM model projections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Based on 4 months of data, dealer expansion to 60 sites, S05 launch in March, and planned £22M marketing budget: Projected 2026 registrations: 6,800-9,400 units. Base case (8,100): assumes current trajectory, no major market changes. Bull case (9,400): strong S05 reception, faster dealer expansion, BYD price increases. Bear case (6,800): economic downturn, delayed S05, increased competition from Xpeng/Leapmotor. For context: BYD sold ~8,000 in their first full year. Confidence: low — model based on limited history.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“What’s the lifetime value of a Changan customer?”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S4.1 (sales) + finance data + service data (if available)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Too early to calculate true LTV (brand is 4 months old). Initial estimates based on industry benchmarks and S07 pricing: Vehicle margin: estimated £3,500-4,500. Finance commission: estimated £800-1,200 (PCP). Service revenue (7 years): estimated £2,100-3,400. Accessories/insurance: estimated £400-600. Estimated LTV: £6,800-9,700. Caveat: no real Changan data yet. These are industry averages applied to Changan’s price point.</w:t>
            </w:r>
          </w:p>
        </w:tc>
      </w:tr>
    </w:tbl>
    <w:p>
      <w:pPr>
        <w:shd w:fill="FFF9E6" w:val="clear"/>
        <w:spacing w:before="60" w:after="80"/>
      </w:pPr>
      <w:r>
        <w:rPr>
          <w:rFonts w:ascii="Arial" w:cs="Arial" w:eastAsia="Arial" w:hAnsi="Arial"/>
          <w:i/>
          <w:iCs/>
          <w:color w:val="6B5900"/>
          <w:sz w:val="18"/>
          <w:szCs w:val="18"/>
        </w:rPr>
        <w:t xml:space="preserve">💡 For Ta: Sales queries are the most politically sensitive. The Sales Director will use these numbers in meetings with HQ. If the platform says “187 units sold in October” and the SMMT report says 192, their credibility is damaged. The vehicle sales pipeline must reconcile with official SMMT data. Build in a monthly validation step that compares our data against SMMT registration figures and flags any discrepancies.</w:t>
      </w:r>
    </w:p>
    <w:p>
      <w:r>
        <w:br w:type="page"/>
      </w:r>
    </w:p>
    <w:p>
      <w:pPr>
        <w:pStyle w:val="Heading1"/>
        <w:spacing w:before="300" w:after="120"/>
      </w:pPr>
      <w:r>
        <w:rPr>
          <w:rFonts w:ascii="Arial" w:cs="Arial" w:eastAsia="Arial" w:hAnsi="Arial"/>
          <w:b/>
          <w:bCs/>
          <w:color w:val="1a1a2e"/>
          <w:sz w:val="28"/>
          <w:szCs w:val="28"/>
        </w:rPr>
        <w:t xml:space="preserve">6. Cross-Persona Patterns &amp; Pipeline Implications</w:t>
      </w:r>
    </w:p>
    <w:p>
      <w:pPr>
        <w:pStyle w:val="Heading2"/>
        <w:spacing w:before="240" w:after="100"/>
      </w:pPr>
      <w:r>
        <w:rPr>
          <w:rFonts w:ascii="Arial" w:cs="Arial" w:eastAsia="Arial" w:hAnsi="Arial"/>
          <w:b/>
          <w:bCs/>
          <w:color w:val="1a1a2e"/>
          <w:sz w:val="24"/>
          <w:szCs w:val="24"/>
        </w:rPr>
        <w:t xml:space="preserve">6.1 The Same Question, Different Angles</w:t>
      </w:r>
    </w:p>
    <w:p>
      <w:pPr>
        <w:spacing w:after="80"/>
      </w:pPr>
      <w:r>
        <w:rPr>
          <w:rFonts w:ascii="Arial" w:cs="Arial" w:eastAsia="Arial" w:hAnsi="Arial"/>
          <w:sz w:val="18"/>
          <w:szCs w:val="18"/>
        </w:rPr>
        <w:t xml:space="preserve">Different personas often ask about the same underlying data but from completely different angles. Understanding this helps Ta see why the data model needs to be flexible: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200"/>
        <w:gridCol w:w="2546"/>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Query (what they type)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Sources Required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Complexity</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Hallucination Risk</w:t>
            </w:r>
          </w:p>
        </w:tc>
        <w:tc>
          <w:tcPr>
            <w:tcW w:type="dxa" w:w="2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What the answer looks like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CMO asks: “Is TV working?”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S3.1 + S4.1 + S4.3 + S6.2 + MMM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Wants: strategic yes/no with evidence. “Yes, TV is contributing 22% of sales uplift based on MMM decomposition.”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Media Planner asks: “How did TV perform?”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S3.1 (GRPs, reach, frequency, cost)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LOOKUP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LOW</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Wants: delivery metrics. “We delivered 1,245 GRPs at £618/GRP with 45% reach and 5.2 frequency.”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Procurement asks: “Is the TV contract on track?”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S5.1 + S5.2 + S3.1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EXTRACTION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Wants: compliance data. “ITV has delivered 1,856 of 3,200 contracted GRPs. On track. No penalty triggers.”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Sales Dir asks: “Does TV drive sales?”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S3.1 + S4.1 + S4.3 (brand search as proxy)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MEDIUM</w:t>
            </w:r>
          </w:p>
        </w:tc>
        <w:tc>
          <w:tcPr>
            <w:tcW w:type="dxa" w:w="2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Wants: concrete attribution. “In weeks with TV, average weekly sales are 52. In weeks without, 38. That’s a 37% uplift.”</w:t>
            </w:r>
          </w:p>
        </w:tc>
      </w:tr>
    </w:tbl>
    <w:p>
      <w:pPr>
        <w:spacing w:after="80"/>
      </w:pPr>
      <w:r>
        <w:rPr>
          <w:rFonts w:ascii="Arial" w:cs="Arial" w:eastAsia="Arial" w:hAnsi="Arial"/>
          <w:sz w:val="18"/>
          <w:szCs w:val="18"/>
        </w:rPr>
        <w:t xml:space="preserve">Same underlying data (TV spend and delivery), four completely different answers. The data pipeline needs to serve all four without any of them getting stale or inconsistent data.</w:t>
      </w:r>
    </w:p>
    <w:p>
      <w:pPr>
        <w:pStyle w:val="Heading2"/>
        <w:spacing w:before="240" w:after="100"/>
      </w:pPr>
      <w:r>
        <w:rPr>
          <w:rFonts w:ascii="Arial" w:cs="Arial" w:eastAsia="Arial" w:hAnsi="Arial"/>
          <w:b/>
          <w:bCs/>
          <w:color w:val="1a1a2e"/>
          <w:sz w:val="24"/>
          <w:szCs w:val="24"/>
        </w:rPr>
        <w:t xml:space="preserve">6.2 Master Data Source Dependency Map</w:t>
      </w:r>
    </w:p>
    <w:p>
      <w:pPr>
        <w:spacing w:after="80"/>
      </w:pPr>
      <w:r>
        <w:rPr>
          <w:rFonts w:ascii="Arial" w:cs="Arial" w:eastAsia="Arial" w:hAnsi="Arial"/>
          <w:sz w:val="18"/>
          <w:szCs w:val="18"/>
        </w:rPr>
        <w:t xml:space="preserve">This table shows which data sources each persona depends on. Use this to prioritise pipeline reliability: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746"/>
      </w:tblGrid>
      <w:tr>
        <w:tc>
          <w:tcPr>
            <w:tcW w:type="dxa" w:w="2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Data Source</w:t>
            </w:r>
          </w:p>
        </w:tc>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CMO</w:t>
            </w:r>
          </w:p>
        </w:tc>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Media Planner</w:t>
            </w:r>
          </w:p>
        </w:tc>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Procurement</w:t>
            </w:r>
          </w:p>
        </w:tc>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Sales Dir.</w:t>
            </w:r>
          </w:p>
        </w:tc>
        <w:tc>
          <w:tcPr>
            <w:tcW w:type="dxa" w:w="1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If this breaks...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S2.1 Meta Ads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 Meta data breaks, media planner is blind and CMO loses channel reporting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S2.2 Google Ads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Search is highest-converting channel — pacing/budget queries fail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S2.3 DV360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Mainly affects media planner’s daily optimisation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S2.4 TikTok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Lower overall budget share, less 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S2.5 YouTube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Major brand channel — CMO cares about view-through and earned views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S2.6 LinkedIn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Fleet-specific; Sales Dir cares about fleet leads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S3.1 TV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BIGGEST SINGLE CHANNEL. Affects everyone. Data delay is expected (BARB lag) but must not be missing.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S3.2 OOH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Procurement cares about panel delivery vs contract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S3.3 Print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Small budget, low query frequency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S3.4 Radio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Smallest channel. Regional only.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S4.1 Vehicle Sales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MOST IMPORTANT SOURCE. If sales data is wrong, everything is wrong.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S4.2 Test Drives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Sales Dir’s primary leading indicator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S4.3 GA4 Website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 measurement layer for all digital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S4.4 Configurator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Mid-funnel metric, not queried frequently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S4.5 Leads/CRM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Pipeline and conversion tracking for Sales Dir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S5.1 Vendor Contracts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ONLY Procurement queries these — but they’re high-stakes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S5.2 SLA Tracking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as above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S6.1 Competitor Spend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CMO’s SOV analysis depends on this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S6.2 Economic Indicators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Seasonal context for models and forecasts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S7.1 Events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Queried around specific events only</w:t>
            </w:r>
          </w:p>
        </w:tc>
      </w:tr>
    </w:tbl>
    <w:p>
      <w:pPr>
        <w:pStyle w:val="Heading2"/>
        <w:spacing w:before="240" w:after="100"/>
      </w:pPr>
      <w:r>
        <w:rPr>
          <w:rFonts w:ascii="Arial" w:cs="Arial" w:eastAsia="Arial" w:hAnsi="Arial"/>
          <w:b/>
          <w:bCs/>
          <w:color w:val="1a1a2e"/>
          <w:sz w:val="24"/>
          <w:szCs w:val="24"/>
        </w:rPr>
        <w:t xml:space="preserve">6.3 Pipeline Reliability Priorities</w:t>
      </w:r>
    </w:p>
    <w:p>
      <w:pPr>
        <w:spacing w:after="80"/>
      </w:pPr>
      <w:r>
        <w:rPr>
          <w:rFonts w:ascii="Arial" w:cs="Arial" w:eastAsia="Arial" w:hAnsi="Arial"/>
          <w:sz w:val="18"/>
          <w:szCs w:val="18"/>
        </w:rPr>
        <w:t xml:space="preserve">Based on the dependency map above, here’s the priority order for pipeline reliability:</w:t>
      </w:r>
    </w:p>
    <w:p>
      <w:pPr>
        <w:pStyle w:val="ListParagraph"/>
        <w:numPr>
          <w:ilvl w:val="0"/>
          <w:numId w:val="2"/>
        </w:numPr>
        <w:spacing w:after="40"/>
      </w:pPr>
      <w:r>
        <w:rPr>
          <w:rFonts w:ascii="Arial" w:cs="Arial" w:eastAsia="Arial" w:hAnsi="Arial"/>
          <w:sz w:val="18"/>
          <w:szCs w:val="18"/>
        </w:rPr>
        <w:t xml:space="preserve">TIER 1 — Zero tolerance for errors or delays: Vehicle Sales (S4.1). If this is wrong, the platform loses all credibility. Must reconcile with SMMT monthly.</w:t>
      </w:r>
    </w:p>
    <w:p>
      <w:pPr>
        <w:pStyle w:val="ListParagraph"/>
        <w:numPr>
          <w:ilvl w:val="0"/>
          <w:numId w:val="2"/>
        </w:numPr>
        <w:spacing w:after="40"/>
      </w:pPr>
      <w:r>
        <w:rPr>
          <w:rFonts w:ascii="Arial" w:cs="Arial" w:eastAsia="Arial" w:hAnsi="Arial"/>
          <w:sz w:val="18"/>
          <w:szCs w:val="18"/>
        </w:rPr>
        <w:t xml:space="preserve">TIER 1 — Zero tolerance: TV data (S3.1). Largest single spend channel. All four personas query it. BARB data has a natural 7-10 day lag, which is fine — but it must arrive reliably.</w:t>
      </w:r>
    </w:p>
    <w:p>
      <w:pPr>
        <w:pStyle w:val="ListParagraph"/>
        <w:numPr>
          <w:ilvl w:val="0"/>
          <w:numId w:val="2"/>
        </w:numPr>
        <w:spacing w:after="40"/>
      </w:pPr>
      <w:r>
        <w:rPr>
          <w:rFonts w:ascii="Arial" w:cs="Arial" w:eastAsia="Arial" w:hAnsi="Arial"/>
          <w:sz w:val="18"/>
          <w:szCs w:val="18"/>
        </w:rPr>
        <w:t xml:space="preserve">TIER 2 — Daily reliability required: Meta (S2.1), Google Ads (S2.2), GA4 (S4.3). These are queried daily by the media planner. A 24-hour data gap is noticeable.</w:t>
      </w:r>
    </w:p>
    <w:p>
      <w:pPr>
        <w:pStyle w:val="ListParagraph"/>
        <w:numPr>
          <w:ilvl w:val="0"/>
          <w:numId w:val="2"/>
        </w:numPr>
        <w:spacing w:after="40"/>
      </w:pPr>
      <w:r>
        <w:rPr>
          <w:rFonts w:ascii="Arial" w:cs="Arial" w:eastAsia="Arial" w:hAnsi="Arial"/>
          <w:sz w:val="18"/>
          <w:szCs w:val="18"/>
        </w:rPr>
        <w:t xml:space="preserve">TIER 2 — Daily reliability: Leads/CRM (S4.5), Test Drives (S4.2). Sales Director checks these every morning.</w:t>
      </w:r>
    </w:p>
    <w:p>
      <w:pPr>
        <w:pStyle w:val="ListParagraph"/>
        <w:numPr>
          <w:ilvl w:val="0"/>
          <w:numId w:val="2"/>
        </w:numPr>
        <w:spacing w:after="40"/>
      </w:pPr>
      <w:r>
        <w:rPr>
          <w:rFonts w:ascii="Arial" w:cs="Arial" w:eastAsia="Arial" w:hAnsi="Arial"/>
          <w:sz w:val="18"/>
          <w:szCs w:val="18"/>
        </w:rPr>
        <w:t xml:space="preserve">TIER 3 — Weekly reliability acceptable: YouTube (S2.5), DV360 (S2.3), TikTok (S2.4), OOH (S3.2), LinkedIn (S2.6). Important but not checked daily.</w:t>
      </w:r>
    </w:p>
    <w:p>
      <w:pPr>
        <w:pStyle w:val="ListParagraph"/>
        <w:numPr>
          <w:ilvl w:val="0"/>
          <w:numId w:val="2"/>
        </w:numPr>
        <w:spacing w:after="40"/>
      </w:pPr>
      <w:r>
        <w:rPr>
          <w:rFonts w:ascii="Arial" w:cs="Arial" w:eastAsia="Arial" w:hAnsi="Arial"/>
          <w:sz w:val="18"/>
          <w:szCs w:val="18"/>
        </w:rPr>
        <w:t xml:space="preserve">TIER 4 — Monthly reliability acceptable: Contracts (S5.1), SLAs (S5.2), Competitor Spend (S6.1), Economic Indicators (S6.2), Print (S3.3), Radio (S3.4), Events (S7.1). Queried infrequently.</w:t>
      </w:r>
    </w:p>
    <w:p>
      <w:pPr>
        <w:pStyle w:val="Heading2"/>
        <w:spacing w:before="240" w:after="100"/>
      </w:pPr>
      <w:r>
        <w:rPr>
          <w:rFonts w:ascii="Arial" w:cs="Arial" w:eastAsia="Arial" w:hAnsi="Arial"/>
          <w:b/>
          <w:bCs/>
          <w:color w:val="1a1a2e"/>
          <w:sz w:val="24"/>
          <w:szCs w:val="24"/>
        </w:rPr>
        <w:t xml:space="preserve">6.4 Hallucination Mitigation Strategy</w:t>
      </w:r>
    </w:p>
    <w:p>
      <w:pPr>
        <w:spacing w:after="80"/>
      </w:pPr>
      <w:r>
        <w:rPr>
          <w:rFonts w:ascii="Arial" w:cs="Arial" w:eastAsia="Arial" w:hAnsi="Arial"/>
          <w:sz w:val="18"/>
          <w:szCs w:val="18"/>
        </w:rPr>
        <w:t xml:space="preserve">Where hallucination risk is HIGH, the pipeline and AI layer need these safeguards:</w:t>
      </w:r>
    </w:p>
    <w:p>
      <w:pPr>
        <w:pStyle w:val="ListParagraph"/>
        <w:numPr>
          <w:ilvl w:val="0"/>
          <w:numId w:val="2"/>
        </w:numPr>
        <w:spacing w:after="40"/>
      </w:pPr>
      <w:r>
        <w:rPr>
          <w:rFonts w:ascii="Arial" w:cs="Arial" w:eastAsia="Arial" w:hAnsi="Arial"/>
          <w:sz w:val="18"/>
          <w:szCs w:val="18"/>
        </w:rPr>
        <w:t xml:space="preserve">Contract extraction (Persona 3): ALWAYS cite the specific clause number. ALWAYS include a confidence score. If confidence is below 0.85, add a warning: “This extraction should be verified against the original document.” NEVER present contract terms without a source reference.</w:t>
      </w:r>
    </w:p>
    <w:p>
      <w:pPr>
        <w:pStyle w:val="ListParagraph"/>
        <w:numPr>
          <w:ilvl w:val="0"/>
          <w:numId w:val="2"/>
        </w:numPr>
        <w:spacing w:after="40"/>
      </w:pPr>
      <w:r>
        <w:rPr>
          <w:rFonts w:ascii="Arial" w:cs="Arial" w:eastAsia="Arial" w:hAnsi="Arial"/>
          <w:sz w:val="18"/>
          <w:szCs w:val="18"/>
        </w:rPr>
        <w:t xml:space="preserve">MMM model outputs (Personas 1 &amp; 4): ALWAYS present confidence intervals, not point estimates. Say “8-14 additional units” not “11 additional units.” ALWAYS caveat with model limitations: “Based on 4 months of data; projections become more reliable with 12+ months.”</w:t>
      </w:r>
    </w:p>
    <w:p>
      <w:pPr>
        <w:pStyle w:val="ListParagraph"/>
        <w:numPr>
          <w:ilvl w:val="0"/>
          <w:numId w:val="2"/>
        </w:numPr>
        <w:spacing w:after="40"/>
      </w:pPr>
      <w:r>
        <w:rPr>
          <w:rFonts w:ascii="Arial" w:cs="Arial" w:eastAsia="Arial" w:hAnsi="Arial"/>
          <w:sz w:val="18"/>
          <w:szCs w:val="18"/>
        </w:rPr>
        <w:t xml:space="preserve">Cross-source joins (all personas): When combining data from multiple sources, flag any mismatches. If Meta says 456 leads but CRM says 423, present both numbers and explain the likely reason (attribution window differences, duplicate removal).</w:t>
      </w:r>
    </w:p>
    <w:p>
      <w:pPr>
        <w:pStyle w:val="ListParagraph"/>
        <w:numPr>
          <w:ilvl w:val="0"/>
          <w:numId w:val="2"/>
        </w:numPr>
        <w:spacing w:after="40"/>
      </w:pPr>
      <w:r>
        <w:rPr>
          <w:rFonts w:ascii="Arial" w:cs="Arial" w:eastAsia="Arial" w:hAnsi="Arial"/>
          <w:sz w:val="18"/>
          <w:szCs w:val="18"/>
        </w:rPr>
        <w:t xml:space="preserve">Benchmarks and comparisons: ALWAYS state the source and date of benchmark data. Don’t present industry benchmarks as if they’re current facts — they may be from 2023 data applied to a 2025 context.</w:t>
      </w:r>
    </w:p>
    <w:p>
      <w:pPr>
        <w:pBdr>
          <w:bottom w:val="single" w:color="CCCCCC" w:sz="1"/>
        </w:pBdr>
        <w:spacing w:before="200" w:after="200"/>
      </w:pPr>
    </w:p>
    <w:p>
      <w:pPr>
        <w:spacing w:before="200"/>
        <w:jc w:val="center"/>
      </w:pPr>
      <w:r>
        <w:rPr>
          <w:rFonts w:ascii="Arial" w:cs="Arial" w:eastAsia="Arial" w:hAnsi="Arial"/>
          <w:i/>
          <w:iCs/>
          <w:color w:val="666666"/>
          <w:sz w:val="16"/>
          <w:szCs w:val="16"/>
        </w:rPr>
        <w:t xml:space="preserve">S42 Labs — Signal42 Group</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a1a2e"/>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2026-02-08T07:31:40.024Z</dcterms:created>
  <dcterms:modified xsi:type="dcterms:W3CDTF">2026-02-08T07:31:40.024Z</dcterms:modified>
</cp:coreProperties>
</file>

<file path=docProps/custom.xml><?xml version="1.0" encoding="utf-8"?>
<Properties xmlns="http://schemas.openxmlformats.org/officeDocument/2006/custom-properties" xmlns:vt="http://schemas.openxmlformats.org/officeDocument/2006/docPropsVTypes"/>
</file>