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2"/>
        <w:ind w:left="107" w:right="0" w:firstLine="0"/>
        <w:jc w:val="left"/>
        <w:rPr>
          <w:sz w:val="16"/>
        </w:rPr>
      </w:pPr>
      <w:r>
        <w:rPr>
          <w:w w:val="105"/>
          <w:sz w:val="12"/>
        </w:rPr>
        <w:t>SOCIAL SCIENCE RESEARCH </w:t>
      </w:r>
      <w:r>
        <w:rPr>
          <w:b/>
          <w:w w:val="105"/>
          <w:sz w:val="16"/>
        </w:rPr>
        <w:t>26, </w:t>
      </w:r>
      <w:r>
        <w:rPr>
          <w:w w:val="105"/>
          <w:sz w:val="16"/>
        </w:rPr>
        <w:t>309–330 (1997)</w:t>
      </w:r>
    </w:p>
    <w:p>
      <w:pPr>
        <w:spacing w:before="15"/>
        <w:ind w:left="107" w:right="0" w:firstLine="0"/>
        <w:jc w:val="left"/>
        <w:rPr>
          <w:sz w:val="16"/>
        </w:rPr>
      </w:pPr>
      <w:r>
        <w:rPr>
          <w:w w:val="105"/>
          <w:sz w:val="12"/>
        </w:rPr>
        <w:t>ARTICLE NO. </w:t>
      </w:r>
      <w:r>
        <w:rPr>
          <w:w w:val="105"/>
          <w:sz w:val="16"/>
        </w:rPr>
        <w:t>SO970600</w:t>
      </w:r>
    </w:p>
    <w:p>
      <w:pPr>
        <w:pStyle w:val="BodyText"/>
      </w:pPr>
    </w:p>
    <w:p>
      <w:pPr>
        <w:pStyle w:val="BodyText"/>
      </w:pPr>
    </w:p>
    <w:p>
      <w:pPr>
        <w:pStyle w:val="BodyText"/>
        <w:spacing w:before="4"/>
        <w:rPr>
          <w:sz w:val="21"/>
        </w:rPr>
      </w:pPr>
    </w:p>
    <w:p>
      <w:pPr>
        <w:spacing w:before="89"/>
        <w:ind w:left="715" w:right="0" w:firstLine="0"/>
        <w:jc w:val="left"/>
        <w:rPr>
          <w:rFonts w:ascii="Helvetica"/>
          <w:sz w:val="24"/>
        </w:rPr>
      </w:pPr>
      <w:r>
        <w:rPr>
          <w:rFonts w:ascii="Helvetica"/>
          <w:sz w:val="24"/>
        </w:rPr>
        <w:t>Shifting Margins of Housing Status in Los Angeles</w:t>
      </w:r>
    </w:p>
    <w:p>
      <w:pPr>
        <w:pStyle w:val="BodyText"/>
        <w:spacing w:before="4"/>
        <w:rPr>
          <w:rFonts w:ascii="Helvetica"/>
          <w:sz w:val="24"/>
        </w:rPr>
      </w:pPr>
    </w:p>
    <w:p>
      <w:pPr>
        <w:pStyle w:val="BodyText"/>
        <w:spacing w:before="1"/>
        <w:ind w:left="1409" w:right="1427"/>
        <w:jc w:val="center"/>
      </w:pPr>
      <w:r>
        <w:rPr/>
        <w:t>Jennifer Wolch and Wei Li</w:t>
      </w:r>
    </w:p>
    <w:p>
      <w:pPr>
        <w:pStyle w:val="BodyText"/>
        <w:spacing w:before="7"/>
        <w:rPr>
          <w:sz w:val="18"/>
        </w:rPr>
      </w:pPr>
    </w:p>
    <w:p>
      <w:pPr>
        <w:spacing w:before="0"/>
        <w:ind w:left="1387" w:right="0" w:firstLine="0"/>
        <w:jc w:val="left"/>
        <w:rPr>
          <w:i/>
          <w:sz w:val="16"/>
        </w:rPr>
      </w:pPr>
      <w:r>
        <w:rPr>
          <w:i/>
          <w:sz w:val="16"/>
        </w:rPr>
        <w:t>Department of Geography, University of Southern California</w:t>
      </w:r>
    </w:p>
    <w:p>
      <w:pPr>
        <w:pStyle w:val="BodyText"/>
        <w:spacing w:before="10"/>
        <w:rPr>
          <w:i/>
          <w:sz w:val="22"/>
        </w:rPr>
      </w:pPr>
    </w:p>
    <w:p>
      <w:pPr>
        <w:spacing w:line="271" w:lineRule="auto" w:before="0"/>
        <w:ind w:left="466" w:right="482" w:firstLine="159"/>
        <w:jc w:val="both"/>
        <w:rPr>
          <w:sz w:val="12"/>
        </w:rPr>
      </w:pPr>
      <w:r>
        <w:rPr>
          <w:sz w:val="16"/>
        </w:rPr>
        <w:t>Changes in housing circumstances over the 1980s were more dramatic in Los Angeles than nationwide. Reductions in housing autonomy were larger, as were diversity gaps in crowding, affordability gaps between owners and renters, and generation gaps in home ownership. Margins of the housing status distribution also changed more sharply. </w:t>
      </w:r>
      <w:r>
        <w:rPr>
          <w:spacing w:val="-4"/>
          <w:sz w:val="16"/>
        </w:rPr>
        <w:t>The </w:t>
      </w:r>
      <w:r>
        <w:rPr>
          <w:sz w:val="16"/>
        </w:rPr>
        <w:t>precariously housed expanded at double the national rate and their housing problems worsened; the generously housed fell overall but the most affluent further improved </w:t>
      </w:r>
      <w:r>
        <w:rPr>
          <w:spacing w:val="-3"/>
          <w:sz w:val="16"/>
        </w:rPr>
        <w:t>their </w:t>
      </w:r>
      <w:r>
        <w:rPr>
          <w:sz w:val="16"/>
        </w:rPr>
        <w:t>housing</w:t>
      </w:r>
      <w:r>
        <w:rPr>
          <w:spacing w:val="-4"/>
          <w:sz w:val="16"/>
        </w:rPr>
        <w:t> </w:t>
      </w:r>
      <w:r>
        <w:rPr>
          <w:sz w:val="16"/>
        </w:rPr>
        <w:t>situation.</w:t>
      </w:r>
      <w:r>
        <w:rPr>
          <w:spacing w:val="-7"/>
          <w:sz w:val="16"/>
        </w:rPr>
        <w:t> </w:t>
      </w:r>
      <w:r>
        <w:rPr>
          <w:spacing w:val="-4"/>
          <w:sz w:val="16"/>
        </w:rPr>
        <w:t>Young</w:t>
      </w:r>
      <w:r>
        <w:rPr>
          <w:spacing w:val="-3"/>
          <w:sz w:val="16"/>
        </w:rPr>
        <w:t> </w:t>
      </w:r>
      <w:r>
        <w:rPr>
          <w:sz w:val="16"/>
        </w:rPr>
        <w:t>people,</w:t>
      </w:r>
      <w:r>
        <w:rPr>
          <w:spacing w:val="-4"/>
          <w:sz w:val="16"/>
        </w:rPr>
        <w:t> </w:t>
      </w:r>
      <w:r>
        <w:rPr>
          <w:sz w:val="16"/>
        </w:rPr>
        <w:t>female-headed</w:t>
      </w:r>
      <w:r>
        <w:rPr>
          <w:spacing w:val="-3"/>
          <w:sz w:val="16"/>
        </w:rPr>
        <w:t> </w:t>
      </w:r>
      <w:r>
        <w:rPr>
          <w:sz w:val="16"/>
        </w:rPr>
        <w:t>households,</w:t>
      </w:r>
      <w:r>
        <w:rPr>
          <w:spacing w:val="-3"/>
          <w:sz w:val="16"/>
        </w:rPr>
        <w:t> </w:t>
      </w:r>
      <w:r>
        <w:rPr>
          <w:sz w:val="16"/>
        </w:rPr>
        <w:t>and</w:t>
      </w:r>
      <w:r>
        <w:rPr>
          <w:spacing w:val="-10"/>
          <w:sz w:val="16"/>
        </w:rPr>
        <w:t> </w:t>
      </w:r>
      <w:r>
        <w:rPr>
          <w:sz w:val="16"/>
        </w:rPr>
        <w:t>African-Americans</w:t>
      </w:r>
      <w:r>
        <w:rPr>
          <w:spacing w:val="-4"/>
          <w:sz w:val="16"/>
        </w:rPr>
        <w:t> </w:t>
      </w:r>
      <w:r>
        <w:rPr>
          <w:sz w:val="16"/>
        </w:rPr>
        <w:t>were at higher risk of becoming precariously housed than their counterparts nationwide; </w:t>
      </w:r>
      <w:r>
        <w:rPr>
          <w:spacing w:val="-4"/>
          <w:sz w:val="16"/>
        </w:rPr>
        <w:t>the </w:t>
      </w:r>
      <w:r>
        <w:rPr>
          <w:sz w:val="16"/>
        </w:rPr>
        <w:t>prospect</w:t>
      </w:r>
      <w:r>
        <w:rPr>
          <w:spacing w:val="-6"/>
          <w:sz w:val="16"/>
        </w:rPr>
        <w:t> </w:t>
      </w:r>
      <w:r>
        <w:rPr>
          <w:sz w:val="16"/>
        </w:rPr>
        <w:t>of</w:t>
      </w:r>
      <w:r>
        <w:rPr>
          <w:spacing w:val="-5"/>
          <w:sz w:val="16"/>
        </w:rPr>
        <w:t> </w:t>
      </w:r>
      <w:r>
        <w:rPr>
          <w:sz w:val="16"/>
        </w:rPr>
        <w:t>enjoying</w:t>
      </w:r>
      <w:r>
        <w:rPr>
          <w:spacing w:val="-5"/>
          <w:sz w:val="16"/>
        </w:rPr>
        <w:t> </w:t>
      </w:r>
      <w:r>
        <w:rPr>
          <w:sz w:val="16"/>
        </w:rPr>
        <w:t>generous</w:t>
      </w:r>
      <w:r>
        <w:rPr>
          <w:spacing w:val="-5"/>
          <w:sz w:val="16"/>
        </w:rPr>
        <w:t> </w:t>
      </w:r>
      <w:r>
        <w:rPr>
          <w:sz w:val="16"/>
        </w:rPr>
        <w:t>housing</w:t>
      </w:r>
      <w:r>
        <w:rPr>
          <w:spacing w:val="-5"/>
          <w:sz w:val="16"/>
        </w:rPr>
        <w:t> </w:t>
      </w:r>
      <w:r>
        <w:rPr>
          <w:sz w:val="16"/>
        </w:rPr>
        <w:t>circumstances</w:t>
      </w:r>
      <w:r>
        <w:rPr>
          <w:spacing w:val="-5"/>
          <w:sz w:val="16"/>
        </w:rPr>
        <w:t> </w:t>
      </w:r>
      <w:r>
        <w:rPr>
          <w:sz w:val="16"/>
        </w:rPr>
        <w:t>fell</w:t>
      </w:r>
      <w:r>
        <w:rPr>
          <w:spacing w:val="-6"/>
          <w:sz w:val="16"/>
        </w:rPr>
        <w:t> </w:t>
      </w:r>
      <w:r>
        <w:rPr>
          <w:sz w:val="16"/>
        </w:rPr>
        <w:t>faster</w:t>
      </w:r>
      <w:r>
        <w:rPr>
          <w:spacing w:val="-5"/>
          <w:sz w:val="16"/>
        </w:rPr>
        <w:t> </w:t>
      </w:r>
      <w:r>
        <w:rPr>
          <w:sz w:val="16"/>
        </w:rPr>
        <w:t>for</w:t>
      </w:r>
      <w:r>
        <w:rPr>
          <w:spacing w:val="-13"/>
          <w:sz w:val="16"/>
        </w:rPr>
        <w:t> </w:t>
      </w:r>
      <w:r>
        <w:rPr>
          <w:sz w:val="16"/>
        </w:rPr>
        <w:t>Asians</w:t>
      </w:r>
      <w:r>
        <w:rPr>
          <w:spacing w:val="-6"/>
          <w:sz w:val="16"/>
        </w:rPr>
        <w:t> </w:t>
      </w:r>
      <w:r>
        <w:rPr>
          <w:sz w:val="16"/>
        </w:rPr>
        <w:t>and</w:t>
      </w:r>
      <w:r>
        <w:rPr>
          <w:spacing w:val="-5"/>
          <w:sz w:val="16"/>
        </w:rPr>
        <w:t> </w:t>
      </w:r>
      <w:r>
        <w:rPr>
          <w:sz w:val="16"/>
        </w:rPr>
        <w:t>established immigrants;</w:t>
      </w:r>
      <w:r>
        <w:rPr>
          <w:spacing w:val="-6"/>
          <w:sz w:val="16"/>
        </w:rPr>
        <w:t> </w:t>
      </w:r>
      <w:r>
        <w:rPr>
          <w:sz w:val="16"/>
        </w:rPr>
        <w:t>and</w:t>
      </w:r>
      <w:r>
        <w:rPr>
          <w:spacing w:val="-5"/>
          <w:sz w:val="16"/>
        </w:rPr>
        <w:t> </w:t>
      </w:r>
      <w:r>
        <w:rPr>
          <w:sz w:val="16"/>
        </w:rPr>
        <w:t>precarious</w:t>
      </w:r>
      <w:r>
        <w:rPr>
          <w:spacing w:val="-5"/>
          <w:sz w:val="16"/>
        </w:rPr>
        <w:t> </w:t>
      </w:r>
      <w:r>
        <w:rPr>
          <w:sz w:val="16"/>
        </w:rPr>
        <w:t>housing</w:t>
      </w:r>
      <w:r>
        <w:rPr>
          <w:spacing w:val="-6"/>
          <w:sz w:val="16"/>
        </w:rPr>
        <w:t> </w:t>
      </w:r>
      <w:r>
        <w:rPr>
          <w:sz w:val="16"/>
        </w:rPr>
        <w:t>rates</w:t>
      </w:r>
      <w:r>
        <w:rPr>
          <w:spacing w:val="-5"/>
          <w:sz w:val="16"/>
        </w:rPr>
        <w:t> </w:t>
      </w:r>
      <w:r>
        <w:rPr>
          <w:sz w:val="16"/>
        </w:rPr>
        <w:t>were</w:t>
      </w:r>
      <w:r>
        <w:rPr>
          <w:spacing w:val="-5"/>
          <w:sz w:val="16"/>
        </w:rPr>
        <w:t> </w:t>
      </w:r>
      <w:r>
        <w:rPr>
          <w:sz w:val="16"/>
        </w:rPr>
        <w:t>four</w:t>
      </w:r>
      <w:r>
        <w:rPr>
          <w:spacing w:val="-6"/>
          <w:sz w:val="16"/>
        </w:rPr>
        <w:t> </w:t>
      </w:r>
      <w:r>
        <w:rPr>
          <w:sz w:val="16"/>
        </w:rPr>
        <w:t>times</w:t>
      </w:r>
      <w:r>
        <w:rPr>
          <w:spacing w:val="-5"/>
          <w:sz w:val="16"/>
        </w:rPr>
        <w:t> </w:t>
      </w:r>
      <w:r>
        <w:rPr>
          <w:sz w:val="16"/>
        </w:rPr>
        <w:t>higher</w:t>
      </w:r>
      <w:r>
        <w:rPr>
          <w:spacing w:val="-5"/>
          <w:sz w:val="16"/>
        </w:rPr>
        <w:t> </w:t>
      </w:r>
      <w:r>
        <w:rPr>
          <w:sz w:val="16"/>
        </w:rPr>
        <w:t>than</w:t>
      </w:r>
      <w:r>
        <w:rPr>
          <w:spacing w:val="-5"/>
          <w:sz w:val="16"/>
        </w:rPr>
        <w:t> </w:t>
      </w:r>
      <w:r>
        <w:rPr>
          <w:sz w:val="16"/>
        </w:rPr>
        <w:t>the</w:t>
      </w:r>
      <w:r>
        <w:rPr>
          <w:spacing w:val="-6"/>
          <w:sz w:val="16"/>
        </w:rPr>
        <w:t> </w:t>
      </w:r>
      <w:r>
        <w:rPr>
          <w:sz w:val="16"/>
        </w:rPr>
        <w:t>nation</w:t>
      </w:r>
      <w:r>
        <w:rPr>
          <w:spacing w:val="-5"/>
          <w:sz w:val="16"/>
        </w:rPr>
        <w:t> </w:t>
      </w:r>
      <w:r>
        <w:rPr>
          <w:sz w:val="16"/>
        </w:rPr>
        <w:t>character- ized inner city communities by 1990. Findings underscore regional variability in housing circumstances, and suggest growing needs for household assistance. Welfare reform, however, is likely to intensify housing problems and precipitate rising rates of homeless- ness in Los Angeles and other American cities.</w:t>
      </w:r>
      <w:r>
        <w:rPr>
          <w:spacing w:val="21"/>
          <w:sz w:val="16"/>
        </w:rPr>
        <w:t> </w:t>
      </w:r>
      <w:r>
        <w:rPr>
          <w:rFonts w:ascii="Arial"/>
          <w:w w:val="140"/>
          <w:position w:val="-3"/>
          <w:sz w:val="14"/>
        </w:rPr>
        <w:t>r </w:t>
      </w:r>
      <w:r>
        <w:rPr>
          <w:sz w:val="12"/>
        </w:rPr>
        <w:t>1997 Academic Press</w:t>
      </w:r>
    </w:p>
    <w:p>
      <w:pPr>
        <w:pStyle w:val="BodyText"/>
        <w:spacing w:before="10"/>
        <w:rPr>
          <w:sz w:val="17"/>
        </w:rPr>
      </w:pPr>
    </w:p>
    <w:p>
      <w:pPr>
        <w:pStyle w:val="BodyText"/>
        <w:spacing w:line="256" w:lineRule="auto"/>
        <w:ind w:left="107" w:right="124" w:firstLine="199"/>
        <w:jc w:val="both"/>
      </w:pPr>
      <w:r>
        <w:rPr/>
        <w:t>During the 1980s, the number of homeless people in American cities climbed rapidly.</w:t>
      </w:r>
      <w:r>
        <w:rPr>
          <w:spacing w:val="-12"/>
        </w:rPr>
        <w:t> </w:t>
      </w:r>
      <w:r>
        <w:rPr/>
        <w:t>Whereas</w:t>
      </w:r>
      <w:r>
        <w:rPr>
          <w:spacing w:val="-9"/>
        </w:rPr>
        <w:t> </w:t>
      </w:r>
      <w:r>
        <w:rPr/>
        <w:t>during</w:t>
      </w:r>
      <w:r>
        <w:rPr>
          <w:spacing w:val="-9"/>
        </w:rPr>
        <w:t> </w:t>
      </w:r>
      <w:r>
        <w:rPr/>
        <w:t>most</w:t>
      </w:r>
      <w:r>
        <w:rPr>
          <w:spacing w:val="-9"/>
        </w:rPr>
        <w:t> </w:t>
      </w:r>
      <w:r>
        <w:rPr/>
        <w:t>of</w:t>
      </w:r>
      <w:r>
        <w:rPr>
          <w:spacing w:val="-9"/>
        </w:rPr>
        <w:t> </w:t>
      </w:r>
      <w:r>
        <w:rPr/>
        <w:t>the</w:t>
      </w:r>
      <w:r>
        <w:rPr>
          <w:spacing w:val="-9"/>
        </w:rPr>
        <w:t> </w:t>
      </w:r>
      <w:r>
        <w:rPr/>
        <w:t>postwar</w:t>
      </w:r>
      <w:r>
        <w:rPr>
          <w:spacing w:val="-9"/>
        </w:rPr>
        <w:t> </w:t>
      </w:r>
      <w:r>
        <w:rPr/>
        <w:t>period</w:t>
      </w:r>
      <w:r>
        <w:rPr>
          <w:spacing w:val="-9"/>
        </w:rPr>
        <w:t> </w:t>
      </w:r>
      <w:r>
        <w:rPr/>
        <w:t>it</w:t>
      </w:r>
      <w:r>
        <w:rPr>
          <w:spacing w:val="-9"/>
        </w:rPr>
        <w:t> </w:t>
      </w:r>
      <w:r>
        <w:rPr/>
        <w:t>would</w:t>
      </w:r>
      <w:r>
        <w:rPr>
          <w:spacing w:val="-9"/>
        </w:rPr>
        <w:t> </w:t>
      </w:r>
      <w:r>
        <w:rPr/>
        <w:t>have</w:t>
      </w:r>
      <w:r>
        <w:rPr>
          <w:spacing w:val="-9"/>
        </w:rPr>
        <w:t> </w:t>
      </w:r>
      <w:r>
        <w:rPr/>
        <w:t>been</w:t>
      </w:r>
      <w:r>
        <w:rPr>
          <w:spacing w:val="-9"/>
        </w:rPr>
        <w:t> </w:t>
      </w:r>
      <w:r>
        <w:rPr/>
        <w:t>unusual</w:t>
      </w:r>
      <w:r>
        <w:rPr>
          <w:spacing w:val="-9"/>
        </w:rPr>
        <w:t> </w:t>
      </w:r>
      <w:r>
        <w:rPr/>
        <w:t>to see visibly homeless people wandering the street, by the end of the 1980s such individuals had become a common, if not </w:t>
      </w:r>
      <w:r>
        <w:rPr>
          <w:spacing w:val="-3"/>
        </w:rPr>
        <w:t>daily, </w:t>
      </w:r>
      <w:r>
        <w:rPr/>
        <w:t>sight for many urban residents. And such visibly homeless persons were only the tip of an iceberg, composed of people clinging to the most precarious rungs of the housing ladder. Over </w:t>
      </w:r>
      <w:r>
        <w:rPr>
          <w:spacing w:val="-6"/>
        </w:rPr>
        <w:t>the </w:t>
      </w:r>
      <w:r>
        <w:rPr/>
        <w:t>course of the 1985–1990 period, it has been estimated that 3.1% of the </w:t>
      </w:r>
      <w:r>
        <w:rPr>
          <w:spacing w:val="-5"/>
        </w:rPr>
        <w:t>U.S. </w:t>
      </w:r>
      <w:r>
        <w:rPr/>
        <w:t>population,</w:t>
      </w:r>
      <w:r>
        <w:rPr>
          <w:spacing w:val="9"/>
        </w:rPr>
        <w:t> </w:t>
      </w:r>
      <w:r>
        <w:rPr/>
        <w:t>or</w:t>
      </w:r>
      <w:r>
        <w:rPr>
          <w:spacing w:val="10"/>
        </w:rPr>
        <w:t> </w:t>
      </w:r>
      <w:r>
        <w:rPr/>
        <w:t>5.7</w:t>
      </w:r>
      <w:r>
        <w:rPr>
          <w:spacing w:val="10"/>
        </w:rPr>
        <w:t> </w:t>
      </w:r>
      <w:r>
        <w:rPr/>
        <w:t>million</w:t>
      </w:r>
      <w:r>
        <w:rPr>
          <w:spacing w:val="10"/>
        </w:rPr>
        <w:t> </w:t>
      </w:r>
      <w:r>
        <w:rPr/>
        <w:t>people,</w:t>
      </w:r>
      <w:r>
        <w:rPr>
          <w:spacing w:val="10"/>
        </w:rPr>
        <w:t> </w:t>
      </w:r>
      <w:r>
        <w:rPr/>
        <w:t>had</w:t>
      </w:r>
      <w:r>
        <w:rPr>
          <w:spacing w:val="10"/>
        </w:rPr>
        <w:t> </w:t>
      </w:r>
      <w:r>
        <w:rPr/>
        <w:t>been</w:t>
      </w:r>
      <w:r>
        <w:rPr>
          <w:spacing w:val="10"/>
        </w:rPr>
        <w:t> </w:t>
      </w:r>
      <w:r>
        <w:rPr/>
        <w:t>literally</w:t>
      </w:r>
      <w:r>
        <w:rPr>
          <w:spacing w:val="10"/>
        </w:rPr>
        <w:t> </w:t>
      </w:r>
      <w:r>
        <w:rPr/>
        <w:t>homeless,</w:t>
      </w:r>
      <w:r>
        <w:rPr>
          <w:spacing w:val="10"/>
        </w:rPr>
        <w:t> </w:t>
      </w:r>
      <w:r>
        <w:rPr/>
        <w:t>and</w:t>
      </w:r>
      <w:r>
        <w:rPr>
          <w:spacing w:val="10"/>
        </w:rPr>
        <w:t> </w:t>
      </w:r>
      <w:r>
        <w:rPr/>
        <w:t>that</w:t>
      </w:r>
      <w:r>
        <w:rPr>
          <w:spacing w:val="10"/>
        </w:rPr>
        <w:t> </w:t>
      </w:r>
      <w:r>
        <w:rPr/>
        <w:t>4.6%</w:t>
      </w:r>
      <w:r>
        <w:rPr>
          <w:spacing w:val="10"/>
        </w:rPr>
        <w:t> </w:t>
      </w:r>
      <w:r>
        <w:rPr/>
        <w:t>or</w:t>
      </w:r>
    </w:p>
    <w:p>
      <w:pPr>
        <w:pStyle w:val="BodyText"/>
        <w:rPr>
          <w:sz w:val="22"/>
        </w:rPr>
      </w:pPr>
    </w:p>
    <w:p>
      <w:pPr>
        <w:pStyle w:val="BodyText"/>
        <w:spacing w:before="5"/>
        <w:rPr>
          <w:sz w:val="18"/>
        </w:rPr>
      </w:pPr>
    </w:p>
    <w:p>
      <w:pPr>
        <w:spacing w:line="259" w:lineRule="auto" w:before="0"/>
        <w:ind w:left="107" w:right="124" w:firstLine="159"/>
        <w:jc w:val="both"/>
        <w:rPr>
          <w:sz w:val="16"/>
        </w:rPr>
      </w:pPr>
      <w:r>
        <w:rPr>
          <w:spacing w:val="-7"/>
          <w:sz w:val="16"/>
        </w:rPr>
        <w:t>We </w:t>
      </w:r>
      <w:r>
        <w:rPr>
          <w:sz w:val="16"/>
        </w:rPr>
        <w:t>thank Dowell Myers for invaluable assistance with this research, and Dallas Dishman </w:t>
      </w:r>
      <w:r>
        <w:rPr>
          <w:spacing w:val="-4"/>
          <w:sz w:val="16"/>
        </w:rPr>
        <w:t>for </w:t>
      </w:r>
      <w:r>
        <w:rPr>
          <w:sz w:val="16"/>
        </w:rPr>
        <w:t>cartographic production. Catherine </w:t>
      </w:r>
      <w:r>
        <w:rPr>
          <w:spacing w:val="-3"/>
          <w:sz w:val="16"/>
        </w:rPr>
        <w:t>Walsh </w:t>
      </w:r>
      <w:r>
        <w:rPr>
          <w:sz w:val="16"/>
        </w:rPr>
        <w:t>provided superior research assistance in earlier phases </w:t>
      </w:r>
      <w:r>
        <w:rPr>
          <w:spacing w:val="-8"/>
          <w:sz w:val="16"/>
        </w:rPr>
        <w:t>of </w:t>
      </w:r>
      <w:r>
        <w:rPr>
          <w:sz w:val="16"/>
        </w:rPr>
        <w:t>the</w:t>
      </w:r>
      <w:r>
        <w:rPr>
          <w:spacing w:val="-3"/>
          <w:sz w:val="16"/>
        </w:rPr>
        <w:t> </w:t>
      </w:r>
      <w:r>
        <w:rPr>
          <w:sz w:val="16"/>
        </w:rPr>
        <w:t>analysis,</w:t>
      </w:r>
      <w:r>
        <w:rPr>
          <w:spacing w:val="-3"/>
          <w:sz w:val="16"/>
        </w:rPr>
        <w:t> </w:t>
      </w:r>
      <w:r>
        <w:rPr>
          <w:sz w:val="16"/>
        </w:rPr>
        <w:t>which</w:t>
      </w:r>
      <w:r>
        <w:rPr>
          <w:spacing w:val="-3"/>
          <w:sz w:val="16"/>
        </w:rPr>
        <w:t> </w:t>
      </w:r>
      <w:r>
        <w:rPr>
          <w:sz w:val="16"/>
        </w:rPr>
        <w:t>were</w:t>
      </w:r>
      <w:r>
        <w:rPr>
          <w:spacing w:val="-3"/>
          <w:sz w:val="16"/>
        </w:rPr>
        <w:t> </w:t>
      </w:r>
      <w:r>
        <w:rPr>
          <w:sz w:val="16"/>
        </w:rPr>
        <w:t>supported</w:t>
      </w:r>
      <w:r>
        <w:rPr>
          <w:spacing w:val="-3"/>
          <w:sz w:val="16"/>
        </w:rPr>
        <w:t> </w:t>
      </w:r>
      <w:r>
        <w:rPr>
          <w:sz w:val="16"/>
        </w:rPr>
        <w:t>by</w:t>
      </w:r>
      <w:r>
        <w:rPr>
          <w:spacing w:val="-3"/>
          <w:sz w:val="16"/>
        </w:rPr>
        <w:t> </w:t>
      </w:r>
      <w:r>
        <w:rPr>
          <w:sz w:val="16"/>
        </w:rPr>
        <w:t>the</w:t>
      </w:r>
      <w:r>
        <w:rPr>
          <w:spacing w:val="-3"/>
          <w:sz w:val="16"/>
        </w:rPr>
        <w:t> </w:t>
      </w:r>
      <w:r>
        <w:rPr>
          <w:sz w:val="16"/>
        </w:rPr>
        <w:t>Russell</w:t>
      </w:r>
      <w:r>
        <w:rPr>
          <w:spacing w:val="-3"/>
          <w:sz w:val="16"/>
        </w:rPr>
        <w:t> </w:t>
      </w:r>
      <w:r>
        <w:rPr>
          <w:sz w:val="16"/>
        </w:rPr>
        <w:t>Sage</w:t>
      </w:r>
      <w:r>
        <w:rPr>
          <w:spacing w:val="-3"/>
          <w:sz w:val="16"/>
        </w:rPr>
        <w:t> </w:t>
      </w:r>
      <w:r>
        <w:rPr>
          <w:sz w:val="16"/>
        </w:rPr>
        <w:t>Census</w:t>
      </w:r>
      <w:r>
        <w:rPr>
          <w:spacing w:val="-3"/>
          <w:sz w:val="16"/>
        </w:rPr>
        <w:t> </w:t>
      </w:r>
      <w:r>
        <w:rPr>
          <w:sz w:val="16"/>
        </w:rPr>
        <w:t>Monograph</w:t>
      </w:r>
      <w:r>
        <w:rPr>
          <w:spacing w:val="-3"/>
          <w:sz w:val="16"/>
        </w:rPr>
        <w:t> </w:t>
      </w:r>
      <w:r>
        <w:rPr>
          <w:sz w:val="16"/>
        </w:rPr>
        <w:t>Project.</w:t>
      </w:r>
      <w:r>
        <w:rPr>
          <w:spacing w:val="-3"/>
          <w:sz w:val="16"/>
        </w:rPr>
        <w:t> </w:t>
      </w:r>
      <w:r>
        <w:rPr>
          <w:sz w:val="16"/>
        </w:rPr>
        <w:t>Support</w:t>
      </w:r>
      <w:r>
        <w:rPr>
          <w:spacing w:val="-3"/>
          <w:sz w:val="16"/>
        </w:rPr>
        <w:t> </w:t>
      </w:r>
      <w:r>
        <w:rPr>
          <w:sz w:val="16"/>
        </w:rPr>
        <w:t>from</w:t>
      </w:r>
      <w:r>
        <w:rPr>
          <w:spacing w:val="-3"/>
          <w:sz w:val="16"/>
        </w:rPr>
        <w:t> </w:t>
      </w:r>
      <w:r>
        <w:rPr>
          <w:sz w:val="16"/>
        </w:rPr>
        <w:t>the National</w:t>
      </w:r>
      <w:r>
        <w:rPr>
          <w:spacing w:val="-7"/>
          <w:sz w:val="16"/>
        </w:rPr>
        <w:t> </w:t>
      </w:r>
      <w:r>
        <w:rPr>
          <w:sz w:val="16"/>
        </w:rPr>
        <w:t>Science</w:t>
      </w:r>
      <w:r>
        <w:rPr>
          <w:spacing w:val="-7"/>
          <w:sz w:val="16"/>
        </w:rPr>
        <w:t> </w:t>
      </w:r>
      <w:r>
        <w:rPr>
          <w:sz w:val="16"/>
        </w:rPr>
        <w:t>Foundation</w:t>
      </w:r>
      <w:r>
        <w:rPr>
          <w:spacing w:val="-7"/>
          <w:sz w:val="16"/>
        </w:rPr>
        <w:t> </w:t>
      </w:r>
      <w:r>
        <w:rPr>
          <w:sz w:val="16"/>
        </w:rPr>
        <w:t>and</w:t>
      </w:r>
      <w:r>
        <w:rPr>
          <w:spacing w:val="-7"/>
          <w:sz w:val="16"/>
        </w:rPr>
        <w:t> </w:t>
      </w:r>
      <w:r>
        <w:rPr>
          <w:sz w:val="16"/>
        </w:rPr>
        <w:t>the</w:t>
      </w:r>
      <w:r>
        <w:rPr>
          <w:spacing w:val="-7"/>
          <w:sz w:val="16"/>
        </w:rPr>
        <w:t> </w:t>
      </w:r>
      <w:r>
        <w:rPr>
          <w:sz w:val="16"/>
        </w:rPr>
        <w:t>Center</w:t>
      </w:r>
      <w:r>
        <w:rPr>
          <w:spacing w:val="-7"/>
          <w:sz w:val="16"/>
        </w:rPr>
        <w:t> </w:t>
      </w:r>
      <w:r>
        <w:rPr>
          <w:sz w:val="16"/>
        </w:rPr>
        <w:t>for</w:t>
      </w:r>
      <w:r>
        <w:rPr>
          <w:spacing w:val="-16"/>
          <w:sz w:val="16"/>
        </w:rPr>
        <w:t> </w:t>
      </w:r>
      <w:r>
        <w:rPr>
          <w:sz w:val="16"/>
        </w:rPr>
        <w:t>Advanced</w:t>
      </w:r>
      <w:r>
        <w:rPr>
          <w:spacing w:val="-7"/>
          <w:sz w:val="16"/>
        </w:rPr>
        <w:t> </w:t>
      </w:r>
      <w:r>
        <w:rPr>
          <w:sz w:val="16"/>
        </w:rPr>
        <w:t>Study</w:t>
      </w:r>
      <w:r>
        <w:rPr>
          <w:spacing w:val="-7"/>
          <w:sz w:val="16"/>
        </w:rPr>
        <w:t> </w:t>
      </w:r>
      <w:r>
        <w:rPr>
          <w:sz w:val="16"/>
        </w:rPr>
        <w:t>in</w:t>
      </w:r>
      <w:r>
        <w:rPr>
          <w:spacing w:val="-7"/>
          <w:sz w:val="16"/>
        </w:rPr>
        <w:t> </w:t>
      </w:r>
      <w:r>
        <w:rPr>
          <w:sz w:val="16"/>
        </w:rPr>
        <w:t>the</w:t>
      </w:r>
      <w:r>
        <w:rPr>
          <w:spacing w:val="-7"/>
          <w:sz w:val="16"/>
        </w:rPr>
        <w:t> </w:t>
      </w:r>
      <w:r>
        <w:rPr>
          <w:sz w:val="16"/>
        </w:rPr>
        <w:t>Behavioral</w:t>
      </w:r>
      <w:r>
        <w:rPr>
          <w:spacing w:val="-7"/>
          <w:sz w:val="16"/>
        </w:rPr>
        <w:t> </w:t>
      </w:r>
      <w:r>
        <w:rPr>
          <w:sz w:val="16"/>
        </w:rPr>
        <w:t>Sciences,</w:t>
      </w:r>
      <w:r>
        <w:rPr>
          <w:spacing w:val="-7"/>
          <w:sz w:val="16"/>
        </w:rPr>
        <w:t> </w:t>
      </w:r>
      <w:r>
        <w:rPr>
          <w:sz w:val="16"/>
        </w:rPr>
        <w:t>and</w:t>
      </w:r>
      <w:r>
        <w:rPr>
          <w:spacing w:val="-7"/>
          <w:sz w:val="16"/>
        </w:rPr>
        <w:t> </w:t>
      </w:r>
      <w:r>
        <w:rPr>
          <w:sz w:val="16"/>
        </w:rPr>
        <w:t>from USC’s Southern California Studies Center, is also gratefully</w:t>
      </w:r>
      <w:r>
        <w:rPr>
          <w:spacing w:val="-28"/>
          <w:sz w:val="16"/>
        </w:rPr>
        <w:t> </w:t>
      </w:r>
      <w:r>
        <w:rPr>
          <w:sz w:val="16"/>
        </w:rPr>
        <w:t>acknowledged.</w:t>
      </w:r>
    </w:p>
    <w:p>
      <w:pPr>
        <w:spacing w:line="259" w:lineRule="auto" w:before="4"/>
        <w:ind w:left="107" w:right="125" w:firstLine="159"/>
        <w:jc w:val="both"/>
        <w:rPr>
          <w:sz w:val="16"/>
        </w:rPr>
      </w:pPr>
      <w:r>
        <w:rPr>
          <w:sz w:val="16"/>
        </w:rPr>
        <w:t>Current address for Dr. Li: Department of Geography and Asian American Studies Institute, University of Connecticut.</w:t>
      </w:r>
    </w:p>
    <w:p>
      <w:pPr>
        <w:spacing w:line="259" w:lineRule="auto" w:before="2"/>
        <w:ind w:left="107" w:right="125" w:firstLine="159"/>
        <w:jc w:val="both"/>
        <w:rPr>
          <w:sz w:val="16"/>
        </w:rPr>
      </w:pPr>
      <w:r>
        <w:rPr>
          <w:sz w:val="16"/>
        </w:rPr>
        <w:t>Address correspondence and reprint requests to Dr. Jennifer Wolch, Department of Geography, University of Southern California, Los Angeles, CA 90089-0255.</w:t>
      </w:r>
    </w:p>
    <w:p>
      <w:pPr>
        <w:pStyle w:val="BodyText"/>
        <w:spacing w:before="1"/>
        <w:rPr>
          <w:sz w:val="11"/>
        </w:rPr>
      </w:pPr>
    </w:p>
    <w:p>
      <w:pPr>
        <w:spacing w:before="93"/>
        <w:ind w:left="1409" w:right="1427" w:firstLine="0"/>
        <w:jc w:val="center"/>
        <w:rPr>
          <w:sz w:val="16"/>
        </w:rPr>
      </w:pPr>
      <w:r>
        <w:rPr>
          <w:sz w:val="16"/>
        </w:rPr>
        <w:t>309</w:t>
      </w:r>
    </w:p>
    <w:p>
      <w:pPr>
        <w:pStyle w:val="BodyText"/>
        <w:spacing w:before="10"/>
        <w:rPr>
          <w:sz w:val="8"/>
        </w:rPr>
      </w:pPr>
    </w:p>
    <w:p>
      <w:pPr>
        <w:spacing w:line="181" w:lineRule="exact" w:before="93"/>
        <w:ind w:left="5162" w:right="0" w:firstLine="0"/>
        <w:jc w:val="left"/>
        <w:rPr>
          <w:sz w:val="16"/>
        </w:rPr>
      </w:pPr>
      <w:r>
        <w:rPr>
          <w:sz w:val="16"/>
        </w:rPr>
        <w:t>0049-089X/97</w:t>
      </w:r>
      <w:r>
        <w:rPr>
          <w:spacing w:val="-5"/>
          <w:sz w:val="16"/>
        </w:rPr>
        <w:t> </w:t>
      </w:r>
      <w:r>
        <w:rPr>
          <w:sz w:val="16"/>
        </w:rPr>
        <w:t>$25.00</w:t>
      </w:r>
    </w:p>
    <w:p>
      <w:pPr>
        <w:spacing w:line="184" w:lineRule="auto" w:before="18"/>
        <w:ind w:left="4194" w:right="124" w:firstLine="502"/>
        <w:jc w:val="right"/>
        <w:rPr>
          <w:sz w:val="12"/>
        </w:rPr>
      </w:pPr>
      <w:r>
        <w:rPr>
          <w:w w:val="105"/>
          <w:sz w:val="12"/>
        </w:rPr>
        <w:t>Copyright </w:t>
      </w:r>
      <w:r>
        <w:rPr>
          <w:rFonts w:ascii="Arial"/>
          <w:w w:val="140"/>
          <w:position w:val="-3"/>
          <w:sz w:val="14"/>
        </w:rPr>
        <w:t>r</w:t>
      </w:r>
      <w:r>
        <w:rPr>
          <w:rFonts w:ascii="Arial"/>
          <w:spacing w:val="-35"/>
          <w:w w:val="140"/>
          <w:position w:val="-3"/>
          <w:sz w:val="14"/>
        </w:rPr>
        <w:t> </w:t>
      </w:r>
      <w:r>
        <w:rPr>
          <w:w w:val="105"/>
          <w:sz w:val="12"/>
        </w:rPr>
        <w:t>1997 by Academic</w:t>
      </w:r>
      <w:r>
        <w:rPr>
          <w:spacing w:val="-2"/>
          <w:w w:val="105"/>
          <w:sz w:val="12"/>
        </w:rPr>
        <w:t> </w:t>
      </w:r>
      <w:r>
        <w:rPr>
          <w:spacing w:val="-3"/>
          <w:w w:val="105"/>
          <w:sz w:val="12"/>
        </w:rPr>
        <w:t>Press</w:t>
      </w:r>
      <w:r>
        <w:rPr>
          <w:w w:val="99"/>
          <w:sz w:val="12"/>
        </w:rPr>
        <w:t> </w:t>
      </w:r>
      <w:r>
        <w:rPr>
          <w:w w:val="105"/>
          <w:sz w:val="12"/>
        </w:rPr>
        <w:t>All</w:t>
      </w:r>
      <w:r>
        <w:rPr>
          <w:spacing w:val="-6"/>
          <w:w w:val="105"/>
          <w:sz w:val="12"/>
        </w:rPr>
        <w:t> </w:t>
      </w:r>
      <w:r>
        <w:rPr>
          <w:w w:val="105"/>
          <w:sz w:val="12"/>
        </w:rPr>
        <w:t>rights</w:t>
      </w:r>
      <w:r>
        <w:rPr>
          <w:spacing w:val="-5"/>
          <w:w w:val="105"/>
          <w:sz w:val="12"/>
        </w:rPr>
        <w:t> </w:t>
      </w:r>
      <w:r>
        <w:rPr>
          <w:w w:val="105"/>
          <w:sz w:val="12"/>
        </w:rPr>
        <w:t>of</w:t>
      </w:r>
      <w:r>
        <w:rPr>
          <w:spacing w:val="-6"/>
          <w:w w:val="105"/>
          <w:sz w:val="12"/>
        </w:rPr>
        <w:t> </w:t>
      </w:r>
      <w:r>
        <w:rPr>
          <w:w w:val="105"/>
          <w:sz w:val="12"/>
        </w:rPr>
        <w:t>reproduction</w:t>
      </w:r>
      <w:r>
        <w:rPr>
          <w:spacing w:val="-5"/>
          <w:w w:val="105"/>
          <w:sz w:val="12"/>
        </w:rPr>
        <w:t> </w:t>
      </w:r>
      <w:r>
        <w:rPr>
          <w:w w:val="105"/>
          <w:sz w:val="12"/>
        </w:rPr>
        <w:t>in</w:t>
      </w:r>
      <w:r>
        <w:rPr>
          <w:spacing w:val="-6"/>
          <w:w w:val="105"/>
          <w:sz w:val="12"/>
        </w:rPr>
        <w:t> </w:t>
      </w:r>
      <w:r>
        <w:rPr>
          <w:w w:val="105"/>
          <w:sz w:val="12"/>
        </w:rPr>
        <w:t>any</w:t>
      </w:r>
      <w:r>
        <w:rPr>
          <w:spacing w:val="-5"/>
          <w:w w:val="105"/>
          <w:sz w:val="12"/>
        </w:rPr>
        <w:t> </w:t>
      </w:r>
      <w:r>
        <w:rPr>
          <w:w w:val="105"/>
          <w:sz w:val="12"/>
        </w:rPr>
        <w:t>form</w:t>
      </w:r>
      <w:r>
        <w:rPr>
          <w:spacing w:val="-6"/>
          <w:w w:val="105"/>
          <w:sz w:val="12"/>
        </w:rPr>
        <w:t> </w:t>
      </w:r>
      <w:r>
        <w:rPr>
          <w:w w:val="105"/>
          <w:sz w:val="12"/>
        </w:rPr>
        <w:t>reserved.</w:t>
      </w:r>
    </w:p>
    <w:p>
      <w:pPr>
        <w:spacing w:after="0" w:line="184" w:lineRule="auto"/>
        <w:jc w:val="right"/>
        <w:rPr>
          <w:sz w:val="12"/>
        </w:rPr>
        <w:sectPr>
          <w:type w:val="continuous"/>
          <w:pgSz w:w="7120" w:h="11820"/>
          <w:pgMar w:top="220" w:bottom="280" w:left="260" w:right="160"/>
        </w:sectPr>
      </w:pPr>
    </w:p>
    <w:p>
      <w:pPr>
        <w:pStyle w:val="BodyText"/>
        <w:spacing w:before="8"/>
        <w:rPr>
          <w:sz w:val="13"/>
        </w:rPr>
      </w:pPr>
    </w:p>
    <w:p>
      <w:pPr>
        <w:pStyle w:val="BodyText"/>
        <w:spacing w:line="254" w:lineRule="auto" w:before="91"/>
        <w:ind w:left="107" w:right="124"/>
      </w:pPr>
      <w:r>
        <w:rPr/>
        <w:t>8.5</w:t>
      </w:r>
      <w:r>
        <w:rPr>
          <w:spacing w:val="-10"/>
        </w:rPr>
        <w:t> </w:t>
      </w:r>
      <w:r>
        <w:rPr/>
        <w:t>million</w:t>
      </w:r>
      <w:r>
        <w:rPr>
          <w:spacing w:val="-10"/>
        </w:rPr>
        <w:t> </w:t>
      </w:r>
      <w:r>
        <w:rPr/>
        <w:t>had</w:t>
      </w:r>
      <w:r>
        <w:rPr>
          <w:spacing w:val="-10"/>
        </w:rPr>
        <w:t> </w:t>
      </w:r>
      <w:r>
        <w:rPr/>
        <w:t>been</w:t>
      </w:r>
      <w:r>
        <w:rPr>
          <w:spacing w:val="-10"/>
        </w:rPr>
        <w:t> </w:t>
      </w:r>
      <w:r>
        <w:rPr/>
        <w:t>either</w:t>
      </w:r>
      <w:r>
        <w:rPr>
          <w:spacing w:val="-9"/>
        </w:rPr>
        <w:t> </w:t>
      </w:r>
      <w:r>
        <w:rPr/>
        <w:t>literally</w:t>
      </w:r>
      <w:r>
        <w:rPr>
          <w:spacing w:val="-10"/>
        </w:rPr>
        <w:t> </w:t>
      </w:r>
      <w:r>
        <w:rPr/>
        <w:t>homeless</w:t>
      </w:r>
      <w:r>
        <w:rPr>
          <w:spacing w:val="-10"/>
        </w:rPr>
        <w:t> </w:t>
      </w:r>
      <w:r>
        <w:rPr/>
        <w:t>or</w:t>
      </w:r>
      <w:r>
        <w:rPr>
          <w:spacing w:val="-10"/>
        </w:rPr>
        <w:t> </w:t>
      </w:r>
      <w:r>
        <w:rPr/>
        <w:t>doubled</w:t>
      </w:r>
      <w:r>
        <w:rPr>
          <w:spacing w:val="-10"/>
        </w:rPr>
        <w:t> </w:t>
      </w:r>
      <w:r>
        <w:rPr/>
        <w:t>up</w:t>
      </w:r>
      <w:r>
        <w:rPr>
          <w:spacing w:val="-9"/>
        </w:rPr>
        <w:t> </w:t>
      </w:r>
      <w:r>
        <w:rPr/>
        <w:t>with</w:t>
      </w:r>
      <w:r>
        <w:rPr>
          <w:spacing w:val="-10"/>
        </w:rPr>
        <w:t> </w:t>
      </w:r>
      <w:r>
        <w:rPr/>
        <w:t>family</w:t>
      </w:r>
      <w:r>
        <w:rPr>
          <w:spacing w:val="-10"/>
        </w:rPr>
        <w:t> </w:t>
      </w:r>
      <w:r>
        <w:rPr/>
        <w:t>or</w:t>
      </w:r>
      <w:r>
        <w:rPr>
          <w:spacing w:val="-10"/>
        </w:rPr>
        <w:t> </w:t>
      </w:r>
      <w:r>
        <w:rPr/>
        <w:t>friends (Link </w:t>
      </w:r>
      <w:r>
        <w:rPr>
          <w:i/>
        </w:rPr>
        <w:t>et al.,</w:t>
      </w:r>
      <w:r>
        <w:rPr>
          <w:i/>
          <w:spacing w:val="-13"/>
        </w:rPr>
        <w:t> </w:t>
      </w:r>
      <w:r>
        <w:rPr/>
        <w:t>1994).</w:t>
      </w:r>
    </w:p>
    <w:p>
      <w:pPr>
        <w:pStyle w:val="BodyText"/>
        <w:spacing w:line="252" w:lineRule="auto"/>
        <w:ind w:left="107" w:right="121" w:firstLine="199"/>
        <w:jc w:val="both"/>
      </w:pPr>
      <w:r>
        <w:rPr/>
        <w:t>The homelessness crisis of the 1980s is a complex phenomenon, tied to the growth</w:t>
      </w:r>
      <w:r>
        <w:rPr>
          <w:spacing w:val="-5"/>
        </w:rPr>
        <w:t> </w:t>
      </w:r>
      <w:r>
        <w:rPr/>
        <w:t>of</w:t>
      </w:r>
      <w:r>
        <w:rPr>
          <w:spacing w:val="-5"/>
        </w:rPr>
        <w:t> </w:t>
      </w:r>
      <w:r>
        <w:rPr/>
        <w:t>the</w:t>
      </w:r>
      <w:r>
        <w:rPr>
          <w:spacing w:val="-5"/>
        </w:rPr>
        <w:t> </w:t>
      </w:r>
      <w:r>
        <w:rPr/>
        <w:t>poor</w:t>
      </w:r>
      <w:r>
        <w:rPr>
          <w:spacing w:val="-5"/>
        </w:rPr>
        <w:t> </w:t>
      </w:r>
      <w:r>
        <w:rPr/>
        <w:t>population</w:t>
      </w:r>
      <w:r>
        <w:rPr>
          <w:spacing w:val="-5"/>
        </w:rPr>
        <w:t> </w:t>
      </w:r>
      <w:r>
        <w:rPr/>
        <w:t>during</w:t>
      </w:r>
      <w:r>
        <w:rPr>
          <w:spacing w:val="-5"/>
        </w:rPr>
        <w:t> </w:t>
      </w:r>
      <w:r>
        <w:rPr/>
        <w:t>a</w:t>
      </w:r>
      <w:r>
        <w:rPr>
          <w:spacing w:val="-5"/>
        </w:rPr>
        <w:t> </w:t>
      </w:r>
      <w:r>
        <w:rPr/>
        <w:t>period</w:t>
      </w:r>
      <w:r>
        <w:rPr>
          <w:spacing w:val="-5"/>
        </w:rPr>
        <w:t> </w:t>
      </w:r>
      <w:r>
        <w:rPr/>
        <w:t>when</w:t>
      </w:r>
      <w:r>
        <w:rPr>
          <w:spacing w:val="-4"/>
        </w:rPr>
        <w:t> </w:t>
      </w:r>
      <w:r>
        <w:rPr/>
        <w:t>affordable</w:t>
      </w:r>
      <w:r>
        <w:rPr>
          <w:spacing w:val="-5"/>
        </w:rPr>
        <w:t> </w:t>
      </w:r>
      <w:r>
        <w:rPr/>
        <w:t>housing</w:t>
      </w:r>
      <w:r>
        <w:rPr>
          <w:spacing w:val="-5"/>
        </w:rPr>
        <w:t> </w:t>
      </w:r>
      <w:r>
        <w:rPr/>
        <w:t>resources were shrinking. But not everyone was getting poorer during the decade; quite</w:t>
      </w:r>
      <w:r>
        <w:rPr>
          <w:spacing w:val="-25"/>
        </w:rPr>
        <w:t> </w:t>
      </w:r>
      <w:r>
        <w:rPr/>
        <w:t>the contrary,</w:t>
      </w:r>
      <w:r>
        <w:rPr>
          <w:spacing w:val="-5"/>
        </w:rPr>
        <w:t> </w:t>
      </w:r>
      <w:r>
        <w:rPr/>
        <w:t>as</w:t>
      </w:r>
      <w:r>
        <w:rPr>
          <w:spacing w:val="-4"/>
        </w:rPr>
        <w:t> </w:t>
      </w:r>
      <w:r>
        <w:rPr/>
        <w:t>Levy</w:t>
      </w:r>
      <w:r>
        <w:rPr>
          <w:spacing w:val="-4"/>
        </w:rPr>
        <w:t> </w:t>
      </w:r>
      <w:r>
        <w:rPr/>
        <w:t>(1995)</w:t>
      </w:r>
      <w:r>
        <w:rPr>
          <w:spacing w:val="-4"/>
        </w:rPr>
        <w:t> </w:t>
      </w:r>
      <w:r>
        <w:rPr/>
        <w:t>and</w:t>
      </w:r>
      <w:r>
        <w:rPr>
          <w:spacing w:val="-4"/>
        </w:rPr>
        <w:t> </w:t>
      </w:r>
      <w:r>
        <w:rPr/>
        <w:t>others</w:t>
      </w:r>
      <w:r>
        <w:rPr>
          <w:spacing w:val="-4"/>
        </w:rPr>
        <w:t> </w:t>
      </w:r>
      <w:r>
        <w:rPr/>
        <w:t>have</w:t>
      </w:r>
      <w:r>
        <w:rPr>
          <w:spacing w:val="-4"/>
        </w:rPr>
        <w:t> </w:t>
      </w:r>
      <w:r>
        <w:rPr/>
        <w:t>demonstrated,</w:t>
      </w:r>
      <w:r>
        <w:rPr>
          <w:spacing w:val="-4"/>
        </w:rPr>
        <w:t> </w:t>
      </w:r>
      <w:r>
        <w:rPr/>
        <w:t>the</w:t>
      </w:r>
      <w:r>
        <w:rPr>
          <w:spacing w:val="-5"/>
        </w:rPr>
        <w:t> </w:t>
      </w:r>
      <w:r>
        <w:rPr/>
        <w:t>rich</w:t>
      </w:r>
      <w:r>
        <w:rPr>
          <w:spacing w:val="-4"/>
        </w:rPr>
        <w:t> </w:t>
      </w:r>
      <w:r>
        <w:rPr/>
        <w:t>got</w:t>
      </w:r>
      <w:r>
        <w:rPr>
          <w:spacing w:val="-4"/>
        </w:rPr>
        <w:t> </w:t>
      </w:r>
      <w:r>
        <w:rPr/>
        <w:t>richer</w:t>
      </w:r>
      <w:r>
        <w:rPr>
          <w:spacing w:val="-4"/>
        </w:rPr>
        <w:t> </w:t>
      </w:r>
      <w:r>
        <w:rPr/>
        <w:t>during the 1980s. They also appear to have built more and more extravagant homes for themselves. This trend, which real estate experts term ‘‘mansionization,’’ </w:t>
      </w:r>
      <w:r>
        <w:rPr>
          <w:spacing w:val="-6"/>
        </w:rPr>
        <w:t>is </w:t>
      </w:r>
      <w:r>
        <w:rPr/>
        <w:t>widely noted in the media and refers to the construction of extraordinarily large homes—many thousands of square feet, in fact—with a host of ancillary</w:t>
      </w:r>
      <w:r>
        <w:rPr>
          <w:spacing w:val="-24"/>
        </w:rPr>
        <w:t> </w:t>
      </w:r>
      <w:r>
        <w:rPr/>
        <w:t>special- purpose rooms and</w:t>
      </w:r>
      <w:r>
        <w:rPr>
          <w:spacing w:val="-13"/>
        </w:rPr>
        <w:t> </w:t>
      </w:r>
      <w:r>
        <w:rPr/>
        <w:t>facilities.</w:t>
      </w:r>
    </w:p>
    <w:p>
      <w:pPr>
        <w:pStyle w:val="BodyText"/>
        <w:spacing w:line="252" w:lineRule="auto"/>
        <w:ind w:left="107" w:right="114" w:firstLine="199"/>
        <w:jc w:val="both"/>
      </w:pPr>
      <w:r>
        <w:rPr/>
        <w:t>As part of the Russell Sage Census Monograph Project, Myers and </w:t>
      </w:r>
      <w:r>
        <w:rPr>
          <w:spacing w:val="-4"/>
        </w:rPr>
        <w:t>Wolch </w:t>
      </w:r>
      <w:r>
        <w:rPr/>
        <w:t>(1995)</w:t>
      </w:r>
      <w:r>
        <w:rPr>
          <w:spacing w:val="-11"/>
        </w:rPr>
        <w:t> </w:t>
      </w:r>
      <w:r>
        <w:rPr/>
        <w:t>analyzed</w:t>
      </w:r>
      <w:r>
        <w:rPr>
          <w:spacing w:val="-10"/>
        </w:rPr>
        <w:t> </w:t>
      </w:r>
      <w:r>
        <w:rPr/>
        <w:t>Public</w:t>
      </w:r>
      <w:r>
        <w:rPr>
          <w:spacing w:val="-10"/>
        </w:rPr>
        <w:t> </w:t>
      </w:r>
      <w:r>
        <w:rPr/>
        <w:t>Use</w:t>
      </w:r>
      <w:r>
        <w:rPr>
          <w:spacing w:val="-10"/>
        </w:rPr>
        <w:t> </w:t>
      </w:r>
      <w:r>
        <w:rPr/>
        <w:t>Microdata</w:t>
      </w:r>
      <w:r>
        <w:rPr>
          <w:spacing w:val="-10"/>
        </w:rPr>
        <w:t> </w:t>
      </w:r>
      <w:r>
        <w:rPr/>
        <w:t>Sample</w:t>
      </w:r>
      <w:r>
        <w:rPr>
          <w:spacing w:val="-10"/>
        </w:rPr>
        <w:t> </w:t>
      </w:r>
      <w:r>
        <w:rPr/>
        <w:t>(PUMS)</w:t>
      </w:r>
      <w:r>
        <w:rPr>
          <w:spacing w:val="-10"/>
        </w:rPr>
        <w:t> </w:t>
      </w:r>
      <w:r>
        <w:rPr/>
        <w:t>data</w:t>
      </w:r>
      <w:r>
        <w:rPr>
          <w:spacing w:val="-10"/>
        </w:rPr>
        <w:t> </w:t>
      </w:r>
      <w:r>
        <w:rPr/>
        <w:t>for</w:t>
      </w:r>
      <w:r>
        <w:rPr>
          <w:spacing w:val="-10"/>
        </w:rPr>
        <w:t> </w:t>
      </w:r>
      <w:r>
        <w:rPr/>
        <w:t>1980</w:t>
      </w:r>
      <w:r>
        <w:rPr>
          <w:spacing w:val="-10"/>
        </w:rPr>
        <w:t> </w:t>
      </w:r>
      <w:r>
        <w:rPr/>
        <w:t>and</w:t>
      </w:r>
      <w:r>
        <w:rPr>
          <w:spacing w:val="-10"/>
        </w:rPr>
        <w:t> </w:t>
      </w:r>
      <w:r>
        <w:rPr/>
        <w:t>1990</w:t>
      </w:r>
      <w:r>
        <w:rPr>
          <w:spacing w:val="-10"/>
        </w:rPr>
        <w:t> </w:t>
      </w:r>
      <w:r>
        <w:rPr/>
        <w:t>to better understand how such extremes were linked to the more general housing situations</w:t>
      </w:r>
      <w:r>
        <w:rPr>
          <w:spacing w:val="-14"/>
        </w:rPr>
        <w:t> </w:t>
      </w:r>
      <w:r>
        <w:rPr/>
        <w:t>of</w:t>
      </w:r>
      <w:r>
        <w:rPr>
          <w:spacing w:val="-24"/>
        </w:rPr>
        <w:t> </w:t>
      </w:r>
      <w:r>
        <w:rPr/>
        <w:t>American</w:t>
      </w:r>
      <w:r>
        <w:rPr>
          <w:spacing w:val="-13"/>
        </w:rPr>
        <w:t> </w:t>
      </w:r>
      <w:r>
        <w:rPr/>
        <w:t>households.</w:t>
      </w:r>
      <w:r>
        <w:rPr>
          <w:spacing w:val="-13"/>
        </w:rPr>
        <w:t> </w:t>
      </w:r>
      <w:r>
        <w:rPr/>
        <w:t>Specifically,</w:t>
      </w:r>
      <w:r>
        <w:rPr>
          <w:spacing w:val="-14"/>
        </w:rPr>
        <w:t> </w:t>
      </w:r>
      <w:r>
        <w:rPr/>
        <w:t>they</w:t>
      </w:r>
      <w:r>
        <w:rPr>
          <w:spacing w:val="-13"/>
        </w:rPr>
        <w:t> </w:t>
      </w:r>
      <w:r>
        <w:rPr/>
        <w:t>sought</w:t>
      </w:r>
      <w:r>
        <w:rPr>
          <w:spacing w:val="-14"/>
        </w:rPr>
        <w:t> </w:t>
      </w:r>
      <w:r>
        <w:rPr/>
        <w:t>to</w:t>
      </w:r>
      <w:r>
        <w:rPr>
          <w:spacing w:val="-13"/>
        </w:rPr>
        <w:t> </w:t>
      </w:r>
      <w:r>
        <w:rPr/>
        <w:t>grasp</w:t>
      </w:r>
      <w:r>
        <w:rPr>
          <w:spacing w:val="-13"/>
        </w:rPr>
        <w:t> </w:t>
      </w:r>
      <w:r>
        <w:rPr/>
        <w:t>how</w:t>
      </w:r>
      <w:r>
        <w:rPr>
          <w:spacing w:val="-14"/>
        </w:rPr>
        <w:t> </w:t>
      </w:r>
      <w:r>
        <w:rPr/>
        <w:t>shifts</w:t>
      </w:r>
      <w:r>
        <w:rPr>
          <w:spacing w:val="-13"/>
        </w:rPr>
        <w:t> </w:t>
      </w:r>
      <w:r>
        <w:rPr/>
        <w:t>in the distribution of income resulting from the globalization of the</w:t>
      </w:r>
      <w:r>
        <w:rPr>
          <w:spacing w:val="15"/>
        </w:rPr>
        <w:t> </w:t>
      </w:r>
      <w:r>
        <w:rPr/>
        <w:t>economy, economic restructuring, key demographic shifts, and reductions in many welfare state programs translated into housing market outcomes for people across the country. Briefly, they found that during the decade, while many Americans continued to realize the American Dream of owning </w:t>
      </w:r>
      <w:r>
        <w:rPr>
          <w:spacing w:val="-3"/>
        </w:rPr>
        <w:t>one’s </w:t>
      </w:r>
      <w:r>
        <w:rPr/>
        <w:t>home and living in prosperity,</w:t>
      </w:r>
      <w:r>
        <w:rPr>
          <w:spacing w:val="-4"/>
        </w:rPr>
        <w:t> </w:t>
      </w:r>
      <w:r>
        <w:rPr/>
        <w:t>this</w:t>
      </w:r>
      <w:r>
        <w:rPr>
          <w:spacing w:val="-3"/>
        </w:rPr>
        <w:t> </w:t>
      </w:r>
      <w:r>
        <w:rPr/>
        <w:t>Dream</w:t>
      </w:r>
      <w:r>
        <w:rPr>
          <w:spacing w:val="-3"/>
        </w:rPr>
        <w:t> </w:t>
      </w:r>
      <w:r>
        <w:rPr/>
        <w:t>faded</w:t>
      </w:r>
      <w:r>
        <w:rPr>
          <w:spacing w:val="-3"/>
        </w:rPr>
        <w:t> </w:t>
      </w:r>
      <w:r>
        <w:rPr/>
        <w:t>and</w:t>
      </w:r>
      <w:r>
        <w:rPr>
          <w:spacing w:val="-3"/>
        </w:rPr>
        <w:t> </w:t>
      </w:r>
      <w:r>
        <w:rPr/>
        <w:t>seemed</w:t>
      </w:r>
      <w:r>
        <w:rPr>
          <w:spacing w:val="-3"/>
        </w:rPr>
        <w:t> </w:t>
      </w:r>
      <w:r>
        <w:rPr/>
        <w:t>to</w:t>
      </w:r>
      <w:r>
        <w:rPr>
          <w:spacing w:val="-3"/>
        </w:rPr>
        <w:t> </w:t>
      </w:r>
      <w:r>
        <w:rPr/>
        <w:t>slip</w:t>
      </w:r>
      <w:r>
        <w:rPr>
          <w:spacing w:val="-3"/>
        </w:rPr>
        <w:t> </w:t>
      </w:r>
      <w:r>
        <w:rPr/>
        <w:t>away</w:t>
      </w:r>
      <w:r>
        <w:rPr>
          <w:spacing w:val="-3"/>
        </w:rPr>
        <w:t> </w:t>
      </w:r>
      <w:r>
        <w:rPr/>
        <w:t>for</w:t>
      </w:r>
      <w:r>
        <w:rPr>
          <w:spacing w:val="-3"/>
        </w:rPr>
        <w:t> </w:t>
      </w:r>
      <w:r>
        <w:rPr/>
        <w:t>others.</w:t>
      </w:r>
      <w:r>
        <w:rPr>
          <w:spacing w:val="-6"/>
        </w:rPr>
        <w:t> </w:t>
      </w:r>
      <w:r>
        <w:rPr/>
        <w:t>The</w:t>
      </w:r>
      <w:r>
        <w:rPr>
          <w:spacing w:val="-4"/>
        </w:rPr>
        <w:t> </w:t>
      </w:r>
      <w:r>
        <w:rPr/>
        <w:t>distribution of housing status became increasingly polarized along a number of key dimen- sions including housing autonomy (or the ability of people to set up their own households), crowding, affordability, and home ownership. </w:t>
      </w:r>
      <w:r>
        <w:rPr>
          <w:spacing w:val="-4"/>
        </w:rPr>
        <w:t>Young </w:t>
      </w:r>
      <w:r>
        <w:rPr/>
        <w:t>people lost ability</w:t>
      </w:r>
      <w:r>
        <w:rPr>
          <w:spacing w:val="-10"/>
        </w:rPr>
        <w:t> </w:t>
      </w:r>
      <w:r>
        <w:rPr/>
        <w:t>to</w:t>
      </w:r>
      <w:r>
        <w:rPr>
          <w:spacing w:val="-9"/>
        </w:rPr>
        <w:t> </w:t>
      </w:r>
      <w:r>
        <w:rPr/>
        <w:t>own</w:t>
      </w:r>
      <w:r>
        <w:rPr>
          <w:spacing w:val="-9"/>
        </w:rPr>
        <w:t> </w:t>
      </w:r>
      <w:r>
        <w:rPr/>
        <w:t>their</w:t>
      </w:r>
      <w:r>
        <w:rPr>
          <w:spacing w:val="-10"/>
        </w:rPr>
        <w:t> </w:t>
      </w:r>
      <w:r>
        <w:rPr/>
        <w:t>own</w:t>
      </w:r>
      <w:r>
        <w:rPr>
          <w:spacing w:val="-9"/>
        </w:rPr>
        <w:t> </w:t>
      </w:r>
      <w:r>
        <w:rPr/>
        <w:t>homes,</w:t>
      </w:r>
      <w:r>
        <w:rPr>
          <w:spacing w:val="-9"/>
        </w:rPr>
        <w:t> </w:t>
      </w:r>
      <w:r>
        <w:rPr/>
        <w:t>while</w:t>
      </w:r>
      <w:r>
        <w:rPr>
          <w:spacing w:val="-9"/>
        </w:rPr>
        <w:t> </w:t>
      </w:r>
      <w:r>
        <w:rPr/>
        <w:t>older</w:t>
      </w:r>
      <w:r>
        <w:rPr>
          <w:spacing w:val="-10"/>
        </w:rPr>
        <w:t> </w:t>
      </w:r>
      <w:r>
        <w:rPr/>
        <w:t>people</w:t>
      </w:r>
      <w:r>
        <w:rPr>
          <w:spacing w:val="-9"/>
        </w:rPr>
        <w:t> </w:t>
      </w:r>
      <w:r>
        <w:rPr/>
        <w:t>gained,</w:t>
      </w:r>
      <w:r>
        <w:rPr>
          <w:spacing w:val="-9"/>
        </w:rPr>
        <w:t> </w:t>
      </w:r>
      <w:r>
        <w:rPr/>
        <w:t>creating</w:t>
      </w:r>
      <w:r>
        <w:rPr>
          <w:spacing w:val="-10"/>
        </w:rPr>
        <w:t> </w:t>
      </w:r>
      <w:r>
        <w:rPr/>
        <w:t>a</w:t>
      </w:r>
      <w:r>
        <w:rPr>
          <w:spacing w:val="-9"/>
        </w:rPr>
        <w:t> </w:t>
      </w:r>
      <w:r>
        <w:rPr/>
        <w:t>‘‘generation </w:t>
      </w:r>
      <w:r>
        <w:rPr>
          <w:spacing w:val="-3"/>
        </w:rPr>
        <w:t>gap’’ </w:t>
      </w:r>
      <w:r>
        <w:rPr/>
        <w:t>in housing. Along several dimensions, including residential crowding and affordability, White households gained at the same time that people of color lost ground, and thus there was a ‘‘diversity </w:t>
      </w:r>
      <w:r>
        <w:rPr>
          <w:spacing w:val="-3"/>
        </w:rPr>
        <w:t>gap’’ </w:t>
      </w:r>
      <w:r>
        <w:rPr/>
        <w:t>in housing. Renters were also far more apt to suffer from crowding and excessive rent burdens than home owners. And, using a multidimensional index to measure the extreme margins of the housing status distribution, Myers and </w:t>
      </w:r>
      <w:r>
        <w:rPr>
          <w:spacing w:val="-4"/>
        </w:rPr>
        <w:t>Wolch </w:t>
      </w:r>
      <w:r>
        <w:rPr/>
        <w:t>found that the proportion of </w:t>
      </w:r>
      <w:r>
        <w:rPr>
          <w:i/>
        </w:rPr>
        <w:t>precariously housed </w:t>
      </w:r>
      <w:r>
        <w:rPr/>
        <w:t>households grew overall, while the number of those who were the most </w:t>
      </w:r>
      <w:r>
        <w:rPr>
          <w:i/>
        </w:rPr>
        <w:t>generously housed </w:t>
      </w:r>
      <w:r>
        <w:rPr/>
        <w:t>grew as well, reflecting a </w:t>
      </w:r>
      <w:r>
        <w:rPr>
          <w:i/>
        </w:rPr>
        <w:t>polarization </w:t>
      </w:r>
      <w:r>
        <w:rPr/>
        <w:t>in housing status over the course of the</w:t>
      </w:r>
      <w:r>
        <w:rPr>
          <w:spacing w:val="-29"/>
        </w:rPr>
        <w:t> </w:t>
      </w:r>
      <w:r>
        <w:rPr/>
        <w:t>decade.</w:t>
      </w:r>
    </w:p>
    <w:p>
      <w:pPr>
        <w:pStyle w:val="BodyText"/>
        <w:spacing w:line="252" w:lineRule="auto"/>
        <w:ind w:left="107" w:right="114" w:firstLine="199"/>
        <w:jc w:val="both"/>
      </w:pPr>
      <w:r>
        <w:rPr/>
        <w:t>The national portrait that was painted suggested the need for more detailed analysis. In particular, given the aggregate geographic scale of the analysis, the question of how broader economic and demographic dynamics had played out to shape</w:t>
      </w:r>
      <w:r>
        <w:rPr>
          <w:spacing w:val="-9"/>
        </w:rPr>
        <w:t> </w:t>
      </w:r>
      <w:r>
        <w:rPr/>
        <w:t>the</w:t>
      </w:r>
      <w:r>
        <w:rPr>
          <w:spacing w:val="-8"/>
        </w:rPr>
        <w:t> </w:t>
      </w:r>
      <w:r>
        <w:rPr/>
        <w:t>distribution</w:t>
      </w:r>
      <w:r>
        <w:rPr>
          <w:spacing w:val="-8"/>
        </w:rPr>
        <w:t> </w:t>
      </w:r>
      <w:r>
        <w:rPr/>
        <w:t>of</w:t>
      </w:r>
      <w:r>
        <w:rPr>
          <w:spacing w:val="-9"/>
        </w:rPr>
        <w:t> </w:t>
      </w:r>
      <w:r>
        <w:rPr/>
        <w:t>housing</w:t>
      </w:r>
      <w:r>
        <w:rPr>
          <w:spacing w:val="-8"/>
        </w:rPr>
        <w:t> </w:t>
      </w:r>
      <w:r>
        <w:rPr/>
        <w:t>status</w:t>
      </w:r>
      <w:r>
        <w:rPr>
          <w:spacing w:val="-8"/>
        </w:rPr>
        <w:t> </w:t>
      </w:r>
      <w:r>
        <w:rPr/>
        <w:t>in</w:t>
      </w:r>
      <w:r>
        <w:rPr>
          <w:spacing w:val="-9"/>
        </w:rPr>
        <w:t> </w:t>
      </w:r>
      <w:r>
        <w:rPr/>
        <w:t>particular</w:t>
      </w:r>
      <w:r>
        <w:rPr>
          <w:spacing w:val="-8"/>
        </w:rPr>
        <w:t> </w:t>
      </w:r>
      <w:r>
        <w:rPr/>
        <w:t>places</w:t>
      </w:r>
      <w:r>
        <w:rPr>
          <w:spacing w:val="-8"/>
        </w:rPr>
        <w:t> </w:t>
      </w:r>
      <w:r>
        <w:rPr/>
        <w:t>remained</w:t>
      </w:r>
      <w:r>
        <w:rPr>
          <w:spacing w:val="-8"/>
        </w:rPr>
        <w:t> </w:t>
      </w:r>
      <w:r>
        <w:rPr/>
        <w:t>unanswered. The local level is especially important in housing analysis, since housing market dynamics operate in functionally integrated geographic areas, such as metropoli- tan regions, in which submarkets of households and housing resources are linked through</w:t>
      </w:r>
      <w:r>
        <w:rPr>
          <w:spacing w:val="-12"/>
        </w:rPr>
        <w:t> </w:t>
      </w:r>
      <w:r>
        <w:rPr/>
        <w:t>filtering</w:t>
      </w:r>
      <w:r>
        <w:rPr>
          <w:spacing w:val="-11"/>
        </w:rPr>
        <w:t> </w:t>
      </w:r>
      <w:r>
        <w:rPr/>
        <w:t>and</w:t>
      </w:r>
      <w:r>
        <w:rPr>
          <w:spacing w:val="-11"/>
        </w:rPr>
        <w:t> </w:t>
      </w:r>
      <w:r>
        <w:rPr/>
        <w:t>vacancy</w:t>
      </w:r>
      <w:r>
        <w:rPr>
          <w:spacing w:val="-11"/>
        </w:rPr>
        <w:t> </w:t>
      </w:r>
      <w:r>
        <w:rPr/>
        <w:t>chains.</w:t>
      </w:r>
      <w:r>
        <w:rPr>
          <w:spacing w:val="-11"/>
        </w:rPr>
        <w:t> </w:t>
      </w:r>
      <w:r>
        <w:rPr/>
        <w:t>In</w:t>
      </w:r>
      <w:r>
        <w:rPr>
          <w:spacing w:val="-12"/>
        </w:rPr>
        <w:t> </w:t>
      </w:r>
      <w:r>
        <w:rPr/>
        <w:t>this</w:t>
      </w:r>
      <w:r>
        <w:rPr>
          <w:spacing w:val="-11"/>
        </w:rPr>
        <w:t> </w:t>
      </w:r>
      <w:r>
        <w:rPr/>
        <w:t>article,</w:t>
      </w:r>
      <w:r>
        <w:rPr>
          <w:spacing w:val="-11"/>
        </w:rPr>
        <w:t> </w:t>
      </w:r>
      <w:r>
        <w:rPr/>
        <w:t>we</w:t>
      </w:r>
      <w:r>
        <w:rPr>
          <w:spacing w:val="-11"/>
        </w:rPr>
        <w:t> </w:t>
      </w:r>
      <w:r>
        <w:rPr/>
        <w:t>present</w:t>
      </w:r>
      <w:r>
        <w:rPr>
          <w:spacing w:val="-11"/>
        </w:rPr>
        <w:t> </w:t>
      </w:r>
      <w:r>
        <w:rPr/>
        <w:t>preliminary</w:t>
      </w:r>
      <w:r>
        <w:rPr>
          <w:spacing w:val="-11"/>
        </w:rPr>
        <w:t> </w:t>
      </w:r>
      <w:r>
        <w:rPr/>
        <w:t>results from an analysis of housing circumstances and the margins of the housing status distribution</w:t>
      </w:r>
      <w:r>
        <w:rPr>
          <w:spacing w:val="-11"/>
        </w:rPr>
        <w:t> </w:t>
      </w:r>
      <w:r>
        <w:rPr/>
        <w:t>in</w:t>
      </w:r>
      <w:r>
        <w:rPr>
          <w:spacing w:val="-10"/>
        </w:rPr>
        <w:t> </w:t>
      </w:r>
      <w:r>
        <w:rPr/>
        <w:t>Los</w:t>
      </w:r>
      <w:r>
        <w:rPr>
          <w:spacing w:val="-20"/>
        </w:rPr>
        <w:t> </w:t>
      </w:r>
      <w:r>
        <w:rPr/>
        <w:t>Angeles</w:t>
      </w:r>
      <w:r>
        <w:rPr>
          <w:spacing w:val="-10"/>
        </w:rPr>
        <w:t> </w:t>
      </w:r>
      <w:r>
        <w:rPr/>
        <w:t>during</w:t>
      </w:r>
      <w:r>
        <w:rPr>
          <w:spacing w:val="-10"/>
        </w:rPr>
        <w:t> </w:t>
      </w:r>
      <w:r>
        <w:rPr/>
        <w:t>the</w:t>
      </w:r>
      <w:r>
        <w:rPr>
          <w:spacing w:val="-10"/>
        </w:rPr>
        <w:t> </w:t>
      </w:r>
      <w:r>
        <w:rPr/>
        <w:t>decade</w:t>
      </w:r>
      <w:r>
        <w:rPr>
          <w:spacing w:val="-10"/>
        </w:rPr>
        <w:t> </w:t>
      </w:r>
      <w:r>
        <w:rPr/>
        <w:t>of</w:t>
      </w:r>
      <w:r>
        <w:rPr>
          <w:spacing w:val="-10"/>
        </w:rPr>
        <w:t> </w:t>
      </w:r>
      <w:r>
        <w:rPr/>
        <w:t>the</w:t>
      </w:r>
      <w:r>
        <w:rPr>
          <w:spacing w:val="-10"/>
        </w:rPr>
        <w:t> </w:t>
      </w:r>
      <w:r>
        <w:rPr/>
        <w:t>1980s.</w:t>
      </w:r>
      <w:r>
        <w:rPr>
          <w:spacing w:val="-14"/>
        </w:rPr>
        <w:t> </w:t>
      </w:r>
      <w:r>
        <w:rPr>
          <w:spacing w:val="-8"/>
        </w:rPr>
        <w:t>We</w:t>
      </w:r>
      <w:r>
        <w:rPr>
          <w:spacing w:val="-10"/>
        </w:rPr>
        <w:t> </w:t>
      </w:r>
      <w:r>
        <w:rPr/>
        <w:t>chose</w:t>
      </w:r>
      <w:r>
        <w:rPr>
          <w:spacing w:val="-10"/>
        </w:rPr>
        <w:t> </w:t>
      </w:r>
      <w:r>
        <w:rPr/>
        <w:t>Los</w:t>
      </w:r>
      <w:r>
        <w:rPr>
          <w:spacing w:val="-21"/>
        </w:rPr>
        <w:t> </w:t>
      </w:r>
      <w:r>
        <w:rPr/>
        <w:t>Angeles</w:t>
      </w:r>
    </w:p>
    <w:p>
      <w:pPr>
        <w:spacing w:after="0" w:line="252" w:lineRule="auto"/>
        <w:jc w:val="both"/>
        <w:sectPr>
          <w:headerReference w:type="even" r:id="rId5"/>
          <w:headerReference w:type="default" r:id="rId6"/>
          <w:pgSz w:w="7120" w:h="11820"/>
          <w:pgMar w:header="294" w:footer="0" w:top="500" w:bottom="280" w:left="260" w:right="160"/>
          <w:pgNumType w:start="310"/>
        </w:sectPr>
      </w:pPr>
    </w:p>
    <w:p>
      <w:pPr>
        <w:pStyle w:val="BodyText"/>
        <w:spacing w:before="8"/>
        <w:rPr>
          <w:sz w:val="13"/>
        </w:rPr>
      </w:pPr>
    </w:p>
    <w:p>
      <w:pPr>
        <w:pStyle w:val="BodyText"/>
        <w:spacing w:line="249" w:lineRule="auto" w:before="91"/>
        <w:ind w:left="107" w:right="120"/>
        <w:jc w:val="both"/>
      </w:pPr>
      <w:r>
        <w:rPr/>
        <w:t>not only because it is convenient and we know a good deal about the region, but because in many ways Los Angeles—with its large homeless population as </w:t>
      </w:r>
      <w:r>
        <w:rPr>
          <w:spacing w:val="-3"/>
        </w:rPr>
        <w:t>well </w:t>
      </w:r>
      <w:r>
        <w:rPr/>
        <w:t>as high-tech and movie industry-driven affluence—offers an extreme case of </w:t>
      </w:r>
      <w:r>
        <w:rPr>
          <w:spacing w:val="-6"/>
        </w:rPr>
        <w:t>metropolitan</w:t>
      </w:r>
      <w:r>
        <w:rPr>
          <w:spacing w:val="-16"/>
        </w:rPr>
        <w:t> </w:t>
      </w:r>
      <w:r>
        <w:rPr>
          <w:spacing w:val="-5"/>
        </w:rPr>
        <w:t>social</w:t>
      </w:r>
      <w:r>
        <w:rPr>
          <w:spacing w:val="-16"/>
        </w:rPr>
        <w:t> </w:t>
      </w:r>
      <w:r>
        <w:rPr>
          <w:spacing w:val="-4"/>
        </w:rPr>
        <w:t>and</w:t>
      </w:r>
      <w:r>
        <w:rPr>
          <w:spacing w:val="-16"/>
        </w:rPr>
        <w:t> </w:t>
      </w:r>
      <w:r>
        <w:rPr>
          <w:spacing w:val="-6"/>
        </w:rPr>
        <w:t>economic</w:t>
      </w:r>
      <w:r>
        <w:rPr>
          <w:spacing w:val="-16"/>
        </w:rPr>
        <w:t> </w:t>
      </w:r>
      <w:r>
        <w:rPr>
          <w:spacing w:val="-6"/>
        </w:rPr>
        <w:t>polarization.</w:t>
      </w:r>
      <w:r>
        <w:rPr>
          <w:spacing w:val="-19"/>
        </w:rPr>
        <w:t> </w:t>
      </w:r>
      <w:r>
        <w:rPr>
          <w:spacing w:val="-5"/>
        </w:rPr>
        <w:t>This</w:t>
      </w:r>
      <w:r>
        <w:rPr>
          <w:spacing w:val="-15"/>
        </w:rPr>
        <w:t> </w:t>
      </w:r>
      <w:r>
        <w:rPr>
          <w:spacing w:val="-6"/>
        </w:rPr>
        <w:t>analysis</w:t>
      </w:r>
      <w:r>
        <w:rPr>
          <w:spacing w:val="-16"/>
        </w:rPr>
        <w:t> </w:t>
      </w:r>
      <w:r>
        <w:rPr>
          <w:spacing w:val="-6"/>
        </w:rPr>
        <w:t>parallels</w:t>
      </w:r>
      <w:r>
        <w:rPr>
          <w:spacing w:val="-16"/>
        </w:rPr>
        <w:t> </w:t>
      </w:r>
      <w:r>
        <w:rPr>
          <w:spacing w:val="-4"/>
        </w:rPr>
        <w:t>the</w:t>
      </w:r>
      <w:r>
        <w:rPr>
          <w:spacing w:val="-16"/>
        </w:rPr>
        <w:t> </w:t>
      </w:r>
      <w:r>
        <w:rPr>
          <w:spacing w:val="-6"/>
        </w:rPr>
        <w:t>national</w:t>
      </w:r>
      <w:r>
        <w:rPr>
          <w:spacing w:val="-16"/>
        </w:rPr>
        <w:t> </w:t>
      </w:r>
      <w:r>
        <w:rPr>
          <w:spacing w:val="-6"/>
        </w:rPr>
        <w:t>study </w:t>
      </w:r>
      <w:r>
        <w:rPr>
          <w:spacing w:val="-3"/>
        </w:rPr>
        <w:t>in </w:t>
      </w:r>
      <w:r>
        <w:rPr>
          <w:spacing w:val="-5"/>
        </w:rPr>
        <w:t>terms </w:t>
      </w:r>
      <w:r>
        <w:rPr>
          <w:spacing w:val="-3"/>
        </w:rPr>
        <w:t>of </w:t>
      </w:r>
      <w:r>
        <w:rPr>
          <w:spacing w:val="-6"/>
        </w:rPr>
        <w:t>methodology </w:t>
      </w:r>
      <w:r>
        <w:rPr>
          <w:spacing w:val="-4"/>
        </w:rPr>
        <w:t>and </w:t>
      </w:r>
      <w:r>
        <w:rPr>
          <w:spacing w:val="-6"/>
        </w:rPr>
        <w:t>reliance </w:t>
      </w:r>
      <w:r>
        <w:rPr>
          <w:spacing w:val="-3"/>
        </w:rPr>
        <w:t>on </w:t>
      </w:r>
      <w:r>
        <w:rPr>
          <w:spacing w:val="-5"/>
        </w:rPr>
        <w:t>PUMS </w:t>
      </w:r>
      <w:r>
        <w:rPr>
          <w:spacing w:val="-3"/>
        </w:rPr>
        <w:t>as </w:t>
      </w:r>
      <w:r>
        <w:rPr>
          <w:spacing w:val="-4"/>
        </w:rPr>
        <w:t>the </w:t>
      </w:r>
      <w:r>
        <w:rPr>
          <w:spacing w:val="-6"/>
        </w:rPr>
        <w:t>principal </w:t>
      </w:r>
      <w:r>
        <w:rPr>
          <w:spacing w:val="-5"/>
        </w:rPr>
        <w:t>data </w:t>
      </w:r>
      <w:r>
        <w:rPr>
          <w:spacing w:val="-6"/>
        </w:rPr>
        <w:t>source, enabling comparisons</w:t>
      </w:r>
      <w:r>
        <w:rPr>
          <w:spacing w:val="-14"/>
        </w:rPr>
        <w:t> </w:t>
      </w:r>
      <w:r>
        <w:rPr>
          <w:spacing w:val="-3"/>
        </w:rPr>
        <w:t>to</w:t>
      </w:r>
      <w:r>
        <w:rPr>
          <w:spacing w:val="-14"/>
        </w:rPr>
        <w:t> </w:t>
      </w:r>
      <w:r>
        <w:rPr>
          <w:spacing w:val="-3"/>
        </w:rPr>
        <w:t>be</w:t>
      </w:r>
      <w:r>
        <w:rPr>
          <w:spacing w:val="-14"/>
        </w:rPr>
        <w:t> </w:t>
      </w:r>
      <w:r>
        <w:rPr>
          <w:spacing w:val="-5"/>
        </w:rPr>
        <w:t>made</w:t>
      </w:r>
      <w:r>
        <w:rPr>
          <w:spacing w:val="-14"/>
        </w:rPr>
        <w:t> </w:t>
      </w:r>
      <w:r>
        <w:rPr>
          <w:spacing w:val="-6"/>
        </w:rPr>
        <w:t>between</w:t>
      </w:r>
      <w:r>
        <w:rPr>
          <w:spacing w:val="-13"/>
        </w:rPr>
        <w:t> </w:t>
      </w:r>
      <w:r>
        <w:rPr>
          <w:spacing w:val="-4"/>
        </w:rPr>
        <w:t>the</w:t>
      </w:r>
      <w:r>
        <w:rPr>
          <w:spacing w:val="-14"/>
        </w:rPr>
        <w:t> </w:t>
      </w:r>
      <w:r>
        <w:rPr>
          <w:spacing w:val="-5"/>
        </w:rPr>
        <w:t>United</w:t>
      </w:r>
      <w:r>
        <w:rPr>
          <w:spacing w:val="-14"/>
        </w:rPr>
        <w:t> </w:t>
      </w:r>
      <w:r>
        <w:rPr>
          <w:spacing w:val="-5"/>
        </w:rPr>
        <w:t>States</w:t>
      </w:r>
      <w:r>
        <w:rPr>
          <w:spacing w:val="-14"/>
        </w:rPr>
        <w:t> </w:t>
      </w:r>
      <w:r>
        <w:rPr>
          <w:spacing w:val="-4"/>
        </w:rPr>
        <w:t>and</w:t>
      </w:r>
      <w:r>
        <w:rPr>
          <w:spacing w:val="-14"/>
        </w:rPr>
        <w:t> </w:t>
      </w:r>
      <w:r>
        <w:rPr>
          <w:spacing w:val="-4"/>
        </w:rPr>
        <w:t>Los</w:t>
      </w:r>
      <w:r>
        <w:rPr>
          <w:spacing w:val="-24"/>
        </w:rPr>
        <w:t> </w:t>
      </w:r>
      <w:r>
        <w:rPr>
          <w:spacing w:val="-6"/>
        </w:rPr>
        <w:t>Angeles</w:t>
      </w:r>
      <w:r>
        <w:rPr>
          <w:spacing w:val="-14"/>
        </w:rPr>
        <w:t> </w:t>
      </w:r>
      <w:r>
        <w:rPr>
          <w:spacing w:val="-6"/>
        </w:rPr>
        <w:t>cases.</w:t>
      </w:r>
    </w:p>
    <w:p>
      <w:pPr>
        <w:pStyle w:val="BodyText"/>
        <w:spacing w:line="249" w:lineRule="auto" w:before="2"/>
        <w:ind w:left="107" w:right="120" w:firstLine="199"/>
        <w:jc w:val="both"/>
      </w:pPr>
      <w:r>
        <w:rPr>
          <w:spacing w:val="-3"/>
        </w:rPr>
        <w:t>In</w:t>
      </w:r>
      <w:r>
        <w:rPr>
          <w:spacing w:val="-17"/>
        </w:rPr>
        <w:t> </w:t>
      </w:r>
      <w:r>
        <w:rPr>
          <w:spacing w:val="-4"/>
        </w:rPr>
        <w:t>the</w:t>
      </w:r>
      <w:r>
        <w:rPr>
          <w:spacing w:val="-17"/>
        </w:rPr>
        <w:t> </w:t>
      </w:r>
      <w:r>
        <w:rPr>
          <w:spacing w:val="-5"/>
        </w:rPr>
        <w:t>next</w:t>
      </w:r>
      <w:r>
        <w:rPr>
          <w:spacing w:val="-16"/>
        </w:rPr>
        <w:t> </w:t>
      </w:r>
      <w:r>
        <w:rPr>
          <w:spacing w:val="-6"/>
        </w:rPr>
        <w:t>section,</w:t>
      </w:r>
      <w:r>
        <w:rPr>
          <w:spacing w:val="-17"/>
        </w:rPr>
        <w:t> </w:t>
      </w:r>
      <w:r>
        <w:rPr>
          <w:spacing w:val="-3"/>
        </w:rPr>
        <w:t>we</w:t>
      </w:r>
      <w:r>
        <w:rPr>
          <w:spacing w:val="-16"/>
        </w:rPr>
        <w:t> </w:t>
      </w:r>
      <w:r>
        <w:rPr>
          <w:spacing w:val="-4"/>
        </w:rPr>
        <w:t>set</w:t>
      </w:r>
      <w:r>
        <w:rPr>
          <w:spacing w:val="-17"/>
        </w:rPr>
        <w:t> </w:t>
      </w:r>
      <w:r>
        <w:rPr>
          <w:spacing w:val="-4"/>
        </w:rPr>
        <w:t>the</w:t>
      </w:r>
      <w:r>
        <w:rPr>
          <w:spacing w:val="-16"/>
        </w:rPr>
        <w:t> </w:t>
      </w:r>
      <w:r>
        <w:rPr>
          <w:spacing w:val="-5"/>
        </w:rPr>
        <w:t>scene</w:t>
      </w:r>
      <w:r>
        <w:rPr>
          <w:spacing w:val="-17"/>
        </w:rPr>
        <w:t> </w:t>
      </w:r>
      <w:r>
        <w:rPr>
          <w:spacing w:val="-3"/>
        </w:rPr>
        <w:t>of</w:t>
      </w:r>
      <w:r>
        <w:rPr>
          <w:spacing w:val="-16"/>
        </w:rPr>
        <w:t> </w:t>
      </w:r>
      <w:r>
        <w:rPr>
          <w:spacing w:val="-4"/>
        </w:rPr>
        <w:t>Los</w:t>
      </w:r>
      <w:r>
        <w:rPr>
          <w:spacing w:val="-28"/>
        </w:rPr>
        <w:t> </w:t>
      </w:r>
      <w:r>
        <w:rPr>
          <w:spacing w:val="-6"/>
        </w:rPr>
        <w:t>Angeles</w:t>
      </w:r>
      <w:r>
        <w:rPr>
          <w:spacing w:val="-17"/>
        </w:rPr>
        <w:t> </w:t>
      </w:r>
      <w:r>
        <w:rPr>
          <w:spacing w:val="-3"/>
        </w:rPr>
        <w:t>in</w:t>
      </w:r>
      <w:r>
        <w:rPr>
          <w:spacing w:val="-16"/>
        </w:rPr>
        <w:t> </w:t>
      </w:r>
      <w:r>
        <w:rPr>
          <w:spacing w:val="-4"/>
        </w:rPr>
        <w:t>the</w:t>
      </w:r>
      <w:r>
        <w:rPr>
          <w:spacing w:val="-17"/>
        </w:rPr>
        <w:t> </w:t>
      </w:r>
      <w:r>
        <w:rPr>
          <w:spacing w:val="-5"/>
        </w:rPr>
        <w:t>1980s,</w:t>
      </w:r>
      <w:r>
        <w:rPr>
          <w:spacing w:val="-16"/>
        </w:rPr>
        <w:t> </w:t>
      </w:r>
      <w:r>
        <w:rPr>
          <w:spacing w:val="-3"/>
        </w:rPr>
        <w:t>by</w:t>
      </w:r>
      <w:r>
        <w:rPr>
          <w:spacing w:val="-17"/>
        </w:rPr>
        <w:t> </w:t>
      </w:r>
      <w:r>
        <w:rPr>
          <w:spacing w:val="-6"/>
        </w:rPr>
        <w:t>sketching</w:t>
      </w:r>
      <w:r>
        <w:rPr>
          <w:spacing w:val="-17"/>
        </w:rPr>
        <w:t> </w:t>
      </w:r>
      <w:r>
        <w:rPr>
          <w:spacing w:val="-4"/>
        </w:rPr>
        <w:t>out</w:t>
      </w:r>
      <w:r>
        <w:rPr>
          <w:spacing w:val="-16"/>
        </w:rPr>
        <w:t> </w:t>
      </w:r>
      <w:r>
        <w:rPr>
          <w:spacing w:val="-6"/>
        </w:rPr>
        <w:t>the </w:t>
      </w:r>
      <w:r>
        <w:rPr>
          <w:spacing w:val="-7"/>
        </w:rPr>
        <w:t>region’s</w:t>
      </w:r>
      <w:r>
        <w:rPr>
          <w:spacing w:val="-15"/>
        </w:rPr>
        <w:t> </w:t>
      </w:r>
      <w:r>
        <w:rPr>
          <w:spacing w:val="-6"/>
        </w:rPr>
        <w:t>economic,</w:t>
      </w:r>
      <w:r>
        <w:rPr>
          <w:spacing w:val="-14"/>
        </w:rPr>
        <w:t> </w:t>
      </w:r>
      <w:r>
        <w:rPr>
          <w:spacing w:val="-6"/>
        </w:rPr>
        <w:t>welfare</w:t>
      </w:r>
      <w:r>
        <w:rPr>
          <w:spacing w:val="-14"/>
        </w:rPr>
        <w:t> </w:t>
      </w:r>
      <w:r>
        <w:rPr>
          <w:spacing w:val="-5"/>
        </w:rPr>
        <w:t>state,</w:t>
      </w:r>
      <w:r>
        <w:rPr>
          <w:spacing w:val="-14"/>
        </w:rPr>
        <w:t> </w:t>
      </w:r>
      <w:r>
        <w:rPr>
          <w:spacing w:val="-4"/>
        </w:rPr>
        <w:t>and</w:t>
      </w:r>
      <w:r>
        <w:rPr>
          <w:spacing w:val="-14"/>
        </w:rPr>
        <w:t> </w:t>
      </w:r>
      <w:r>
        <w:rPr>
          <w:spacing w:val="-6"/>
        </w:rPr>
        <w:t>demographic</w:t>
      </w:r>
      <w:r>
        <w:rPr>
          <w:spacing w:val="-14"/>
        </w:rPr>
        <w:t> </w:t>
      </w:r>
      <w:r>
        <w:rPr>
          <w:spacing w:val="-6"/>
        </w:rPr>
        <w:t>context</w:t>
      </w:r>
      <w:r>
        <w:rPr>
          <w:spacing w:val="-14"/>
        </w:rPr>
        <w:t> </w:t>
      </w:r>
      <w:r>
        <w:rPr>
          <w:spacing w:val="-5"/>
        </w:rPr>
        <w:t>during</w:t>
      </w:r>
      <w:r>
        <w:rPr>
          <w:spacing w:val="-14"/>
        </w:rPr>
        <w:t> </w:t>
      </w:r>
      <w:r>
        <w:rPr>
          <w:spacing w:val="-5"/>
        </w:rPr>
        <w:t>this</w:t>
      </w:r>
      <w:r>
        <w:rPr>
          <w:spacing w:val="-14"/>
        </w:rPr>
        <w:t> </w:t>
      </w:r>
      <w:r>
        <w:rPr>
          <w:spacing w:val="-6"/>
        </w:rPr>
        <w:t>period.</w:t>
      </w:r>
      <w:r>
        <w:rPr>
          <w:spacing w:val="-19"/>
        </w:rPr>
        <w:t> </w:t>
      </w:r>
      <w:r>
        <w:rPr>
          <w:spacing w:val="-5"/>
        </w:rPr>
        <w:t>Then,</w:t>
      </w:r>
      <w:r>
        <w:rPr>
          <w:spacing w:val="-14"/>
        </w:rPr>
        <w:t> </w:t>
      </w:r>
      <w:r>
        <w:rPr>
          <w:spacing w:val="-6"/>
        </w:rPr>
        <w:t>the following </w:t>
      </w:r>
      <w:r>
        <w:rPr>
          <w:spacing w:val="-4"/>
        </w:rPr>
        <w:t>two </w:t>
      </w:r>
      <w:r>
        <w:rPr>
          <w:spacing w:val="-6"/>
        </w:rPr>
        <w:t>sections present </w:t>
      </w:r>
      <w:r>
        <w:rPr>
          <w:spacing w:val="-5"/>
        </w:rPr>
        <w:t>findings </w:t>
      </w:r>
      <w:r>
        <w:rPr>
          <w:spacing w:val="-3"/>
        </w:rPr>
        <w:t>of </w:t>
      </w:r>
      <w:r>
        <w:rPr>
          <w:spacing w:val="-4"/>
        </w:rPr>
        <w:t>the </w:t>
      </w:r>
      <w:r>
        <w:rPr>
          <w:spacing w:val="-5"/>
        </w:rPr>
        <w:t>PUMS </w:t>
      </w:r>
      <w:r>
        <w:rPr>
          <w:spacing w:val="-6"/>
        </w:rPr>
        <w:t>analysis. </w:t>
      </w:r>
      <w:r>
        <w:rPr>
          <w:spacing w:val="-3"/>
        </w:rPr>
        <w:t>In </w:t>
      </w:r>
      <w:r>
        <w:rPr>
          <w:spacing w:val="-4"/>
        </w:rPr>
        <w:t>the </w:t>
      </w:r>
      <w:r>
        <w:rPr>
          <w:spacing w:val="-5"/>
        </w:rPr>
        <w:t>last </w:t>
      </w:r>
      <w:r>
        <w:rPr>
          <w:spacing w:val="-6"/>
        </w:rPr>
        <w:t>section, we discuss</w:t>
      </w:r>
      <w:r>
        <w:rPr>
          <w:spacing w:val="-14"/>
        </w:rPr>
        <w:t> </w:t>
      </w:r>
      <w:r>
        <w:rPr>
          <w:spacing w:val="-4"/>
        </w:rPr>
        <w:t>the</w:t>
      </w:r>
      <w:r>
        <w:rPr>
          <w:spacing w:val="-13"/>
        </w:rPr>
        <w:t> </w:t>
      </w:r>
      <w:r>
        <w:rPr>
          <w:spacing w:val="-6"/>
        </w:rPr>
        <w:t>implications</w:t>
      </w:r>
      <w:r>
        <w:rPr>
          <w:spacing w:val="-14"/>
        </w:rPr>
        <w:t> </w:t>
      </w:r>
      <w:r>
        <w:rPr>
          <w:spacing w:val="-3"/>
        </w:rPr>
        <w:t>of</w:t>
      </w:r>
      <w:r>
        <w:rPr>
          <w:spacing w:val="-13"/>
        </w:rPr>
        <w:t> </w:t>
      </w:r>
      <w:r>
        <w:rPr>
          <w:spacing w:val="-4"/>
        </w:rPr>
        <w:t>the</w:t>
      </w:r>
      <w:r>
        <w:rPr>
          <w:spacing w:val="-14"/>
        </w:rPr>
        <w:t> </w:t>
      </w:r>
      <w:r>
        <w:rPr>
          <w:spacing w:val="-6"/>
        </w:rPr>
        <w:t>analysis</w:t>
      </w:r>
      <w:r>
        <w:rPr>
          <w:spacing w:val="-13"/>
        </w:rPr>
        <w:t> </w:t>
      </w:r>
      <w:r>
        <w:rPr>
          <w:spacing w:val="-4"/>
        </w:rPr>
        <w:t>for</w:t>
      </w:r>
      <w:r>
        <w:rPr>
          <w:spacing w:val="-14"/>
        </w:rPr>
        <w:t> </w:t>
      </w:r>
      <w:r>
        <w:rPr>
          <w:spacing w:val="-6"/>
        </w:rPr>
        <w:t>further</w:t>
      </w:r>
      <w:r>
        <w:rPr>
          <w:spacing w:val="-13"/>
        </w:rPr>
        <w:t> </w:t>
      </w:r>
      <w:r>
        <w:rPr>
          <w:spacing w:val="-6"/>
        </w:rPr>
        <w:t>research</w:t>
      </w:r>
      <w:r>
        <w:rPr>
          <w:spacing w:val="-14"/>
        </w:rPr>
        <w:t> </w:t>
      </w:r>
      <w:r>
        <w:rPr>
          <w:spacing w:val="-4"/>
        </w:rPr>
        <w:t>and</w:t>
      </w:r>
      <w:r>
        <w:rPr>
          <w:spacing w:val="-13"/>
        </w:rPr>
        <w:t> </w:t>
      </w:r>
      <w:r>
        <w:rPr>
          <w:spacing w:val="-5"/>
        </w:rPr>
        <w:t>public</w:t>
      </w:r>
      <w:r>
        <w:rPr>
          <w:spacing w:val="-14"/>
        </w:rPr>
        <w:t> </w:t>
      </w:r>
      <w:r>
        <w:rPr>
          <w:spacing w:val="-7"/>
        </w:rPr>
        <w:t>policy.</w:t>
      </w:r>
    </w:p>
    <w:p>
      <w:pPr>
        <w:pStyle w:val="BodyText"/>
        <w:spacing w:before="6"/>
        <w:rPr>
          <w:sz w:val="21"/>
        </w:rPr>
      </w:pPr>
    </w:p>
    <w:p>
      <w:pPr>
        <w:pStyle w:val="BodyText"/>
        <w:ind w:left="2078"/>
        <w:rPr>
          <w:rFonts w:ascii="Helvetica"/>
        </w:rPr>
      </w:pPr>
      <w:r>
        <w:rPr>
          <w:rFonts w:ascii="Helvetica"/>
        </w:rPr>
        <w:t>THE REGIONAL CONTEXT</w:t>
      </w:r>
    </w:p>
    <w:p>
      <w:pPr>
        <w:pStyle w:val="BodyText"/>
        <w:spacing w:line="249" w:lineRule="auto" w:before="87"/>
        <w:ind w:left="107" w:right="114" w:firstLine="199"/>
        <w:jc w:val="both"/>
      </w:pPr>
      <w:r>
        <w:rPr/>
        <w:t>Los Angeles, and more generally the Southern California region, was power- fully affected by the progressive </w:t>
      </w:r>
      <w:r>
        <w:rPr>
          <w:i/>
        </w:rPr>
        <w:t>globalization </w:t>
      </w:r>
      <w:r>
        <w:rPr/>
        <w:t>of markets and the rise of post-Fordist</w:t>
      </w:r>
      <w:r>
        <w:rPr>
          <w:spacing w:val="-13"/>
        </w:rPr>
        <w:t> </w:t>
      </w:r>
      <w:r>
        <w:rPr/>
        <w:t>flexible</w:t>
      </w:r>
      <w:r>
        <w:rPr>
          <w:spacing w:val="-13"/>
        </w:rPr>
        <w:t> </w:t>
      </w:r>
      <w:r>
        <w:rPr/>
        <w:t>production</w:t>
      </w:r>
      <w:r>
        <w:rPr>
          <w:spacing w:val="-12"/>
        </w:rPr>
        <w:t> </w:t>
      </w:r>
      <w:r>
        <w:rPr/>
        <w:t>systems</w:t>
      </w:r>
      <w:r>
        <w:rPr>
          <w:spacing w:val="-13"/>
        </w:rPr>
        <w:t> </w:t>
      </w:r>
      <w:r>
        <w:rPr/>
        <w:t>during</w:t>
      </w:r>
      <w:r>
        <w:rPr>
          <w:spacing w:val="-13"/>
        </w:rPr>
        <w:t> </w:t>
      </w:r>
      <w:r>
        <w:rPr/>
        <w:t>the</w:t>
      </w:r>
      <w:r>
        <w:rPr>
          <w:spacing w:val="-12"/>
        </w:rPr>
        <w:t> </w:t>
      </w:r>
      <w:r>
        <w:rPr/>
        <w:t>1980s,</w:t>
      </w:r>
      <w:r>
        <w:rPr>
          <w:spacing w:val="-24"/>
        </w:rPr>
        <w:t> </w:t>
      </w:r>
      <w:r>
        <w:rPr>
          <w:i/>
        </w:rPr>
        <w:t>deindustrialization</w:t>
      </w:r>
      <w:r>
        <w:rPr>
          <w:i/>
          <w:spacing w:val="-11"/>
        </w:rPr>
        <w:t> </w:t>
      </w:r>
      <w:r>
        <w:rPr/>
        <w:t>and the flight of capital to international locations, and the </w:t>
      </w:r>
      <w:r>
        <w:rPr>
          <w:i/>
        </w:rPr>
        <w:t>reindustrialization </w:t>
      </w:r>
      <w:r>
        <w:rPr/>
        <w:t>of craft industries and </w:t>
      </w:r>
      <w:r>
        <w:rPr>
          <w:i/>
        </w:rPr>
        <w:t>service sector growth </w:t>
      </w:r>
      <w:r>
        <w:rPr/>
        <w:t>during this period. Although service sector growth and revitalized craft industries partially offset job losses in mass produc- tion manufacturing, the types of jobs created were vastly different—low-wage and</w:t>
      </w:r>
      <w:r>
        <w:rPr>
          <w:spacing w:val="-9"/>
        </w:rPr>
        <w:t> </w:t>
      </w:r>
      <w:r>
        <w:rPr/>
        <w:t>contingent.</w:t>
      </w:r>
      <w:r>
        <w:rPr>
          <w:spacing w:val="-9"/>
        </w:rPr>
        <w:t> </w:t>
      </w:r>
      <w:r>
        <w:rPr/>
        <w:t>Los</w:t>
      </w:r>
      <w:r>
        <w:rPr>
          <w:spacing w:val="-19"/>
        </w:rPr>
        <w:t> </w:t>
      </w:r>
      <w:r>
        <w:rPr/>
        <w:t>Angeles,</w:t>
      </w:r>
      <w:r>
        <w:rPr>
          <w:spacing w:val="-8"/>
        </w:rPr>
        <w:t> </w:t>
      </w:r>
      <w:r>
        <w:rPr/>
        <w:t>once</w:t>
      </w:r>
      <w:r>
        <w:rPr>
          <w:spacing w:val="-9"/>
        </w:rPr>
        <w:t> </w:t>
      </w:r>
      <w:r>
        <w:rPr/>
        <w:t>the</w:t>
      </w:r>
      <w:r>
        <w:rPr>
          <w:spacing w:val="-8"/>
        </w:rPr>
        <w:t> </w:t>
      </w:r>
      <w:r>
        <w:rPr/>
        <w:t>largest</w:t>
      </w:r>
      <w:r>
        <w:rPr>
          <w:spacing w:val="-9"/>
        </w:rPr>
        <w:t> </w:t>
      </w:r>
      <w:r>
        <w:rPr/>
        <w:t>manufacturing</w:t>
      </w:r>
      <w:r>
        <w:rPr>
          <w:spacing w:val="-8"/>
        </w:rPr>
        <w:t> </w:t>
      </w:r>
      <w:r>
        <w:rPr/>
        <w:t>district</w:t>
      </w:r>
      <w:r>
        <w:rPr>
          <w:spacing w:val="-9"/>
        </w:rPr>
        <w:t> </w:t>
      </w:r>
      <w:r>
        <w:rPr/>
        <w:t>in</w:t>
      </w:r>
      <w:r>
        <w:rPr>
          <w:spacing w:val="-8"/>
        </w:rPr>
        <w:t> </w:t>
      </w:r>
      <w:r>
        <w:rPr/>
        <w:t>the</w:t>
      </w:r>
      <w:r>
        <w:rPr>
          <w:spacing w:val="-9"/>
        </w:rPr>
        <w:t> </w:t>
      </w:r>
      <w:r>
        <w:rPr/>
        <w:t>nation, experienced a 46% decline in mass production industry jobs like autos and steel during</w:t>
      </w:r>
      <w:r>
        <w:rPr>
          <w:spacing w:val="-12"/>
        </w:rPr>
        <w:t> </w:t>
      </w:r>
      <w:r>
        <w:rPr/>
        <w:t>the</w:t>
      </w:r>
      <w:r>
        <w:rPr>
          <w:spacing w:val="-11"/>
        </w:rPr>
        <w:t> </w:t>
      </w:r>
      <w:r>
        <w:rPr/>
        <w:t>1980s</w:t>
      </w:r>
      <w:r>
        <w:rPr>
          <w:spacing w:val="-12"/>
        </w:rPr>
        <w:t> </w:t>
      </w:r>
      <w:r>
        <w:rPr/>
        <w:t>alone—leading</w:t>
      </w:r>
      <w:r>
        <w:rPr>
          <w:spacing w:val="-11"/>
        </w:rPr>
        <w:t> </w:t>
      </w:r>
      <w:r>
        <w:rPr/>
        <w:t>to</w:t>
      </w:r>
      <w:r>
        <w:rPr>
          <w:spacing w:val="-11"/>
        </w:rPr>
        <w:t> </w:t>
      </w:r>
      <w:r>
        <w:rPr/>
        <w:t>the</w:t>
      </w:r>
      <w:r>
        <w:rPr>
          <w:spacing w:val="-12"/>
        </w:rPr>
        <w:t> </w:t>
      </w:r>
      <w:r>
        <w:rPr/>
        <w:t>loss</w:t>
      </w:r>
      <w:r>
        <w:rPr>
          <w:spacing w:val="-11"/>
        </w:rPr>
        <w:t> </w:t>
      </w:r>
      <w:r>
        <w:rPr/>
        <w:t>of</w:t>
      </w:r>
      <w:r>
        <w:rPr>
          <w:spacing w:val="-12"/>
        </w:rPr>
        <w:t> </w:t>
      </w:r>
      <w:r>
        <w:rPr/>
        <w:t>large</w:t>
      </w:r>
      <w:r>
        <w:rPr>
          <w:spacing w:val="-11"/>
        </w:rPr>
        <w:t> </w:t>
      </w:r>
      <w:r>
        <w:rPr/>
        <w:t>numbers</w:t>
      </w:r>
      <w:r>
        <w:rPr>
          <w:spacing w:val="-11"/>
        </w:rPr>
        <w:t> </w:t>
      </w:r>
      <w:r>
        <w:rPr/>
        <w:t>of</w:t>
      </w:r>
      <w:r>
        <w:rPr>
          <w:spacing w:val="-12"/>
        </w:rPr>
        <w:t> </w:t>
      </w:r>
      <w:r>
        <w:rPr/>
        <w:t>medium-skill</w:t>
      </w:r>
      <w:r>
        <w:rPr>
          <w:spacing w:val="-11"/>
        </w:rPr>
        <w:t> </w:t>
      </w:r>
      <w:r>
        <w:rPr/>
        <w:t>jobs (Scott, 1993, p. 185). And although defense-dependent sectors such as aircraft, guided missiles, and computers grew in the early part of the decade as a result of the</w:t>
      </w:r>
      <w:r>
        <w:rPr>
          <w:spacing w:val="-11"/>
        </w:rPr>
        <w:t> </w:t>
      </w:r>
      <w:r>
        <w:rPr/>
        <w:t>Reagan-era</w:t>
      </w:r>
      <w:r>
        <w:rPr>
          <w:spacing w:val="-11"/>
        </w:rPr>
        <w:t> </w:t>
      </w:r>
      <w:r>
        <w:rPr/>
        <w:t>defense</w:t>
      </w:r>
      <w:r>
        <w:rPr>
          <w:spacing w:val="-11"/>
        </w:rPr>
        <w:t> </w:t>
      </w:r>
      <w:r>
        <w:rPr/>
        <w:t>build-up,</w:t>
      </w:r>
      <w:r>
        <w:rPr>
          <w:spacing w:val="-11"/>
        </w:rPr>
        <w:t> </w:t>
      </w:r>
      <w:r>
        <w:rPr/>
        <w:t>by</w:t>
      </w:r>
      <w:r>
        <w:rPr>
          <w:spacing w:val="-11"/>
        </w:rPr>
        <w:t> </w:t>
      </w:r>
      <w:r>
        <w:rPr/>
        <w:t>the</w:t>
      </w:r>
      <w:r>
        <w:rPr>
          <w:spacing w:val="-11"/>
        </w:rPr>
        <w:t> </w:t>
      </w:r>
      <w:r>
        <w:rPr/>
        <w:t>end</w:t>
      </w:r>
      <w:r>
        <w:rPr>
          <w:spacing w:val="-11"/>
        </w:rPr>
        <w:t> </w:t>
      </w:r>
      <w:r>
        <w:rPr/>
        <w:t>of</w:t>
      </w:r>
      <w:r>
        <w:rPr>
          <w:spacing w:val="-11"/>
        </w:rPr>
        <w:t> </w:t>
      </w:r>
      <w:r>
        <w:rPr/>
        <w:t>the</w:t>
      </w:r>
      <w:r>
        <w:rPr>
          <w:spacing w:val="-11"/>
        </w:rPr>
        <w:t> </w:t>
      </w:r>
      <w:r>
        <w:rPr/>
        <w:t>period</w:t>
      </w:r>
      <w:r>
        <w:rPr>
          <w:spacing w:val="-11"/>
        </w:rPr>
        <w:t> </w:t>
      </w:r>
      <w:r>
        <w:rPr/>
        <w:t>many</w:t>
      </w:r>
      <w:r>
        <w:rPr>
          <w:spacing w:val="-11"/>
        </w:rPr>
        <w:t> </w:t>
      </w:r>
      <w:r>
        <w:rPr/>
        <w:t>of</w:t>
      </w:r>
      <w:r>
        <w:rPr>
          <w:spacing w:val="-11"/>
        </w:rPr>
        <w:t> </w:t>
      </w:r>
      <w:r>
        <w:rPr/>
        <w:t>these</w:t>
      </w:r>
      <w:r>
        <w:rPr>
          <w:spacing w:val="-11"/>
        </w:rPr>
        <w:t> </w:t>
      </w:r>
      <w:r>
        <w:rPr/>
        <w:t>industries were</w:t>
      </w:r>
      <w:r>
        <w:rPr>
          <w:spacing w:val="-20"/>
        </w:rPr>
        <w:t> </w:t>
      </w:r>
      <w:r>
        <w:rPr/>
        <w:t>in</w:t>
      </w:r>
      <w:r>
        <w:rPr>
          <w:spacing w:val="-20"/>
        </w:rPr>
        <w:t> </w:t>
      </w:r>
      <w:r>
        <w:rPr/>
        <w:t>serious</w:t>
      </w:r>
      <w:r>
        <w:rPr>
          <w:spacing w:val="-19"/>
        </w:rPr>
        <w:t> </w:t>
      </w:r>
      <w:r>
        <w:rPr/>
        <w:t>decline.</w:t>
      </w:r>
      <w:r>
        <w:rPr>
          <w:spacing w:val="-20"/>
        </w:rPr>
        <w:t> </w:t>
      </w:r>
      <w:r>
        <w:rPr/>
        <w:t>High-tech</w:t>
      </w:r>
      <w:r>
        <w:rPr>
          <w:spacing w:val="-19"/>
        </w:rPr>
        <w:t> </w:t>
      </w:r>
      <w:r>
        <w:rPr/>
        <w:t>shrinkage</w:t>
      </w:r>
      <w:r>
        <w:rPr>
          <w:spacing w:val="-20"/>
        </w:rPr>
        <w:t> </w:t>
      </w:r>
      <w:r>
        <w:rPr/>
        <w:t>resulted</w:t>
      </w:r>
      <w:r>
        <w:rPr>
          <w:spacing w:val="-20"/>
        </w:rPr>
        <w:t> </w:t>
      </w:r>
      <w:r>
        <w:rPr/>
        <w:t>in</w:t>
      </w:r>
      <w:r>
        <w:rPr>
          <w:spacing w:val="-19"/>
        </w:rPr>
        <w:t> </w:t>
      </w:r>
      <w:r>
        <w:rPr/>
        <w:t>layoffs</w:t>
      </w:r>
      <w:r>
        <w:rPr>
          <w:spacing w:val="-20"/>
        </w:rPr>
        <w:t> </w:t>
      </w:r>
      <w:r>
        <w:rPr/>
        <w:t>of</w:t>
      </w:r>
      <w:r>
        <w:rPr>
          <w:spacing w:val="-19"/>
        </w:rPr>
        <w:t> </w:t>
      </w:r>
      <w:r>
        <w:rPr/>
        <w:t>high-wage/high- skill workers, and large numbers of low-wage service workers employed in defense-dependent communities. Service sector growth associated with Los Angeles’ role in globalization, involving international finance and trade, </w:t>
      </w:r>
      <w:r>
        <w:rPr>
          <w:spacing w:val="-6"/>
        </w:rPr>
        <w:t>and </w:t>
      </w:r>
      <w:r>
        <w:rPr/>
        <w:t>global</w:t>
      </w:r>
      <w:r>
        <w:rPr>
          <w:spacing w:val="-8"/>
        </w:rPr>
        <w:t> </w:t>
      </w:r>
      <w:r>
        <w:rPr/>
        <w:t>business</w:t>
      </w:r>
      <w:r>
        <w:rPr>
          <w:spacing w:val="-7"/>
        </w:rPr>
        <w:t> </w:t>
      </w:r>
      <w:r>
        <w:rPr/>
        <w:t>services,</w:t>
      </w:r>
      <w:r>
        <w:rPr>
          <w:spacing w:val="-7"/>
        </w:rPr>
        <w:t> </w:t>
      </w:r>
      <w:r>
        <w:rPr/>
        <w:t>brought</w:t>
      </w:r>
      <w:r>
        <w:rPr>
          <w:spacing w:val="-8"/>
        </w:rPr>
        <w:t> </w:t>
      </w:r>
      <w:r>
        <w:rPr/>
        <w:t>high-wage/high-skill</w:t>
      </w:r>
      <w:r>
        <w:rPr>
          <w:spacing w:val="-7"/>
        </w:rPr>
        <w:t> </w:t>
      </w:r>
      <w:r>
        <w:rPr/>
        <w:t>jobs</w:t>
      </w:r>
      <w:r>
        <w:rPr>
          <w:spacing w:val="-7"/>
        </w:rPr>
        <w:t> </w:t>
      </w:r>
      <w:r>
        <w:rPr/>
        <w:t>to</w:t>
      </w:r>
      <w:r>
        <w:rPr>
          <w:spacing w:val="-7"/>
        </w:rPr>
        <w:t> </w:t>
      </w:r>
      <w:r>
        <w:rPr/>
        <w:t>the</w:t>
      </w:r>
      <w:r>
        <w:rPr>
          <w:spacing w:val="-8"/>
        </w:rPr>
        <w:t> </w:t>
      </w:r>
      <w:r>
        <w:rPr/>
        <w:t>region,</w:t>
      </w:r>
      <w:r>
        <w:rPr>
          <w:spacing w:val="-7"/>
        </w:rPr>
        <w:t> </w:t>
      </w:r>
      <w:r>
        <w:rPr/>
        <w:t>but</w:t>
      </w:r>
      <w:r>
        <w:rPr>
          <w:spacing w:val="-7"/>
        </w:rPr>
        <w:t> </w:t>
      </w:r>
      <w:r>
        <w:rPr/>
        <w:t>also low-wage/low-skill jobs, as did the reindustrialization of internationalizing craft sectors</w:t>
      </w:r>
      <w:r>
        <w:rPr>
          <w:spacing w:val="-6"/>
        </w:rPr>
        <w:t> </w:t>
      </w:r>
      <w:r>
        <w:rPr/>
        <w:t>such</w:t>
      </w:r>
      <w:r>
        <w:rPr>
          <w:spacing w:val="-5"/>
        </w:rPr>
        <w:t> </w:t>
      </w:r>
      <w:r>
        <w:rPr/>
        <w:t>as</w:t>
      </w:r>
      <w:r>
        <w:rPr>
          <w:spacing w:val="-5"/>
        </w:rPr>
        <w:t> </w:t>
      </w:r>
      <w:r>
        <w:rPr/>
        <w:t>furniture,</w:t>
      </w:r>
      <w:r>
        <w:rPr>
          <w:spacing w:val="-5"/>
        </w:rPr>
        <w:t> </w:t>
      </w:r>
      <w:r>
        <w:rPr/>
        <w:t>food</w:t>
      </w:r>
      <w:r>
        <w:rPr>
          <w:spacing w:val="-5"/>
        </w:rPr>
        <w:t> </w:t>
      </w:r>
      <w:r>
        <w:rPr/>
        <w:t>processing,</w:t>
      </w:r>
      <w:r>
        <w:rPr>
          <w:spacing w:val="-5"/>
        </w:rPr>
        <w:t> </w:t>
      </w:r>
      <w:r>
        <w:rPr/>
        <w:t>and</w:t>
      </w:r>
      <w:r>
        <w:rPr>
          <w:spacing w:val="-5"/>
        </w:rPr>
        <w:t> </w:t>
      </w:r>
      <w:r>
        <w:rPr/>
        <w:t>especially</w:t>
      </w:r>
      <w:r>
        <w:rPr>
          <w:spacing w:val="-5"/>
        </w:rPr>
        <w:t> </w:t>
      </w:r>
      <w:r>
        <w:rPr/>
        <w:t>garment</w:t>
      </w:r>
      <w:r>
        <w:rPr>
          <w:spacing w:val="-5"/>
        </w:rPr>
        <w:t> </w:t>
      </w:r>
      <w:r>
        <w:rPr/>
        <w:t>manufacture.</w:t>
      </w:r>
    </w:p>
    <w:p>
      <w:pPr>
        <w:pStyle w:val="BodyText"/>
        <w:spacing w:line="249" w:lineRule="auto" w:before="6"/>
        <w:ind w:left="107" w:right="125" w:firstLine="199"/>
        <w:jc w:val="both"/>
      </w:pPr>
      <w:r>
        <w:rPr/>
        <w:t>The result of these job shifts was polarization of the wage distribution and </w:t>
      </w:r>
      <w:r>
        <w:rPr>
          <w:spacing w:val="-7"/>
        </w:rPr>
        <w:t>an </w:t>
      </w:r>
      <w:r>
        <w:rPr/>
        <w:t>expansion</w:t>
      </w:r>
      <w:r>
        <w:rPr>
          <w:spacing w:val="36"/>
        </w:rPr>
        <w:t> </w:t>
      </w:r>
      <w:r>
        <w:rPr/>
        <w:t>in</w:t>
      </w:r>
      <w:r>
        <w:rPr>
          <w:spacing w:val="36"/>
        </w:rPr>
        <w:t> </w:t>
      </w:r>
      <w:r>
        <w:rPr/>
        <w:t>surplus</w:t>
      </w:r>
      <w:r>
        <w:rPr>
          <w:spacing w:val="37"/>
        </w:rPr>
        <w:t> </w:t>
      </w:r>
      <w:r>
        <w:rPr/>
        <w:t>labor.</w:t>
      </w:r>
      <w:r>
        <w:rPr>
          <w:spacing w:val="36"/>
        </w:rPr>
        <w:t> </w:t>
      </w:r>
      <w:r>
        <w:rPr/>
        <w:t>In</w:t>
      </w:r>
      <w:r>
        <w:rPr>
          <w:spacing w:val="36"/>
        </w:rPr>
        <w:t> </w:t>
      </w:r>
      <w:r>
        <w:rPr/>
        <w:t>1969,</w:t>
      </w:r>
      <w:r>
        <w:rPr>
          <w:spacing w:val="37"/>
        </w:rPr>
        <w:t> </w:t>
      </w:r>
      <w:r>
        <w:rPr/>
        <w:t>only</w:t>
      </w:r>
      <w:r>
        <w:rPr>
          <w:spacing w:val="36"/>
        </w:rPr>
        <w:t> </w:t>
      </w:r>
      <w:r>
        <w:rPr/>
        <w:t>7%</w:t>
      </w:r>
      <w:r>
        <w:rPr>
          <w:spacing w:val="36"/>
        </w:rPr>
        <w:t> </w:t>
      </w:r>
      <w:r>
        <w:rPr/>
        <w:t>of</w:t>
      </w:r>
      <w:r>
        <w:rPr>
          <w:spacing w:val="37"/>
        </w:rPr>
        <w:t> </w:t>
      </w:r>
      <w:r>
        <w:rPr/>
        <w:t>male</w:t>
      </w:r>
      <w:r>
        <w:rPr>
          <w:spacing w:val="36"/>
        </w:rPr>
        <w:t> </w:t>
      </w:r>
      <w:r>
        <w:rPr/>
        <w:t>workers</w:t>
      </w:r>
      <w:r>
        <w:rPr>
          <w:spacing w:val="36"/>
        </w:rPr>
        <w:t> </w:t>
      </w:r>
      <w:r>
        <w:rPr/>
        <w:t>earned</w:t>
      </w:r>
      <w:r>
        <w:rPr>
          <w:spacing w:val="37"/>
        </w:rPr>
        <w:t> </w:t>
      </w:r>
      <w:r>
        <w:rPr>
          <w:spacing w:val="-4"/>
        </w:rPr>
        <w:t>under</w:t>
      </w:r>
    </w:p>
    <w:p>
      <w:pPr>
        <w:pStyle w:val="BodyText"/>
        <w:spacing w:line="249" w:lineRule="auto" w:before="1"/>
        <w:ind w:left="107" w:right="124"/>
        <w:jc w:val="both"/>
      </w:pPr>
      <w:r>
        <w:rPr/>
        <w:t>$10,000; by 1987 the proportion had doubled to 14%. The high-wage segment</w:t>
      </w:r>
      <w:r>
        <w:rPr>
          <w:spacing w:val="-29"/>
        </w:rPr>
        <w:t> </w:t>
      </w:r>
      <w:r>
        <w:rPr/>
        <w:t>of the</w:t>
      </w:r>
      <w:r>
        <w:rPr>
          <w:spacing w:val="-10"/>
        </w:rPr>
        <w:t> </w:t>
      </w:r>
      <w:r>
        <w:rPr/>
        <w:t>workforce</w:t>
      </w:r>
      <w:r>
        <w:rPr>
          <w:spacing w:val="-10"/>
        </w:rPr>
        <w:t> </w:t>
      </w:r>
      <w:r>
        <w:rPr/>
        <w:t>had</w:t>
      </w:r>
      <w:r>
        <w:rPr>
          <w:spacing w:val="-10"/>
        </w:rPr>
        <w:t> </w:t>
      </w:r>
      <w:r>
        <w:rPr/>
        <w:t>grown</w:t>
      </w:r>
      <w:r>
        <w:rPr>
          <w:spacing w:val="-9"/>
        </w:rPr>
        <w:t> </w:t>
      </w:r>
      <w:r>
        <w:rPr/>
        <w:t>to</w:t>
      </w:r>
      <w:r>
        <w:rPr>
          <w:spacing w:val="-10"/>
        </w:rPr>
        <w:t> </w:t>
      </w:r>
      <w:r>
        <w:rPr/>
        <w:t>more</w:t>
      </w:r>
      <w:r>
        <w:rPr>
          <w:spacing w:val="-10"/>
        </w:rPr>
        <w:t> </w:t>
      </w:r>
      <w:r>
        <w:rPr/>
        <w:t>than</w:t>
      </w:r>
      <w:r>
        <w:rPr>
          <w:spacing w:val="-10"/>
        </w:rPr>
        <w:t> </w:t>
      </w:r>
      <w:r>
        <w:rPr/>
        <w:t>11%,</w:t>
      </w:r>
      <w:r>
        <w:rPr>
          <w:spacing w:val="-9"/>
        </w:rPr>
        <w:t> </w:t>
      </w:r>
      <w:r>
        <w:rPr/>
        <w:t>while</w:t>
      </w:r>
      <w:r>
        <w:rPr>
          <w:spacing w:val="-10"/>
        </w:rPr>
        <w:t> </w:t>
      </w:r>
      <w:r>
        <w:rPr/>
        <w:t>those</w:t>
      </w:r>
      <w:r>
        <w:rPr>
          <w:spacing w:val="-10"/>
        </w:rPr>
        <w:t> </w:t>
      </w:r>
      <w:r>
        <w:rPr/>
        <w:t>earning</w:t>
      </w:r>
      <w:r>
        <w:rPr>
          <w:spacing w:val="-9"/>
        </w:rPr>
        <w:t> </w:t>
      </w:r>
      <w:r>
        <w:rPr/>
        <w:t>between</w:t>
      </w:r>
      <w:r>
        <w:rPr>
          <w:spacing w:val="-10"/>
        </w:rPr>
        <w:t> </w:t>
      </w:r>
      <w:r>
        <w:rPr/>
        <w:t>$20,000 and $30,000 fell from 32 to 25% (Research Group on the Los</w:t>
      </w:r>
      <w:r>
        <w:rPr>
          <w:spacing w:val="-37"/>
        </w:rPr>
        <w:t> </w:t>
      </w:r>
      <w:r>
        <w:rPr/>
        <w:t>Angeles Economy, 1989). During the 1980s, a recent analysis of PUMS data suggests that the share of labor force with earnings below 70% of the median grew from around 35 </w:t>
      </w:r>
      <w:r>
        <w:rPr>
          <w:spacing w:val="-6"/>
        </w:rPr>
        <w:t>to </w:t>
      </w:r>
      <w:r>
        <w:rPr/>
        <w:t>37%, while the share earning more than 130% of the median grew from about</w:t>
      </w:r>
      <w:r>
        <w:rPr>
          <w:spacing w:val="-27"/>
        </w:rPr>
        <w:t> </w:t>
      </w:r>
      <w:r>
        <w:rPr/>
        <w:t>38 to 40% (Scott, 1996). </w:t>
      </w:r>
      <w:r>
        <w:rPr>
          <w:spacing w:val="-3"/>
        </w:rPr>
        <w:t>Workers </w:t>
      </w:r>
      <w:r>
        <w:rPr/>
        <w:t>in immigrant-reliant manufacturing and distribu- tive services industry occupations were especially hard hit, experiencing major reductions in real wages as well as declining employment opportunities (Scott, 1996, </w:t>
      </w:r>
      <w:r>
        <w:rPr>
          <w:spacing w:val="-3"/>
        </w:rPr>
        <w:t>Table </w:t>
      </w:r>
      <w:r>
        <w:rPr/>
        <w:t>3). With respect to surplus labor, recent estimates suggest that by</w:t>
      </w:r>
      <w:r>
        <w:rPr>
          <w:spacing w:val="-33"/>
        </w:rPr>
        <w:t> </w:t>
      </w:r>
      <w:r>
        <w:rPr/>
        <w:t>the</w:t>
      </w:r>
    </w:p>
    <w:p>
      <w:pPr>
        <w:spacing w:after="0" w:line="249" w:lineRule="auto"/>
        <w:jc w:val="both"/>
        <w:sectPr>
          <w:pgSz w:w="7120" w:h="11820"/>
          <w:pgMar w:header="293" w:footer="0" w:top="500" w:bottom="280" w:left="260" w:right="160"/>
        </w:sectPr>
      </w:pPr>
    </w:p>
    <w:p>
      <w:pPr>
        <w:pStyle w:val="BodyText"/>
        <w:spacing w:before="7"/>
        <w:rPr>
          <w:sz w:val="13"/>
        </w:rPr>
      </w:pPr>
    </w:p>
    <w:p>
      <w:pPr>
        <w:pStyle w:val="BodyText"/>
        <w:spacing w:line="254" w:lineRule="auto" w:before="92"/>
        <w:ind w:left="107" w:right="125"/>
        <w:jc w:val="both"/>
      </w:pPr>
      <w:r>
        <w:rPr/>
        <w:t>early 1990s, 14% of the workforce was out of work and large numbers of people were underemployed (Southern California Interuniversity Consortium on Home- lessness and Poverty, 1995).</w:t>
      </w:r>
    </w:p>
    <w:p>
      <w:pPr>
        <w:pStyle w:val="BodyText"/>
        <w:spacing w:line="252" w:lineRule="auto"/>
        <w:ind w:left="107" w:right="121" w:firstLine="199"/>
        <w:jc w:val="both"/>
      </w:pPr>
      <w:r>
        <w:rPr/>
        <w:t>Many</w:t>
      </w:r>
      <w:r>
        <w:rPr>
          <w:spacing w:val="-12"/>
        </w:rPr>
        <w:t> </w:t>
      </w:r>
      <w:r>
        <w:rPr/>
        <w:t>people</w:t>
      </w:r>
      <w:r>
        <w:rPr>
          <w:spacing w:val="-12"/>
        </w:rPr>
        <w:t> </w:t>
      </w:r>
      <w:r>
        <w:rPr/>
        <w:t>who</w:t>
      </w:r>
      <w:r>
        <w:rPr>
          <w:spacing w:val="-12"/>
        </w:rPr>
        <w:t> </w:t>
      </w:r>
      <w:r>
        <w:rPr/>
        <w:t>lost</w:t>
      </w:r>
      <w:r>
        <w:rPr>
          <w:spacing w:val="-12"/>
        </w:rPr>
        <w:t> </w:t>
      </w:r>
      <w:r>
        <w:rPr/>
        <w:t>jobs</w:t>
      </w:r>
      <w:r>
        <w:rPr>
          <w:spacing w:val="-12"/>
        </w:rPr>
        <w:t> </w:t>
      </w:r>
      <w:r>
        <w:rPr/>
        <w:t>or</w:t>
      </w:r>
      <w:r>
        <w:rPr>
          <w:spacing w:val="-12"/>
        </w:rPr>
        <w:t> </w:t>
      </w:r>
      <w:r>
        <w:rPr/>
        <w:t>saw</w:t>
      </w:r>
      <w:r>
        <w:rPr>
          <w:spacing w:val="-12"/>
        </w:rPr>
        <w:t> </w:t>
      </w:r>
      <w:r>
        <w:rPr/>
        <w:t>their</w:t>
      </w:r>
      <w:r>
        <w:rPr>
          <w:spacing w:val="-11"/>
        </w:rPr>
        <w:t> </w:t>
      </w:r>
      <w:r>
        <w:rPr/>
        <w:t>wages</w:t>
      </w:r>
      <w:r>
        <w:rPr>
          <w:spacing w:val="-12"/>
        </w:rPr>
        <w:t> </w:t>
      </w:r>
      <w:r>
        <w:rPr/>
        <w:t>fall</w:t>
      </w:r>
      <w:r>
        <w:rPr>
          <w:spacing w:val="-12"/>
        </w:rPr>
        <w:t> </w:t>
      </w:r>
      <w:r>
        <w:rPr/>
        <w:t>during</w:t>
      </w:r>
      <w:r>
        <w:rPr>
          <w:spacing w:val="-12"/>
        </w:rPr>
        <w:t> </w:t>
      </w:r>
      <w:r>
        <w:rPr/>
        <w:t>the</w:t>
      </w:r>
      <w:r>
        <w:rPr>
          <w:spacing w:val="-12"/>
        </w:rPr>
        <w:t> </w:t>
      </w:r>
      <w:r>
        <w:rPr/>
        <w:t>1980s</w:t>
      </w:r>
      <w:r>
        <w:rPr>
          <w:spacing w:val="-12"/>
        </w:rPr>
        <w:t> </w:t>
      </w:r>
      <w:r>
        <w:rPr/>
        <w:t>were</w:t>
      </w:r>
      <w:r>
        <w:rPr>
          <w:spacing w:val="-12"/>
        </w:rPr>
        <w:t> </w:t>
      </w:r>
      <w:r>
        <w:rPr/>
        <w:t>forced to</w:t>
      </w:r>
      <w:r>
        <w:rPr>
          <w:spacing w:val="-7"/>
        </w:rPr>
        <w:t> </w:t>
      </w:r>
      <w:r>
        <w:rPr/>
        <w:t>seek</w:t>
      </w:r>
      <w:r>
        <w:rPr>
          <w:spacing w:val="-6"/>
        </w:rPr>
        <w:t> </w:t>
      </w:r>
      <w:r>
        <w:rPr>
          <w:i/>
        </w:rPr>
        <w:t>welfare</w:t>
      </w:r>
      <w:r>
        <w:rPr>
          <w:i/>
          <w:spacing w:val="-7"/>
        </w:rPr>
        <w:t> </w:t>
      </w:r>
      <w:r>
        <w:rPr>
          <w:i/>
        </w:rPr>
        <w:t>state</w:t>
      </w:r>
      <w:r>
        <w:rPr>
          <w:i/>
          <w:spacing w:val="-6"/>
        </w:rPr>
        <w:t> </w:t>
      </w:r>
      <w:r>
        <w:rPr>
          <w:i/>
        </w:rPr>
        <w:t>services</w:t>
      </w:r>
      <w:r>
        <w:rPr>
          <w:i/>
          <w:spacing w:val="-6"/>
        </w:rPr>
        <w:t> </w:t>
      </w:r>
      <w:r>
        <w:rPr/>
        <w:t>to</w:t>
      </w:r>
      <w:r>
        <w:rPr>
          <w:spacing w:val="-7"/>
        </w:rPr>
        <w:t> </w:t>
      </w:r>
      <w:r>
        <w:rPr/>
        <w:t>keep</w:t>
      </w:r>
      <w:r>
        <w:rPr>
          <w:spacing w:val="-6"/>
        </w:rPr>
        <w:t> </w:t>
      </w:r>
      <w:r>
        <w:rPr/>
        <w:t>them</w:t>
      </w:r>
      <w:r>
        <w:rPr>
          <w:spacing w:val="-6"/>
        </w:rPr>
        <w:t> </w:t>
      </w:r>
      <w:r>
        <w:rPr/>
        <w:t>from</w:t>
      </w:r>
      <w:r>
        <w:rPr>
          <w:spacing w:val="-7"/>
        </w:rPr>
        <w:t> </w:t>
      </w:r>
      <w:r>
        <w:rPr/>
        <w:t>winding</w:t>
      </w:r>
      <w:r>
        <w:rPr>
          <w:spacing w:val="-6"/>
        </w:rPr>
        <w:t> </w:t>
      </w:r>
      <w:r>
        <w:rPr/>
        <w:t>up</w:t>
      </w:r>
      <w:r>
        <w:rPr>
          <w:spacing w:val="-6"/>
        </w:rPr>
        <w:t> </w:t>
      </w:r>
      <w:r>
        <w:rPr/>
        <w:t>on</w:t>
      </w:r>
      <w:r>
        <w:rPr>
          <w:spacing w:val="-7"/>
        </w:rPr>
        <w:t> </w:t>
      </w:r>
      <w:r>
        <w:rPr/>
        <w:t>the</w:t>
      </w:r>
      <w:r>
        <w:rPr>
          <w:spacing w:val="-6"/>
        </w:rPr>
        <w:t> </w:t>
      </w:r>
      <w:r>
        <w:rPr/>
        <w:t>streets.</w:t>
      </w:r>
      <w:r>
        <w:rPr>
          <w:spacing w:val="-6"/>
        </w:rPr>
        <w:t> </w:t>
      </w:r>
      <w:r>
        <w:rPr/>
        <w:t>But</w:t>
      </w:r>
      <w:r>
        <w:rPr>
          <w:spacing w:val="-7"/>
        </w:rPr>
        <w:t> </w:t>
      </w:r>
      <w:r>
        <w:rPr/>
        <w:t>by the early 1980s, the social safety net had begun to thin </w:t>
      </w:r>
      <w:r>
        <w:rPr>
          <w:spacing w:val="-3"/>
        </w:rPr>
        <w:t>(Wolch </w:t>
      </w:r>
      <w:r>
        <w:rPr/>
        <w:t>and Dear, 1993). </w:t>
      </w:r>
      <w:r>
        <w:rPr>
          <w:spacing w:val="-8"/>
        </w:rPr>
        <w:t>Welfare </w:t>
      </w:r>
      <w:r>
        <w:rPr>
          <w:spacing w:val="-4"/>
        </w:rPr>
        <w:t>and </w:t>
      </w:r>
      <w:r>
        <w:rPr>
          <w:spacing w:val="-6"/>
        </w:rPr>
        <w:t>disability provisions changed, </w:t>
      </w:r>
      <w:r>
        <w:rPr>
          <w:spacing w:val="-4"/>
        </w:rPr>
        <w:t>and </w:t>
      </w:r>
      <w:r>
        <w:rPr>
          <w:spacing w:val="-6"/>
        </w:rPr>
        <w:t>large numbers </w:t>
      </w:r>
      <w:r>
        <w:rPr>
          <w:spacing w:val="-3"/>
        </w:rPr>
        <w:t>of </w:t>
      </w:r>
      <w:r>
        <w:rPr>
          <w:spacing w:val="-6"/>
        </w:rPr>
        <w:t>recipients </w:t>
      </w:r>
      <w:r>
        <w:rPr>
          <w:spacing w:val="-5"/>
        </w:rPr>
        <w:t>lost </w:t>
      </w:r>
      <w:r>
        <w:rPr>
          <w:spacing w:val="-6"/>
        </w:rPr>
        <w:t>cash </w:t>
      </w:r>
      <w:r>
        <w:rPr>
          <w:spacing w:val="-5"/>
        </w:rPr>
        <w:t>benefits, along with health care </w:t>
      </w:r>
      <w:r>
        <w:rPr>
          <w:spacing w:val="-4"/>
        </w:rPr>
        <w:t>and </w:t>
      </w:r>
      <w:r>
        <w:rPr>
          <w:spacing w:val="-5"/>
        </w:rPr>
        <w:t>food </w:t>
      </w:r>
      <w:r>
        <w:rPr>
          <w:spacing w:val="-6"/>
        </w:rPr>
        <w:t>stamps. </w:t>
      </w:r>
      <w:r>
        <w:rPr>
          <w:spacing w:val="-5"/>
        </w:rPr>
        <w:t>Other social </w:t>
      </w:r>
      <w:r>
        <w:rPr>
          <w:spacing w:val="-6"/>
        </w:rPr>
        <w:t>programs </w:t>
      </w:r>
      <w:r>
        <w:rPr>
          <w:spacing w:val="-5"/>
        </w:rPr>
        <w:t>were </w:t>
      </w:r>
      <w:r>
        <w:rPr>
          <w:spacing w:val="-11"/>
        </w:rPr>
        <w:t>also </w:t>
      </w:r>
      <w:r>
        <w:rPr>
          <w:spacing w:val="-5"/>
        </w:rPr>
        <w:t>deeply </w:t>
      </w:r>
      <w:r>
        <w:rPr>
          <w:spacing w:val="-4"/>
        </w:rPr>
        <w:t>cut </w:t>
      </w:r>
      <w:r>
        <w:rPr>
          <w:spacing w:val="-6"/>
        </w:rPr>
        <w:t>throughout </w:t>
      </w:r>
      <w:r>
        <w:rPr>
          <w:spacing w:val="-4"/>
        </w:rPr>
        <w:t>the </w:t>
      </w:r>
      <w:r>
        <w:rPr>
          <w:spacing w:val="-5"/>
        </w:rPr>
        <w:t>Reagan era, </w:t>
      </w:r>
      <w:r>
        <w:rPr>
          <w:spacing w:val="-6"/>
        </w:rPr>
        <w:t>including </w:t>
      </w:r>
      <w:r>
        <w:rPr>
          <w:spacing w:val="-4"/>
        </w:rPr>
        <w:t>job </w:t>
      </w:r>
      <w:r>
        <w:rPr>
          <w:spacing w:val="-6"/>
        </w:rPr>
        <w:t>training, </w:t>
      </w:r>
      <w:r>
        <w:rPr>
          <w:spacing w:val="-5"/>
        </w:rPr>
        <w:t>human </w:t>
      </w:r>
      <w:r>
        <w:rPr>
          <w:spacing w:val="-6"/>
        </w:rPr>
        <w:t>services,</w:t>
      </w:r>
      <w:r>
        <w:rPr>
          <w:spacing w:val="-37"/>
        </w:rPr>
        <w:t> </w:t>
      </w:r>
      <w:r>
        <w:rPr>
          <w:spacing w:val="-6"/>
        </w:rPr>
        <w:t>commu- </w:t>
      </w:r>
      <w:r>
        <w:rPr>
          <w:spacing w:val="-5"/>
        </w:rPr>
        <w:t>nity </w:t>
      </w:r>
      <w:r>
        <w:rPr>
          <w:spacing w:val="-6"/>
        </w:rPr>
        <w:t>development </w:t>
      </w:r>
      <w:r>
        <w:rPr>
          <w:spacing w:val="-4"/>
        </w:rPr>
        <w:t>and </w:t>
      </w:r>
      <w:r>
        <w:rPr>
          <w:spacing w:val="-5"/>
        </w:rPr>
        <w:t>other forms </w:t>
      </w:r>
      <w:r>
        <w:rPr>
          <w:spacing w:val="-3"/>
        </w:rPr>
        <w:t>of </w:t>
      </w:r>
      <w:r>
        <w:rPr>
          <w:spacing w:val="-5"/>
        </w:rPr>
        <w:t>income </w:t>
      </w:r>
      <w:r>
        <w:rPr>
          <w:spacing w:val="-6"/>
        </w:rPr>
        <w:t>support </w:t>
      </w:r>
      <w:r>
        <w:rPr>
          <w:spacing w:val="-8"/>
        </w:rPr>
        <w:t>(Wolch </w:t>
      </w:r>
      <w:r>
        <w:rPr>
          <w:spacing w:val="-4"/>
        </w:rPr>
        <w:t>and </w:t>
      </w:r>
      <w:r>
        <w:rPr>
          <w:spacing w:val="-5"/>
        </w:rPr>
        <w:t>Akita, 1988). </w:t>
      </w:r>
      <w:r>
        <w:rPr>
          <w:spacing w:val="-6"/>
        </w:rPr>
        <w:t>And federal assistance </w:t>
      </w:r>
      <w:r>
        <w:rPr>
          <w:spacing w:val="-3"/>
        </w:rPr>
        <w:t>to </w:t>
      </w:r>
      <w:r>
        <w:rPr>
          <w:spacing w:val="-5"/>
        </w:rPr>
        <w:t>states </w:t>
      </w:r>
      <w:r>
        <w:rPr>
          <w:spacing w:val="-4"/>
        </w:rPr>
        <w:t>and </w:t>
      </w:r>
      <w:r>
        <w:rPr>
          <w:spacing w:val="-6"/>
        </w:rPr>
        <w:t>localities </w:t>
      </w:r>
      <w:r>
        <w:rPr>
          <w:spacing w:val="-4"/>
        </w:rPr>
        <w:t>was </w:t>
      </w:r>
      <w:r>
        <w:rPr>
          <w:spacing w:val="-6"/>
        </w:rPr>
        <w:t>radically </w:t>
      </w:r>
      <w:r>
        <w:rPr>
          <w:spacing w:val="-5"/>
        </w:rPr>
        <w:t>scaled back, </w:t>
      </w:r>
      <w:r>
        <w:rPr>
          <w:spacing w:val="-6"/>
        </w:rPr>
        <w:t>hand-in-hand with devolution</w:t>
      </w:r>
      <w:r>
        <w:rPr>
          <w:spacing w:val="-16"/>
        </w:rPr>
        <w:t> </w:t>
      </w:r>
      <w:r>
        <w:rPr>
          <w:spacing w:val="-3"/>
        </w:rPr>
        <w:t>of</w:t>
      </w:r>
      <w:r>
        <w:rPr>
          <w:spacing w:val="-16"/>
        </w:rPr>
        <w:t> </w:t>
      </w:r>
      <w:r>
        <w:rPr>
          <w:spacing w:val="-6"/>
        </w:rPr>
        <w:t>program</w:t>
      </w:r>
      <w:r>
        <w:rPr>
          <w:spacing w:val="-16"/>
        </w:rPr>
        <w:t> </w:t>
      </w:r>
      <w:r>
        <w:rPr>
          <w:spacing w:val="-6"/>
        </w:rPr>
        <w:t>responsibilities</w:t>
      </w:r>
      <w:r>
        <w:rPr>
          <w:spacing w:val="-16"/>
        </w:rPr>
        <w:t> </w:t>
      </w:r>
      <w:r>
        <w:rPr>
          <w:spacing w:val="-3"/>
        </w:rPr>
        <w:t>to</w:t>
      </w:r>
      <w:r>
        <w:rPr>
          <w:spacing w:val="-16"/>
        </w:rPr>
        <w:t> </w:t>
      </w:r>
      <w:r>
        <w:rPr>
          <w:spacing w:val="-4"/>
        </w:rPr>
        <w:t>the</w:t>
      </w:r>
      <w:r>
        <w:rPr>
          <w:spacing w:val="-16"/>
        </w:rPr>
        <w:t> </w:t>
      </w:r>
      <w:r>
        <w:rPr>
          <w:spacing w:val="-6"/>
        </w:rPr>
        <w:t>states—the</w:t>
      </w:r>
      <w:r>
        <w:rPr>
          <w:spacing w:val="-16"/>
        </w:rPr>
        <w:t> </w:t>
      </w:r>
      <w:r>
        <w:rPr>
          <w:spacing w:val="-8"/>
        </w:rPr>
        <w:t>‘‘New</w:t>
      </w:r>
      <w:r>
        <w:rPr>
          <w:spacing w:val="-15"/>
        </w:rPr>
        <w:t> </w:t>
      </w:r>
      <w:r>
        <w:rPr>
          <w:spacing w:val="-6"/>
        </w:rPr>
        <w:t>Federalism.’’California, </w:t>
      </w:r>
      <w:r>
        <w:rPr>
          <w:spacing w:val="-3"/>
        </w:rPr>
        <w:t>in </w:t>
      </w:r>
      <w:r>
        <w:rPr>
          <w:spacing w:val="-5"/>
        </w:rPr>
        <w:t>midst </w:t>
      </w:r>
      <w:r>
        <w:rPr>
          <w:spacing w:val="-3"/>
        </w:rPr>
        <w:t>of </w:t>
      </w:r>
      <w:r>
        <w:rPr>
          <w:spacing w:val="-4"/>
        </w:rPr>
        <w:t>the tax </w:t>
      </w:r>
      <w:r>
        <w:rPr>
          <w:spacing w:val="-6"/>
        </w:rPr>
        <w:t>limitation movement, </w:t>
      </w:r>
      <w:r>
        <w:rPr>
          <w:spacing w:val="-5"/>
        </w:rPr>
        <w:t>made deeper cuts, </w:t>
      </w:r>
      <w:r>
        <w:rPr>
          <w:spacing w:val="-6"/>
        </w:rPr>
        <w:t>privatized services, and further</w:t>
      </w:r>
      <w:r>
        <w:rPr>
          <w:spacing w:val="-15"/>
        </w:rPr>
        <w:t> </w:t>
      </w:r>
      <w:r>
        <w:rPr>
          <w:spacing w:val="-6"/>
        </w:rPr>
        <w:t>devolved</w:t>
      </w:r>
      <w:r>
        <w:rPr>
          <w:spacing w:val="-15"/>
        </w:rPr>
        <w:t> </w:t>
      </w:r>
      <w:r>
        <w:rPr>
          <w:spacing w:val="-6"/>
        </w:rPr>
        <w:t>responsibilities</w:t>
      </w:r>
      <w:r>
        <w:rPr>
          <w:spacing w:val="-14"/>
        </w:rPr>
        <w:t> </w:t>
      </w:r>
      <w:r>
        <w:rPr>
          <w:spacing w:val="-5"/>
        </w:rPr>
        <w:t>onto</w:t>
      </w:r>
      <w:r>
        <w:rPr>
          <w:spacing w:val="-15"/>
        </w:rPr>
        <w:t> </w:t>
      </w:r>
      <w:r>
        <w:rPr>
          <w:spacing w:val="-4"/>
        </w:rPr>
        <w:t>the</w:t>
      </w:r>
      <w:r>
        <w:rPr>
          <w:spacing w:val="-14"/>
        </w:rPr>
        <w:t> </w:t>
      </w:r>
      <w:r>
        <w:rPr>
          <w:spacing w:val="-6"/>
        </w:rPr>
        <w:t>counties.</w:t>
      </w:r>
      <w:r>
        <w:rPr>
          <w:spacing w:val="-15"/>
        </w:rPr>
        <w:t> </w:t>
      </w:r>
      <w:r>
        <w:rPr>
          <w:spacing w:val="-5"/>
        </w:rPr>
        <w:t>Even</w:t>
      </w:r>
      <w:r>
        <w:rPr>
          <w:spacing w:val="-15"/>
        </w:rPr>
        <w:t> </w:t>
      </w:r>
      <w:r>
        <w:rPr>
          <w:spacing w:val="-4"/>
        </w:rPr>
        <w:t>so,</w:t>
      </w:r>
      <w:r>
        <w:rPr>
          <w:spacing w:val="-14"/>
        </w:rPr>
        <w:t> </w:t>
      </w:r>
      <w:r>
        <w:rPr>
          <w:spacing w:val="-6"/>
        </w:rPr>
        <w:t>welfare</w:t>
      </w:r>
      <w:r>
        <w:rPr>
          <w:spacing w:val="-15"/>
        </w:rPr>
        <w:t> </w:t>
      </w:r>
      <w:r>
        <w:rPr>
          <w:spacing w:val="-6"/>
        </w:rPr>
        <w:t>caseloads</w:t>
      </w:r>
      <w:r>
        <w:rPr>
          <w:spacing w:val="-14"/>
        </w:rPr>
        <w:t> </w:t>
      </w:r>
      <w:r>
        <w:rPr>
          <w:spacing w:val="-6"/>
        </w:rPr>
        <w:t>exploded </w:t>
      </w:r>
      <w:r>
        <w:rPr>
          <w:spacing w:val="-3"/>
        </w:rPr>
        <w:t>at</w:t>
      </w:r>
      <w:r>
        <w:rPr>
          <w:spacing w:val="-11"/>
        </w:rPr>
        <w:t> </w:t>
      </w:r>
      <w:r>
        <w:rPr/>
        <w:t>a</w:t>
      </w:r>
      <w:r>
        <w:rPr>
          <w:spacing w:val="-10"/>
        </w:rPr>
        <w:t> </w:t>
      </w:r>
      <w:r>
        <w:rPr>
          <w:spacing w:val="-5"/>
        </w:rPr>
        <w:t>rate</w:t>
      </w:r>
      <w:r>
        <w:rPr>
          <w:spacing w:val="-11"/>
        </w:rPr>
        <w:t> </w:t>
      </w:r>
      <w:r>
        <w:rPr>
          <w:spacing w:val="-3"/>
        </w:rPr>
        <w:t>of</w:t>
      </w:r>
      <w:r>
        <w:rPr>
          <w:spacing w:val="-10"/>
        </w:rPr>
        <w:t> </w:t>
      </w:r>
      <w:r>
        <w:rPr>
          <w:spacing w:val="-4"/>
        </w:rPr>
        <w:t>13%</w:t>
      </w:r>
      <w:r>
        <w:rPr>
          <w:spacing w:val="-10"/>
        </w:rPr>
        <w:t> </w:t>
      </w:r>
      <w:r>
        <w:rPr>
          <w:spacing w:val="-4"/>
        </w:rPr>
        <w:t>per</w:t>
      </w:r>
      <w:r>
        <w:rPr>
          <w:spacing w:val="-11"/>
        </w:rPr>
        <w:t> </w:t>
      </w:r>
      <w:r>
        <w:rPr>
          <w:spacing w:val="-5"/>
        </w:rPr>
        <w:t>year</w:t>
      </w:r>
      <w:r>
        <w:rPr>
          <w:spacing w:val="-10"/>
        </w:rPr>
        <w:t> </w:t>
      </w:r>
      <w:r>
        <w:rPr>
          <w:spacing w:val="-3"/>
        </w:rPr>
        <w:t>as</w:t>
      </w:r>
      <w:r>
        <w:rPr>
          <w:spacing w:val="-10"/>
        </w:rPr>
        <w:t> </w:t>
      </w:r>
      <w:r>
        <w:rPr>
          <w:spacing w:val="-4"/>
        </w:rPr>
        <w:t>the</w:t>
      </w:r>
      <w:r>
        <w:rPr>
          <w:spacing w:val="-11"/>
        </w:rPr>
        <w:t> </w:t>
      </w:r>
      <w:r>
        <w:rPr>
          <w:spacing w:val="-6"/>
        </w:rPr>
        <w:t>economy</w:t>
      </w:r>
      <w:r>
        <w:rPr>
          <w:spacing w:val="-10"/>
        </w:rPr>
        <w:t> </w:t>
      </w:r>
      <w:r>
        <w:rPr>
          <w:spacing w:val="-6"/>
        </w:rPr>
        <w:t>shrunk.</w:t>
      </w:r>
      <w:r>
        <w:rPr>
          <w:spacing w:val="-11"/>
        </w:rPr>
        <w:t> </w:t>
      </w:r>
      <w:r>
        <w:rPr>
          <w:spacing w:val="-6"/>
        </w:rPr>
        <w:t>Counties</w:t>
      </w:r>
      <w:r>
        <w:rPr>
          <w:spacing w:val="-10"/>
        </w:rPr>
        <w:t> </w:t>
      </w:r>
      <w:r>
        <w:rPr>
          <w:spacing w:val="-5"/>
        </w:rPr>
        <w:t>faced</w:t>
      </w:r>
      <w:r>
        <w:rPr>
          <w:spacing w:val="-10"/>
        </w:rPr>
        <w:t> </w:t>
      </w:r>
      <w:r>
        <w:rPr>
          <w:spacing w:val="-5"/>
        </w:rPr>
        <w:t>rising</w:t>
      </w:r>
      <w:r>
        <w:rPr>
          <w:spacing w:val="-11"/>
        </w:rPr>
        <w:t> </w:t>
      </w:r>
      <w:r>
        <w:rPr>
          <w:spacing w:val="-5"/>
        </w:rPr>
        <w:t>costs</w:t>
      </w:r>
      <w:r>
        <w:rPr>
          <w:spacing w:val="-10"/>
        </w:rPr>
        <w:t> </w:t>
      </w:r>
      <w:r>
        <w:rPr>
          <w:spacing w:val="-3"/>
        </w:rPr>
        <w:t>of</w:t>
      </w:r>
      <w:r>
        <w:rPr>
          <w:spacing w:val="-10"/>
        </w:rPr>
        <w:t> </w:t>
      </w:r>
      <w:r>
        <w:rPr>
          <w:spacing w:val="-6"/>
        </w:rPr>
        <w:t>welfare administration</w:t>
      </w:r>
      <w:r>
        <w:rPr>
          <w:spacing w:val="-11"/>
        </w:rPr>
        <w:t> </w:t>
      </w:r>
      <w:r>
        <w:rPr>
          <w:spacing w:val="-4"/>
        </w:rPr>
        <w:t>and</w:t>
      </w:r>
      <w:r>
        <w:rPr>
          <w:spacing w:val="-11"/>
        </w:rPr>
        <w:t> </w:t>
      </w:r>
      <w:r>
        <w:rPr>
          <w:spacing w:val="-5"/>
        </w:rPr>
        <w:t>public</w:t>
      </w:r>
      <w:r>
        <w:rPr>
          <w:spacing w:val="-10"/>
        </w:rPr>
        <w:t> </w:t>
      </w:r>
      <w:r>
        <w:rPr>
          <w:spacing w:val="-6"/>
        </w:rPr>
        <w:t>health,</w:t>
      </w:r>
      <w:r>
        <w:rPr>
          <w:spacing w:val="-11"/>
        </w:rPr>
        <w:t> </w:t>
      </w:r>
      <w:r>
        <w:rPr>
          <w:spacing w:val="-3"/>
        </w:rPr>
        <w:t>as</w:t>
      </w:r>
      <w:r>
        <w:rPr>
          <w:spacing w:val="-10"/>
        </w:rPr>
        <w:t> </w:t>
      </w:r>
      <w:r>
        <w:rPr>
          <w:spacing w:val="-5"/>
        </w:rPr>
        <w:t>well</w:t>
      </w:r>
      <w:r>
        <w:rPr>
          <w:spacing w:val="-11"/>
        </w:rPr>
        <w:t> </w:t>
      </w:r>
      <w:r>
        <w:rPr>
          <w:spacing w:val="-3"/>
        </w:rPr>
        <w:t>as</w:t>
      </w:r>
      <w:r>
        <w:rPr>
          <w:spacing w:val="-10"/>
        </w:rPr>
        <w:t> </w:t>
      </w:r>
      <w:r>
        <w:rPr>
          <w:spacing w:val="-6"/>
        </w:rPr>
        <w:t>indigent</w:t>
      </w:r>
      <w:r>
        <w:rPr>
          <w:spacing w:val="-11"/>
        </w:rPr>
        <w:t> </w:t>
      </w:r>
      <w:r>
        <w:rPr>
          <w:spacing w:val="-6"/>
        </w:rPr>
        <w:t>relief.</w:t>
      </w:r>
      <w:r>
        <w:rPr>
          <w:spacing w:val="-11"/>
        </w:rPr>
        <w:t> </w:t>
      </w:r>
      <w:r>
        <w:rPr>
          <w:spacing w:val="-4"/>
        </w:rPr>
        <w:t>Los</w:t>
      </w:r>
      <w:r>
        <w:rPr>
          <w:spacing w:val="-21"/>
        </w:rPr>
        <w:t> </w:t>
      </w:r>
      <w:r>
        <w:rPr>
          <w:spacing w:val="-6"/>
        </w:rPr>
        <w:t>Angeles</w:t>
      </w:r>
      <w:r>
        <w:rPr>
          <w:spacing w:val="-11"/>
        </w:rPr>
        <w:t> </w:t>
      </w:r>
      <w:r>
        <w:rPr>
          <w:spacing w:val="-5"/>
        </w:rPr>
        <w:t>County</w:t>
      </w:r>
      <w:r>
        <w:rPr>
          <w:spacing w:val="-11"/>
        </w:rPr>
        <w:t> </w:t>
      </w:r>
      <w:r>
        <w:rPr>
          <w:spacing w:val="-6"/>
        </w:rPr>
        <w:t>elected </w:t>
      </w:r>
      <w:r>
        <w:rPr>
          <w:spacing w:val="-3"/>
        </w:rPr>
        <w:t>to</w:t>
      </w:r>
      <w:r>
        <w:rPr>
          <w:spacing w:val="-14"/>
        </w:rPr>
        <w:t> </w:t>
      </w:r>
      <w:r>
        <w:rPr>
          <w:spacing w:val="-5"/>
        </w:rPr>
        <w:t>keep</w:t>
      </w:r>
      <w:r>
        <w:rPr>
          <w:spacing w:val="-14"/>
        </w:rPr>
        <w:t> </w:t>
      </w:r>
      <w:r>
        <w:rPr>
          <w:spacing w:val="-5"/>
        </w:rPr>
        <w:t>these</w:t>
      </w:r>
      <w:r>
        <w:rPr>
          <w:spacing w:val="-13"/>
        </w:rPr>
        <w:t> </w:t>
      </w:r>
      <w:r>
        <w:rPr>
          <w:spacing w:val="-6"/>
        </w:rPr>
        <w:t>expenditures</w:t>
      </w:r>
      <w:r>
        <w:rPr>
          <w:spacing w:val="-14"/>
        </w:rPr>
        <w:t> </w:t>
      </w:r>
      <w:r>
        <w:rPr>
          <w:spacing w:val="-3"/>
        </w:rPr>
        <w:t>in</w:t>
      </w:r>
      <w:r>
        <w:rPr>
          <w:spacing w:val="-14"/>
        </w:rPr>
        <w:t> </w:t>
      </w:r>
      <w:r>
        <w:rPr>
          <w:spacing w:val="-5"/>
        </w:rPr>
        <w:t>check</w:t>
      </w:r>
      <w:r>
        <w:rPr>
          <w:spacing w:val="-13"/>
        </w:rPr>
        <w:t> </w:t>
      </w:r>
      <w:r>
        <w:rPr>
          <w:spacing w:val="-3"/>
        </w:rPr>
        <w:t>by</w:t>
      </w:r>
      <w:r>
        <w:rPr>
          <w:spacing w:val="-14"/>
        </w:rPr>
        <w:t> </w:t>
      </w:r>
      <w:r>
        <w:rPr>
          <w:spacing w:val="-6"/>
        </w:rPr>
        <w:t>retrenching</w:t>
      </w:r>
      <w:r>
        <w:rPr>
          <w:spacing w:val="-14"/>
        </w:rPr>
        <w:t> </w:t>
      </w:r>
      <w:r>
        <w:rPr>
          <w:spacing w:val="-5"/>
        </w:rPr>
        <w:t>even</w:t>
      </w:r>
      <w:r>
        <w:rPr>
          <w:spacing w:val="-13"/>
        </w:rPr>
        <w:t> </w:t>
      </w:r>
      <w:r>
        <w:rPr>
          <w:spacing w:val="-6"/>
        </w:rPr>
        <w:t>further</w:t>
      </w:r>
      <w:r>
        <w:rPr>
          <w:spacing w:val="-14"/>
        </w:rPr>
        <w:t> </w:t>
      </w:r>
      <w:r>
        <w:rPr>
          <w:spacing w:val="-5"/>
        </w:rPr>
        <w:t>(Lee,</w:t>
      </w:r>
      <w:r>
        <w:rPr>
          <w:spacing w:val="-13"/>
        </w:rPr>
        <w:t> </w:t>
      </w:r>
      <w:r>
        <w:rPr>
          <w:spacing w:val="-6"/>
        </w:rPr>
        <w:t>1991).</w:t>
      </w:r>
    </w:p>
    <w:p>
      <w:pPr>
        <w:pStyle w:val="BodyText"/>
        <w:spacing w:line="252" w:lineRule="auto"/>
        <w:ind w:left="107" w:right="114" w:firstLine="199"/>
        <w:jc w:val="both"/>
      </w:pPr>
      <w:r>
        <w:rPr/>
        <w:t>Lastly, several </w:t>
      </w:r>
      <w:r>
        <w:rPr>
          <w:i/>
        </w:rPr>
        <w:t>demographic changes </w:t>
      </w:r>
      <w:r>
        <w:rPr/>
        <w:t>increased the number of households looking for affordable shelter and affected their composition, for example, the aging of the baby boomers, which deepened job competition, and the rise in nonfamily</w:t>
      </w:r>
      <w:r>
        <w:rPr>
          <w:spacing w:val="-11"/>
        </w:rPr>
        <w:t> </w:t>
      </w:r>
      <w:r>
        <w:rPr/>
        <w:t>households</w:t>
      </w:r>
      <w:r>
        <w:rPr>
          <w:spacing w:val="-11"/>
        </w:rPr>
        <w:t> </w:t>
      </w:r>
      <w:r>
        <w:rPr/>
        <w:t>and</w:t>
      </w:r>
      <w:r>
        <w:rPr>
          <w:spacing w:val="-10"/>
        </w:rPr>
        <w:t> </w:t>
      </w:r>
      <w:r>
        <w:rPr/>
        <w:t>single-parent</w:t>
      </w:r>
      <w:r>
        <w:rPr>
          <w:spacing w:val="-11"/>
        </w:rPr>
        <w:t> </w:t>
      </w:r>
      <w:r>
        <w:rPr/>
        <w:t>families,</w:t>
      </w:r>
      <w:r>
        <w:rPr>
          <w:spacing w:val="-11"/>
        </w:rPr>
        <w:t> </w:t>
      </w:r>
      <w:r>
        <w:rPr/>
        <w:t>which</w:t>
      </w:r>
      <w:r>
        <w:rPr>
          <w:spacing w:val="-10"/>
        </w:rPr>
        <w:t> </w:t>
      </w:r>
      <w:r>
        <w:rPr/>
        <w:t>exacerbated</w:t>
      </w:r>
      <w:r>
        <w:rPr>
          <w:spacing w:val="-11"/>
        </w:rPr>
        <w:t> </w:t>
      </w:r>
      <w:r>
        <w:rPr/>
        <w:t>the</w:t>
      </w:r>
      <w:r>
        <w:rPr>
          <w:spacing w:val="-10"/>
        </w:rPr>
        <w:t> </w:t>
      </w:r>
      <w:r>
        <w:rPr/>
        <w:t>competi- tion for small, affordable units. In Los Angeles, these trends were overlaid by huge international immigration flows from Latin America and Asia, driven </w:t>
      </w:r>
      <w:r>
        <w:rPr>
          <w:spacing w:val="-8"/>
        </w:rPr>
        <w:t>by </w:t>
      </w:r>
      <w:r>
        <w:rPr/>
        <w:t>geopolitical conflict, internal political turmoil, and economic globalization. </w:t>
      </w:r>
      <w:r>
        <w:rPr>
          <w:spacing w:val="-8"/>
        </w:rPr>
        <w:t>By </w:t>
      </w:r>
      <w:r>
        <w:rPr/>
        <w:t>1990, 25% of all Southern California residents were foreign-born, up from less than</w:t>
      </w:r>
      <w:r>
        <w:rPr>
          <w:spacing w:val="-5"/>
        </w:rPr>
        <w:t> </w:t>
      </w:r>
      <w:r>
        <w:rPr/>
        <w:t>10%</w:t>
      </w:r>
      <w:r>
        <w:rPr>
          <w:spacing w:val="-4"/>
        </w:rPr>
        <w:t> </w:t>
      </w:r>
      <w:r>
        <w:rPr/>
        <w:t>in</w:t>
      </w:r>
      <w:r>
        <w:rPr>
          <w:spacing w:val="-4"/>
        </w:rPr>
        <w:t> </w:t>
      </w:r>
      <w:r>
        <w:rPr/>
        <w:t>1970</w:t>
      </w:r>
      <w:r>
        <w:rPr>
          <w:spacing w:val="-4"/>
        </w:rPr>
        <w:t> </w:t>
      </w:r>
      <w:r>
        <w:rPr/>
        <w:t>(Myers</w:t>
      </w:r>
      <w:r>
        <w:rPr>
          <w:spacing w:val="-4"/>
        </w:rPr>
        <w:t> </w:t>
      </w:r>
      <w:r>
        <w:rPr>
          <w:i/>
        </w:rPr>
        <w:t>et</w:t>
      </w:r>
      <w:r>
        <w:rPr>
          <w:i/>
          <w:spacing w:val="-4"/>
        </w:rPr>
        <w:t> </w:t>
      </w:r>
      <w:r>
        <w:rPr>
          <w:i/>
        </w:rPr>
        <w:t>al.,</w:t>
      </w:r>
      <w:r>
        <w:rPr>
          <w:i/>
          <w:spacing w:val="-3"/>
        </w:rPr>
        <w:t> </w:t>
      </w:r>
      <w:r>
        <w:rPr/>
        <w:t>1995).</w:t>
      </w:r>
      <w:r>
        <w:rPr>
          <w:spacing w:val="-4"/>
        </w:rPr>
        <w:t> </w:t>
      </w:r>
      <w:r>
        <w:rPr/>
        <w:t>Some</w:t>
      </w:r>
      <w:r>
        <w:rPr>
          <w:spacing w:val="-4"/>
        </w:rPr>
        <w:t> </w:t>
      </w:r>
      <w:r>
        <w:rPr/>
        <w:t>share,</w:t>
      </w:r>
      <w:r>
        <w:rPr>
          <w:spacing w:val="-4"/>
        </w:rPr>
        <w:t> </w:t>
      </w:r>
      <w:r>
        <w:rPr/>
        <w:t>especially</w:t>
      </w:r>
      <w:r>
        <w:rPr>
          <w:spacing w:val="-15"/>
        </w:rPr>
        <w:t> </w:t>
      </w:r>
      <w:r>
        <w:rPr/>
        <w:t>Asian</w:t>
      </w:r>
      <w:r>
        <w:rPr>
          <w:spacing w:val="-4"/>
        </w:rPr>
        <w:t> </w:t>
      </w:r>
      <w:r>
        <w:rPr/>
        <w:t>immigrants, </w:t>
      </w:r>
      <w:r>
        <w:rPr>
          <w:spacing w:val="-5"/>
        </w:rPr>
        <w:t>were</w:t>
      </w:r>
      <w:r>
        <w:rPr>
          <w:spacing w:val="-19"/>
        </w:rPr>
        <w:t> </w:t>
      </w:r>
      <w:r>
        <w:rPr>
          <w:spacing w:val="-5"/>
        </w:rPr>
        <w:t>people</w:t>
      </w:r>
      <w:r>
        <w:rPr>
          <w:spacing w:val="-19"/>
        </w:rPr>
        <w:t> </w:t>
      </w:r>
      <w:r>
        <w:rPr>
          <w:spacing w:val="-6"/>
        </w:rPr>
        <w:t>working</w:t>
      </w:r>
      <w:r>
        <w:rPr>
          <w:spacing w:val="-19"/>
        </w:rPr>
        <w:t> </w:t>
      </w:r>
      <w:r>
        <w:rPr>
          <w:spacing w:val="-3"/>
        </w:rPr>
        <w:t>in</w:t>
      </w:r>
      <w:r>
        <w:rPr>
          <w:spacing w:val="-19"/>
        </w:rPr>
        <w:t> </w:t>
      </w:r>
      <w:r>
        <w:rPr>
          <w:spacing w:val="-6"/>
        </w:rPr>
        <w:t>international</w:t>
      </w:r>
      <w:r>
        <w:rPr>
          <w:spacing w:val="-18"/>
        </w:rPr>
        <w:t> </w:t>
      </w:r>
      <w:r>
        <w:rPr>
          <w:spacing w:val="-5"/>
        </w:rPr>
        <w:t>trade</w:t>
      </w:r>
      <w:r>
        <w:rPr>
          <w:spacing w:val="-19"/>
        </w:rPr>
        <w:t> </w:t>
      </w:r>
      <w:r>
        <w:rPr>
          <w:spacing w:val="-4"/>
        </w:rPr>
        <w:t>and</w:t>
      </w:r>
      <w:r>
        <w:rPr>
          <w:spacing w:val="-19"/>
        </w:rPr>
        <w:t> </w:t>
      </w:r>
      <w:r>
        <w:rPr>
          <w:spacing w:val="-6"/>
        </w:rPr>
        <w:t>globalizing</w:t>
      </w:r>
      <w:r>
        <w:rPr>
          <w:spacing w:val="-19"/>
        </w:rPr>
        <w:t> </w:t>
      </w:r>
      <w:r>
        <w:rPr>
          <w:spacing w:val="-6"/>
        </w:rPr>
        <w:t>corporations,</w:t>
      </w:r>
      <w:r>
        <w:rPr>
          <w:spacing w:val="-19"/>
        </w:rPr>
        <w:t> </w:t>
      </w:r>
      <w:r>
        <w:rPr>
          <w:spacing w:val="-4"/>
        </w:rPr>
        <w:t>but</w:t>
      </w:r>
      <w:r>
        <w:rPr>
          <w:spacing w:val="-18"/>
        </w:rPr>
        <w:t> </w:t>
      </w:r>
      <w:r>
        <w:rPr>
          <w:spacing w:val="-5"/>
        </w:rPr>
        <w:t>most</w:t>
      </w:r>
      <w:r>
        <w:rPr>
          <w:spacing w:val="-19"/>
        </w:rPr>
        <w:t> </w:t>
      </w:r>
      <w:r>
        <w:rPr>
          <w:spacing w:val="-6"/>
        </w:rPr>
        <w:t>others </w:t>
      </w:r>
      <w:r>
        <w:rPr>
          <w:spacing w:val="-5"/>
        </w:rPr>
        <w:t>were</w:t>
      </w:r>
      <w:r>
        <w:rPr>
          <w:spacing w:val="-14"/>
        </w:rPr>
        <w:t> </w:t>
      </w:r>
      <w:r>
        <w:rPr>
          <w:spacing w:val="-5"/>
        </w:rPr>
        <w:t>young</w:t>
      </w:r>
      <w:r>
        <w:rPr>
          <w:spacing w:val="-13"/>
        </w:rPr>
        <w:t> </w:t>
      </w:r>
      <w:r>
        <w:rPr>
          <w:spacing w:val="-4"/>
        </w:rPr>
        <w:t>and</w:t>
      </w:r>
      <w:r>
        <w:rPr>
          <w:spacing w:val="-14"/>
        </w:rPr>
        <w:t> </w:t>
      </w:r>
      <w:r>
        <w:rPr>
          <w:spacing w:val="-6"/>
        </w:rPr>
        <w:t>arrived</w:t>
      </w:r>
      <w:r>
        <w:rPr>
          <w:spacing w:val="-13"/>
        </w:rPr>
        <w:t> </w:t>
      </w:r>
      <w:r>
        <w:rPr>
          <w:spacing w:val="-6"/>
        </w:rPr>
        <w:t>seeking</w:t>
      </w:r>
      <w:r>
        <w:rPr>
          <w:spacing w:val="-13"/>
        </w:rPr>
        <w:t> </w:t>
      </w:r>
      <w:r>
        <w:rPr>
          <w:spacing w:val="-6"/>
        </w:rPr>
        <w:t>low-skill</w:t>
      </w:r>
      <w:r>
        <w:rPr>
          <w:spacing w:val="-14"/>
        </w:rPr>
        <w:t> </w:t>
      </w:r>
      <w:r>
        <w:rPr>
          <w:spacing w:val="-5"/>
        </w:rPr>
        <w:t>jobs</w:t>
      </w:r>
      <w:r>
        <w:rPr>
          <w:spacing w:val="-13"/>
        </w:rPr>
        <w:t> </w:t>
      </w:r>
      <w:r>
        <w:rPr>
          <w:spacing w:val="-4"/>
        </w:rPr>
        <w:t>and</w:t>
      </w:r>
      <w:r>
        <w:rPr>
          <w:spacing w:val="-13"/>
        </w:rPr>
        <w:t> </w:t>
      </w:r>
      <w:r>
        <w:rPr>
          <w:spacing w:val="-6"/>
        </w:rPr>
        <w:t>affordable</w:t>
      </w:r>
      <w:r>
        <w:rPr>
          <w:spacing w:val="-14"/>
        </w:rPr>
        <w:t> </w:t>
      </w:r>
      <w:r>
        <w:rPr>
          <w:spacing w:val="-6"/>
        </w:rPr>
        <w:t>dwelling</w:t>
      </w:r>
      <w:r>
        <w:rPr>
          <w:spacing w:val="-13"/>
        </w:rPr>
        <w:t> </w:t>
      </w:r>
      <w:r>
        <w:rPr>
          <w:spacing w:val="-6"/>
        </w:rPr>
        <w:t>units.</w:t>
      </w:r>
    </w:p>
    <w:p>
      <w:pPr>
        <w:pStyle w:val="BodyText"/>
        <w:spacing w:line="252" w:lineRule="auto"/>
        <w:ind w:left="107" w:right="122" w:firstLine="199"/>
        <w:jc w:val="both"/>
      </w:pPr>
      <w:r>
        <w:rPr/>
        <w:t>The</w:t>
      </w:r>
      <w:r>
        <w:rPr>
          <w:spacing w:val="-9"/>
        </w:rPr>
        <w:t> </w:t>
      </w:r>
      <w:r>
        <w:rPr/>
        <w:t>economic,</w:t>
      </w:r>
      <w:r>
        <w:rPr>
          <w:spacing w:val="-9"/>
        </w:rPr>
        <w:t> </w:t>
      </w:r>
      <w:r>
        <w:rPr/>
        <w:t>welfare</w:t>
      </w:r>
      <w:r>
        <w:rPr>
          <w:spacing w:val="-9"/>
        </w:rPr>
        <w:t> </w:t>
      </w:r>
      <w:r>
        <w:rPr/>
        <w:t>state,</w:t>
      </w:r>
      <w:r>
        <w:rPr>
          <w:spacing w:val="-9"/>
        </w:rPr>
        <w:t> </w:t>
      </w:r>
      <w:r>
        <w:rPr/>
        <w:t>and</w:t>
      </w:r>
      <w:r>
        <w:rPr>
          <w:spacing w:val="-9"/>
        </w:rPr>
        <w:t> </w:t>
      </w:r>
      <w:r>
        <w:rPr/>
        <w:t>demographic</w:t>
      </w:r>
      <w:r>
        <w:rPr>
          <w:spacing w:val="-8"/>
        </w:rPr>
        <w:t> </w:t>
      </w:r>
      <w:r>
        <w:rPr/>
        <w:t>context</w:t>
      </w:r>
      <w:r>
        <w:rPr>
          <w:spacing w:val="-9"/>
        </w:rPr>
        <w:t> </w:t>
      </w:r>
      <w:r>
        <w:rPr/>
        <w:t>underlay</w:t>
      </w:r>
      <w:r>
        <w:rPr>
          <w:spacing w:val="-9"/>
        </w:rPr>
        <w:t> </w:t>
      </w:r>
      <w:r>
        <w:rPr/>
        <w:t>the</w:t>
      </w:r>
      <w:r>
        <w:rPr>
          <w:spacing w:val="-9"/>
        </w:rPr>
        <w:t> </w:t>
      </w:r>
      <w:r>
        <w:rPr/>
        <w:t>emergence of</w:t>
      </w:r>
      <w:r>
        <w:rPr>
          <w:spacing w:val="-18"/>
        </w:rPr>
        <w:t> </w:t>
      </w:r>
      <w:r>
        <w:rPr/>
        <w:t>a</w:t>
      </w:r>
      <w:r>
        <w:rPr>
          <w:spacing w:val="-17"/>
        </w:rPr>
        <w:t> </w:t>
      </w:r>
      <w:r>
        <w:rPr/>
        <w:t>regional</w:t>
      </w:r>
      <w:r>
        <w:rPr>
          <w:spacing w:val="-18"/>
        </w:rPr>
        <w:t> </w:t>
      </w:r>
      <w:r>
        <w:rPr/>
        <w:t>population</w:t>
      </w:r>
      <w:r>
        <w:rPr>
          <w:spacing w:val="-17"/>
        </w:rPr>
        <w:t> </w:t>
      </w:r>
      <w:r>
        <w:rPr/>
        <w:t>characterized</w:t>
      </w:r>
      <w:r>
        <w:rPr>
          <w:spacing w:val="-18"/>
        </w:rPr>
        <w:t> </w:t>
      </w:r>
      <w:r>
        <w:rPr/>
        <w:t>by</w:t>
      </w:r>
      <w:r>
        <w:rPr>
          <w:spacing w:val="-17"/>
        </w:rPr>
        <w:t> </w:t>
      </w:r>
      <w:r>
        <w:rPr/>
        <w:t>deepening</w:t>
      </w:r>
      <w:r>
        <w:rPr>
          <w:spacing w:val="-18"/>
        </w:rPr>
        <w:t> </w:t>
      </w:r>
      <w:r>
        <w:rPr/>
        <w:t>social</w:t>
      </w:r>
      <w:r>
        <w:rPr>
          <w:spacing w:val="-17"/>
        </w:rPr>
        <w:t> </w:t>
      </w:r>
      <w:r>
        <w:rPr/>
        <w:t>and</w:t>
      </w:r>
      <w:r>
        <w:rPr>
          <w:spacing w:val="-18"/>
        </w:rPr>
        <w:t> </w:t>
      </w:r>
      <w:r>
        <w:rPr/>
        <w:t>economic</w:t>
      </w:r>
      <w:r>
        <w:rPr>
          <w:spacing w:val="-17"/>
        </w:rPr>
        <w:t> </w:t>
      </w:r>
      <w:r>
        <w:rPr/>
        <w:t>polariza- tion.</w:t>
      </w:r>
      <w:r>
        <w:rPr>
          <w:spacing w:val="-17"/>
        </w:rPr>
        <w:t> </w:t>
      </w:r>
      <w:r>
        <w:rPr/>
        <w:t>The</w:t>
      </w:r>
      <w:r>
        <w:rPr>
          <w:spacing w:val="-13"/>
        </w:rPr>
        <w:t> </w:t>
      </w:r>
      <w:r>
        <w:rPr/>
        <w:t>implications</w:t>
      </w:r>
      <w:r>
        <w:rPr>
          <w:spacing w:val="-13"/>
        </w:rPr>
        <w:t> </w:t>
      </w:r>
      <w:r>
        <w:rPr/>
        <w:t>of</w:t>
      </w:r>
      <w:r>
        <w:rPr>
          <w:spacing w:val="-13"/>
        </w:rPr>
        <w:t> </w:t>
      </w:r>
      <w:r>
        <w:rPr/>
        <w:t>this</w:t>
      </w:r>
      <w:r>
        <w:rPr>
          <w:spacing w:val="-13"/>
        </w:rPr>
        <w:t> </w:t>
      </w:r>
      <w:r>
        <w:rPr/>
        <w:t>situation</w:t>
      </w:r>
      <w:r>
        <w:rPr>
          <w:spacing w:val="-13"/>
        </w:rPr>
        <w:t> </w:t>
      </w:r>
      <w:r>
        <w:rPr/>
        <w:t>for</w:t>
      </w:r>
      <w:r>
        <w:rPr>
          <w:spacing w:val="-13"/>
        </w:rPr>
        <w:t> </w:t>
      </w:r>
      <w:r>
        <w:rPr/>
        <w:t>housing</w:t>
      </w:r>
      <w:r>
        <w:rPr>
          <w:spacing w:val="-13"/>
        </w:rPr>
        <w:t> </w:t>
      </w:r>
      <w:r>
        <w:rPr/>
        <w:t>status,</w:t>
      </w:r>
      <w:r>
        <w:rPr>
          <w:spacing w:val="-13"/>
        </w:rPr>
        <w:t> </w:t>
      </w:r>
      <w:r>
        <w:rPr/>
        <w:t>however,</w:t>
      </w:r>
      <w:r>
        <w:rPr>
          <w:spacing w:val="-13"/>
        </w:rPr>
        <w:t> </w:t>
      </w:r>
      <w:r>
        <w:rPr/>
        <w:t>was</w:t>
      </w:r>
      <w:r>
        <w:rPr>
          <w:spacing w:val="-13"/>
        </w:rPr>
        <w:t> </w:t>
      </w:r>
      <w:r>
        <w:rPr/>
        <w:t>dependent upon the </w:t>
      </w:r>
      <w:r>
        <w:rPr>
          <w:i/>
        </w:rPr>
        <w:t>housing supply </w:t>
      </w:r>
      <w:r>
        <w:rPr/>
        <w:t>side of the equation. Here, </w:t>
      </w:r>
      <w:r>
        <w:rPr>
          <w:i/>
        </w:rPr>
        <w:t>federal commitments </w:t>
      </w:r>
      <w:r>
        <w:rPr>
          <w:spacing w:val="-8"/>
        </w:rPr>
        <w:t>to </w:t>
      </w:r>
      <w:r>
        <w:rPr/>
        <w:t>produce affordable housing stagnated; increases in rent vouchers did not match growth in eligibility and did nothing to increase production </w:t>
      </w:r>
      <w:r>
        <w:rPr>
          <w:spacing w:val="-3"/>
        </w:rPr>
        <w:t>(Wolch </w:t>
      </w:r>
      <w:r>
        <w:rPr/>
        <w:t>and Dear, 1993).</w:t>
      </w:r>
      <w:r>
        <w:rPr>
          <w:spacing w:val="-4"/>
        </w:rPr>
        <w:t> </w:t>
      </w:r>
      <w:r>
        <w:rPr/>
        <w:t>In</w:t>
      </w:r>
      <w:r>
        <w:rPr>
          <w:spacing w:val="-4"/>
        </w:rPr>
        <w:t> </w:t>
      </w:r>
      <w:r>
        <w:rPr/>
        <w:t>Los</w:t>
      </w:r>
      <w:r>
        <w:rPr>
          <w:spacing w:val="-15"/>
        </w:rPr>
        <w:t> </w:t>
      </w:r>
      <w:r>
        <w:rPr/>
        <w:t>Angeles,</w:t>
      </w:r>
      <w:r>
        <w:rPr>
          <w:spacing w:val="-4"/>
        </w:rPr>
        <w:t> </w:t>
      </w:r>
      <w:r>
        <w:rPr/>
        <w:t>there</w:t>
      </w:r>
      <w:r>
        <w:rPr>
          <w:spacing w:val="-3"/>
        </w:rPr>
        <w:t> </w:t>
      </w:r>
      <w:r>
        <w:rPr/>
        <w:t>was</w:t>
      </w:r>
      <w:r>
        <w:rPr>
          <w:spacing w:val="-4"/>
        </w:rPr>
        <w:t> </w:t>
      </w:r>
      <w:r>
        <w:rPr/>
        <w:t>virtually</w:t>
      </w:r>
      <w:r>
        <w:rPr>
          <w:spacing w:val="-4"/>
        </w:rPr>
        <w:t> </w:t>
      </w:r>
      <w:r>
        <w:rPr/>
        <w:t>no</w:t>
      </w:r>
      <w:r>
        <w:rPr>
          <w:spacing w:val="-4"/>
        </w:rPr>
        <w:t> </w:t>
      </w:r>
      <w:r>
        <w:rPr/>
        <w:t>new</w:t>
      </w:r>
      <w:r>
        <w:rPr>
          <w:spacing w:val="-4"/>
        </w:rPr>
        <w:t> </w:t>
      </w:r>
      <w:r>
        <w:rPr/>
        <w:t>public</w:t>
      </w:r>
      <w:r>
        <w:rPr>
          <w:spacing w:val="-3"/>
        </w:rPr>
        <w:t> </w:t>
      </w:r>
      <w:r>
        <w:rPr/>
        <w:t>housing</w:t>
      </w:r>
      <w:r>
        <w:rPr>
          <w:spacing w:val="-4"/>
        </w:rPr>
        <w:t> </w:t>
      </w:r>
      <w:r>
        <w:rPr/>
        <w:t>built</w:t>
      </w:r>
      <w:r>
        <w:rPr>
          <w:spacing w:val="-4"/>
        </w:rPr>
        <w:t> </w:t>
      </w:r>
      <w:r>
        <w:rPr/>
        <w:t>during</w:t>
      </w:r>
      <w:r>
        <w:rPr>
          <w:spacing w:val="-4"/>
        </w:rPr>
        <w:t> </w:t>
      </w:r>
      <w:r>
        <w:rPr>
          <w:spacing w:val="-5"/>
        </w:rPr>
        <w:t>the </w:t>
      </w:r>
      <w:r>
        <w:rPr/>
        <w:t>1980s, and vouchers were mostly a moot issue. The federal voucher program phone application system was closed down in 1986 because the waiting list was several</w:t>
      </w:r>
      <w:r>
        <w:rPr>
          <w:spacing w:val="-11"/>
        </w:rPr>
        <w:t> </w:t>
      </w:r>
      <w:r>
        <w:rPr/>
        <w:t>years</w:t>
      </w:r>
      <w:r>
        <w:rPr>
          <w:spacing w:val="-11"/>
        </w:rPr>
        <w:t> </w:t>
      </w:r>
      <w:r>
        <w:rPr/>
        <w:t>long;</w:t>
      </w:r>
      <w:r>
        <w:rPr>
          <w:spacing w:val="-11"/>
        </w:rPr>
        <w:t> </w:t>
      </w:r>
      <w:r>
        <w:rPr/>
        <w:t>reopened</w:t>
      </w:r>
      <w:r>
        <w:rPr>
          <w:spacing w:val="-11"/>
        </w:rPr>
        <w:t> </w:t>
      </w:r>
      <w:r>
        <w:rPr/>
        <w:t>in</w:t>
      </w:r>
      <w:r>
        <w:rPr>
          <w:spacing w:val="-10"/>
        </w:rPr>
        <w:t> </w:t>
      </w:r>
      <w:r>
        <w:rPr/>
        <w:t>1989,</w:t>
      </w:r>
      <w:r>
        <w:rPr>
          <w:spacing w:val="-11"/>
        </w:rPr>
        <w:t> </w:t>
      </w:r>
      <w:r>
        <w:rPr/>
        <w:t>it</w:t>
      </w:r>
      <w:r>
        <w:rPr>
          <w:spacing w:val="-11"/>
        </w:rPr>
        <w:t> </w:t>
      </w:r>
      <w:r>
        <w:rPr/>
        <w:t>shut</w:t>
      </w:r>
      <w:r>
        <w:rPr>
          <w:spacing w:val="-11"/>
        </w:rPr>
        <w:t> </w:t>
      </w:r>
      <w:r>
        <w:rPr/>
        <w:t>after</w:t>
      </w:r>
      <w:r>
        <w:rPr>
          <w:spacing w:val="-10"/>
        </w:rPr>
        <w:t> </w:t>
      </w:r>
      <w:r>
        <w:rPr/>
        <w:t>4</w:t>
      </w:r>
      <w:r>
        <w:rPr>
          <w:spacing w:val="-11"/>
        </w:rPr>
        <w:t> </w:t>
      </w:r>
      <w:r>
        <w:rPr/>
        <w:t>days</w:t>
      </w:r>
      <w:r>
        <w:rPr>
          <w:spacing w:val="-11"/>
        </w:rPr>
        <w:t> </w:t>
      </w:r>
      <w:r>
        <w:rPr/>
        <w:t>and</w:t>
      </w:r>
      <w:r>
        <w:rPr>
          <w:spacing w:val="-11"/>
        </w:rPr>
        <w:t> </w:t>
      </w:r>
      <w:r>
        <w:rPr/>
        <w:t>180,000</w:t>
      </w:r>
      <w:r>
        <w:rPr>
          <w:spacing w:val="-10"/>
        </w:rPr>
        <w:t> </w:t>
      </w:r>
      <w:r>
        <w:rPr/>
        <w:t>calls</w:t>
      </w:r>
      <w:r>
        <w:rPr>
          <w:spacing w:val="-11"/>
        </w:rPr>
        <w:t> </w:t>
      </w:r>
      <w:r>
        <w:rPr>
          <w:spacing w:val="-3"/>
        </w:rPr>
        <w:t>(Wolch </w:t>
      </w:r>
      <w:r>
        <w:rPr/>
        <w:t>and Dear, 1993). In addition, affordable units were eliminated from the housing stock through </w:t>
      </w:r>
      <w:r>
        <w:rPr>
          <w:i/>
        </w:rPr>
        <w:t>gentrification </w:t>
      </w:r>
      <w:r>
        <w:rPr/>
        <w:t>and </w:t>
      </w:r>
      <w:r>
        <w:rPr>
          <w:i/>
        </w:rPr>
        <w:t>urban renewal </w:t>
      </w:r>
      <w:r>
        <w:rPr/>
        <w:t>in region’s central cities, </w:t>
      </w:r>
      <w:r>
        <w:rPr>
          <w:spacing w:val="-3"/>
        </w:rPr>
        <w:t>while </w:t>
      </w:r>
      <w:r>
        <w:rPr>
          <w:i/>
        </w:rPr>
        <w:t>exclusionary local land use policies </w:t>
      </w:r>
      <w:r>
        <w:rPr/>
        <w:t>and </w:t>
      </w:r>
      <w:r>
        <w:rPr>
          <w:i/>
        </w:rPr>
        <w:t>community opposition </w:t>
      </w:r>
      <w:r>
        <w:rPr/>
        <w:t>in the </w:t>
      </w:r>
      <w:r>
        <w:rPr>
          <w:spacing w:val="-3"/>
        </w:rPr>
        <w:t>suburbs </w:t>
      </w:r>
      <w:r>
        <w:rPr/>
        <w:t>slowed</w:t>
      </w:r>
      <w:r>
        <w:rPr>
          <w:spacing w:val="-12"/>
        </w:rPr>
        <w:t> </w:t>
      </w:r>
      <w:r>
        <w:rPr/>
        <w:t>the</w:t>
      </w:r>
      <w:r>
        <w:rPr>
          <w:spacing w:val="-12"/>
        </w:rPr>
        <w:t> </w:t>
      </w:r>
      <w:r>
        <w:rPr/>
        <w:t>pace</w:t>
      </w:r>
      <w:r>
        <w:rPr>
          <w:spacing w:val="-12"/>
        </w:rPr>
        <w:t> </w:t>
      </w:r>
      <w:r>
        <w:rPr/>
        <w:t>of</w:t>
      </w:r>
      <w:r>
        <w:rPr>
          <w:spacing w:val="-12"/>
        </w:rPr>
        <w:t> </w:t>
      </w:r>
      <w:r>
        <w:rPr/>
        <w:t>affordable</w:t>
      </w:r>
      <w:r>
        <w:rPr>
          <w:spacing w:val="-11"/>
        </w:rPr>
        <w:t> </w:t>
      </w:r>
      <w:r>
        <w:rPr/>
        <w:t>construction.</w:t>
      </w:r>
      <w:r>
        <w:rPr>
          <w:spacing w:val="-12"/>
        </w:rPr>
        <w:t> </w:t>
      </w:r>
      <w:r>
        <w:rPr/>
        <w:t>In</w:t>
      </w:r>
      <w:r>
        <w:rPr>
          <w:spacing w:val="-12"/>
        </w:rPr>
        <w:t> </w:t>
      </w:r>
      <w:r>
        <w:rPr/>
        <w:t>general,</w:t>
      </w:r>
      <w:r>
        <w:rPr>
          <w:spacing w:val="-12"/>
        </w:rPr>
        <w:t> </w:t>
      </w:r>
      <w:r>
        <w:rPr/>
        <w:t>patterns</w:t>
      </w:r>
      <w:r>
        <w:rPr>
          <w:spacing w:val="-11"/>
        </w:rPr>
        <w:t> </w:t>
      </w:r>
      <w:r>
        <w:rPr/>
        <w:t>of</w:t>
      </w:r>
      <w:r>
        <w:rPr>
          <w:spacing w:val="-11"/>
        </w:rPr>
        <w:t> </w:t>
      </w:r>
      <w:r>
        <w:rPr>
          <w:i/>
        </w:rPr>
        <w:t>demolitions</w:t>
      </w:r>
      <w:r>
        <w:rPr>
          <w:i/>
          <w:spacing w:val="-12"/>
        </w:rPr>
        <w:t> </w:t>
      </w:r>
      <w:r>
        <w:rPr>
          <w:i/>
          <w:spacing w:val="-4"/>
        </w:rPr>
        <w:t>and </w:t>
      </w:r>
      <w:r>
        <w:rPr>
          <w:i/>
        </w:rPr>
        <w:t>new construction </w:t>
      </w:r>
      <w:r>
        <w:rPr/>
        <w:t>meant that small, older, affordable units were lost and </w:t>
      </w:r>
      <w:r>
        <w:rPr>
          <w:spacing w:val="-3"/>
        </w:rPr>
        <w:t>more </w:t>
      </w:r>
      <w:r>
        <w:rPr/>
        <w:t>up-scale units were built (Heilman, 1989). In the areas with the largest</w:t>
      </w:r>
      <w:r>
        <w:rPr>
          <w:spacing w:val="31"/>
        </w:rPr>
        <w:t> </w:t>
      </w:r>
      <w:r>
        <w:rPr/>
        <w:t>increases</w:t>
      </w:r>
    </w:p>
    <w:p>
      <w:pPr>
        <w:spacing w:after="0" w:line="252" w:lineRule="auto"/>
        <w:jc w:val="both"/>
        <w:sectPr>
          <w:pgSz w:w="7120" w:h="11820"/>
          <w:pgMar w:header="294" w:footer="0" w:top="500" w:bottom="280" w:left="260" w:right="160"/>
        </w:sectPr>
      </w:pPr>
    </w:p>
    <w:p>
      <w:pPr>
        <w:pStyle w:val="BodyText"/>
        <w:spacing w:before="5"/>
        <w:rPr>
          <w:sz w:val="25"/>
        </w:rPr>
      </w:pPr>
    </w:p>
    <w:p>
      <w:pPr>
        <w:pStyle w:val="BodyText"/>
        <w:ind w:left="240"/>
      </w:pPr>
      <w:r>
        <w:rPr/>
        <w:drawing>
          <wp:inline distT="0" distB="0" distL="0" distR="0">
            <wp:extent cx="3946645" cy="197738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3946645" cy="1977389"/>
                    </a:xfrm>
                    <a:prstGeom prst="rect">
                      <a:avLst/>
                    </a:prstGeom>
                  </pic:spPr>
                </pic:pic>
              </a:graphicData>
            </a:graphic>
          </wp:inline>
        </w:drawing>
      </w:r>
      <w:r>
        <w:rPr/>
      </w:r>
    </w:p>
    <w:p>
      <w:pPr>
        <w:spacing w:line="259" w:lineRule="auto" w:before="89"/>
        <w:ind w:left="107" w:right="0" w:firstLine="159"/>
        <w:jc w:val="left"/>
        <w:rPr>
          <w:sz w:val="16"/>
        </w:rPr>
      </w:pPr>
      <w:r>
        <w:rPr>
          <w:sz w:val="16"/>
        </w:rPr>
        <w:t>F</w:t>
      </w:r>
      <w:r>
        <w:rPr>
          <w:sz w:val="12"/>
        </w:rPr>
        <w:t>IG</w:t>
      </w:r>
      <w:r>
        <w:rPr>
          <w:sz w:val="16"/>
        </w:rPr>
        <w:t>. 1. Percentage who were householders or spouses of householders in Los Angeles County by age: 1980 and 1990.</w:t>
      </w:r>
    </w:p>
    <w:p>
      <w:pPr>
        <w:pStyle w:val="BodyText"/>
      </w:pPr>
    </w:p>
    <w:p>
      <w:pPr>
        <w:pStyle w:val="BodyText"/>
        <w:spacing w:before="8"/>
        <w:rPr>
          <w:sz w:val="21"/>
        </w:rPr>
      </w:pPr>
    </w:p>
    <w:p>
      <w:pPr>
        <w:pStyle w:val="BodyText"/>
        <w:spacing w:line="249" w:lineRule="auto" w:before="91"/>
        <w:ind w:left="107" w:right="123"/>
        <w:jc w:val="both"/>
      </w:pPr>
      <w:r>
        <w:rPr/>
        <w:t>in</w:t>
      </w:r>
      <w:r>
        <w:rPr>
          <w:spacing w:val="-9"/>
        </w:rPr>
        <w:t> </w:t>
      </w:r>
      <w:r>
        <w:rPr/>
        <w:t>poor</w:t>
      </w:r>
      <w:r>
        <w:rPr>
          <w:spacing w:val="-9"/>
        </w:rPr>
        <w:t> </w:t>
      </w:r>
      <w:r>
        <w:rPr/>
        <w:t>population,</w:t>
      </w:r>
      <w:r>
        <w:rPr>
          <w:spacing w:val="-9"/>
        </w:rPr>
        <w:t> </w:t>
      </w:r>
      <w:r>
        <w:rPr/>
        <w:t>numbers</w:t>
      </w:r>
      <w:r>
        <w:rPr>
          <w:spacing w:val="-9"/>
        </w:rPr>
        <w:t> </w:t>
      </w:r>
      <w:r>
        <w:rPr/>
        <w:t>of</w:t>
      </w:r>
      <w:r>
        <w:rPr>
          <w:spacing w:val="-9"/>
        </w:rPr>
        <w:t> </w:t>
      </w:r>
      <w:r>
        <w:rPr/>
        <w:t>housing</w:t>
      </w:r>
      <w:r>
        <w:rPr>
          <w:spacing w:val="-9"/>
        </w:rPr>
        <w:t> </w:t>
      </w:r>
      <w:r>
        <w:rPr/>
        <w:t>units</w:t>
      </w:r>
      <w:r>
        <w:rPr>
          <w:spacing w:val="-9"/>
        </w:rPr>
        <w:t> </w:t>
      </w:r>
      <w:r>
        <w:rPr/>
        <w:t>stagnated</w:t>
      </w:r>
      <w:r>
        <w:rPr>
          <w:spacing w:val="-9"/>
        </w:rPr>
        <w:t> </w:t>
      </w:r>
      <w:r>
        <w:rPr/>
        <w:t>or</w:t>
      </w:r>
      <w:r>
        <w:rPr>
          <w:spacing w:val="-9"/>
        </w:rPr>
        <w:t> </w:t>
      </w:r>
      <w:r>
        <w:rPr/>
        <w:t>actually</w:t>
      </w:r>
      <w:r>
        <w:rPr>
          <w:spacing w:val="-9"/>
        </w:rPr>
        <w:t> </w:t>
      </w:r>
      <w:r>
        <w:rPr/>
        <w:t>fell.</w:t>
      </w:r>
      <w:r>
        <w:rPr>
          <w:spacing w:val="-8"/>
        </w:rPr>
        <w:t> </w:t>
      </w:r>
      <w:r>
        <w:rPr/>
        <w:t>In</w:t>
      </w:r>
      <w:r>
        <w:rPr>
          <w:spacing w:val="-9"/>
        </w:rPr>
        <w:t> </w:t>
      </w:r>
      <w:r>
        <w:rPr/>
        <w:t>the</w:t>
      </w:r>
      <w:r>
        <w:rPr>
          <w:spacing w:val="-9"/>
        </w:rPr>
        <w:t> </w:t>
      </w:r>
      <w:r>
        <w:rPr>
          <w:spacing w:val="-4"/>
        </w:rPr>
        <w:t>City </w:t>
      </w:r>
      <w:r>
        <w:rPr/>
        <w:t>of Los Angeles, for example, population grew by 135,000 between 1990 </w:t>
      </w:r>
      <w:r>
        <w:rPr>
          <w:spacing w:val="-4"/>
        </w:rPr>
        <w:t>and </w:t>
      </w:r>
      <w:r>
        <w:rPr/>
        <w:t>1994, during which time only 18,500 additional housing units were added to the stock (City of Los Angeles, 1995). The result was rapid </w:t>
      </w:r>
      <w:r>
        <w:rPr>
          <w:i/>
        </w:rPr>
        <w:t>price/rent escalation. </w:t>
      </w:r>
      <w:r>
        <w:rPr/>
        <w:t>Overall,</w:t>
      </w:r>
      <w:r>
        <w:rPr>
          <w:spacing w:val="-5"/>
        </w:rPr>
        <w:t> </w:t>
      </w:r>
      <w:r>
        <w:rPr/>
        <w:t>in</w:t>
      </w:r>
      <w:r>
        <w:rPr>
          <w:spacing w:val="-5"/>
        </w:rPr>
        <w:t> </w:t>
      </w:r>
      <w:r>
        <w:rPr/>
        <w:t>real</w:t>
      </w:r>
      <w:r>
        <w:rPr>
          <w:spacing w:val="-5"/>
        </w:rPr>
        <w:t> </w:t>
      </w:r>
      <w:r>
        <w:rPr/>
        <w:t>terms,</w:t>
      </w:r>
      <w:r>
        <w:rPr>
          <w:spacing w:val="-5"/>
        </w:rPr>
        <w:t> </w:t>
      </w:r>
      <w:r>
        <w:rPr/>
        <w:t>Los</w:t>
      </w:r>
      <w:r>
        <w:rPr>
          <w:spacing w:val="-16"/>
        </w:rPr>
        <w:t> </w:t>
      </w:r>
      <w:r>
        <w:rPr/>
        <w:t>Angeles</w:t>
      </w:r>
      <w:r>
        <w:rPr>
          <w:spacing w:val="-5"/>
        </w:rPr>
        <w:t> </w:t>
      </w:r>
      <w:r>
        <w:rPr/>
        <w:t>County</w:t>
      </w:r>
      <w:r>
        <w:rPr>
          <w:spacing w:val="-5"/>
        </w:rPr>
        <w:t> </w:t>
      </w:r>
      <w:r>
        <w:rPr/>
        <w:t>rents</w:t>
      </w:r>
      <w:r>
        <w:rPr>
          <w:spacing w:val="-5"/>
        </w:rPr>
        <w:t> </w:t>
      </w:r>
      <w:r>
        <w:rPr/>
        <w:t>rose</w:t>
      </w:r>
      <w:r>
        <w:rPr>
          <w:spacing w:val="-5"/>
        </w:rPr>
        <w:t> </w:t>
      </w:r>
      <w:r>
        <w:rPr/>
        <w:t>over</w:t>
      </w:r>
      <w:r>
        <w:rPr>
          <w:spacing w:val="-5"/>
        </w:rPr>
        <w:t> </w:t>
      </w:r>
      <w:r>
        <w:rPr/>
        <w:t>50%</w:t>
      </w:r>
      <w:r>
        <w:rPr>
          <w:spacing w:val="-5"/>
        </w:rPr>
        <w:t> </w:t>
      </w:r>
      <w:r>
        <w:rPr/>
        <w:t>during</w:t>
      </w:r>
      <w:r>
        <w:rPr>
          <w:spacing w:val="-5"/>
        </w:rPr>
        <w:t> </w:t>
      </w:r>
      <w:r>
        <w:rPr/>
        <w:t>the</w:t>
      </w:r>
      <w:r>
        <w:rPr>
          <w:spacing w:val="-5"/>
        </w:rPr>
        <w:t> </w:t>
      </w:r>
      <w:r>
        <w:rPr/>
        <w:t>1980s, and</w:t>
      </w:r>
      <w:r>
        <w:rPr>
          <w:spacing w:val="-5"/>
        </w:rPr>
        <w:t> </w:t>
      </w:r>
      <w:r>
        <w:rPr/>
        <w:t>regional</w:t>
      </w:r>
      <w:r>
        <w:rPr>
          <w:spacing w:val="-5"/>
        </w:rPr>
        <w:t> </w:t>
      </w:r>
      <w:r>
        <w:rPr/>
        <w:t>house</w:t>
      </w:r>
      <w:r>
        <w:rPr>
          <w:spacing w:val="-4"/>
        </w:rPr>
        <w:t> </w:t>
      </w:r>
      <w:r>
        <w:rPr/>
        <w:t>prices,</w:t>
      </w:r>
      <w:r>
        <w:rPr>
          <w:spacing w:val="-5"/>
        </w:rPr>
        <w:t> </w:t>
      </w:r>
      <w:r>
        <w:rPr/>
        <w:t>equal</w:t>
      </w:r>
      <w:r>
        <w:rPr>
          <w:spacing w:val="-5"/>
        </w:rPr>
        <w:t> </w:t>
      </w:r>
      <w:r>
        <w:rPr/>
        <w:t>to</w:t>
      </w:r>
      <w:r>
        <w:rPr>
          <w:spacing w:val="-4"/>
        </w:rPr>
        <w:t> </w:t>
      </w:r>
      <w:r>
        <w:rPr/>
        <w:t>the</w:t>
      </w:r>
      <w:r>
        <w:rPr>
          <w:spacing w:val="-5"/>
        </w:rPr>
        <w:t> </w:t>
      </w:r>
      <w:r>
        <w:rPr/>
        <w:t>national</w:t>
      </w:r>
      <w:r>
        <w:rPr>
          <w:spacing w:val="-5"/>
        </w:rPr>
        <w:t> </w:t>
      </w:r>
      <w:r>
        <w:rPr/>
        <w:t>average</w:t>
      </w:r>
      <w:r>
        <w:rPr>
          <w:spacing w:val="-4"/>
        </w:rPr>
        <w:t> </w:t>
      </w:r>
      <w:r>
        <w:rPr/>
        <w:t>in</w:t>
      </w:r>
      <w:r>
        <w:rPr>
          <w:spacing w:val="-5"/>
        </w:rPr>
        <w:t> </w:t>
      </w:r>
      <w:r>
        <w:rPr/>
        <w:t>1974,</w:t>
      </w:r>
      <w:r>
        <w:rPr>
          <w:spacing w:val="-4"/>
        </w:rPr>
        <w:t> </w:t>
      </w:r>
      <w:r>
        <w:rPr/>
        <w:t>were</w:t>
      </w:r>
      <w:r>
        <w:rPr>
          <w:spacing w:val="-5"/>
        </w:rPr>
        <w:t> </w:t>
      </w:r>
      <w:r>
        <w:rPr/>
        <w:t>55%</w:t>
      </w:r>
      <w:r>
        <w:rPr>
          <w:spacing w:val="-5"/>
        </w:rPr>
        <w:t> </w:t>
      </w:r>
      <w:r>
        <w:rPr>
          <w:spacing w:val="-3"/>
        </w:rPr>
        <w:t>above </w:t>
      </w:r>
      <w:r>
        <w:rPr/>
        <w:t>that norm by the mid-1980s (Baer, 1986). Such price escalation</w:t>
      </w:r>
      <w:r>
        <w:rPr>
          <w:spacing w:val="22"/>
        </w:rPr>
        <w:t> </w:t>
      </w:r>
      <w:r>
        <w:rPr/>
        <w:t>effectively eliminated</w:t>
      </w:r>
      <w:r>
        <w:rPr>
          <w:spacing w:val="-12"/>
        </w:rPr>
        <w:t> </w:t>
      </w:r>
      <w:r>
        <w:rPr/>
        <w:t>low-cost</w:t>
      </w:r>
      <w:r>
        <w:rPr>
          <w:spacing w:val="-12"/>
        </w:rPr>
        <w:t> </w:t>
      </w:r>
      <w:r>
        <w:rPr/>
        <w:t>units.</w:t>
      </w:r>
      <w:r>
        <w:rPr>
          <w:spacing w:val="-11"/>
        </w:rPr>
        <w:t> </w:t>
      </w:r>
      <w:r>
        <w:rPr/>
        <w:t>Between</w:t>
      </w:r>
      <w:r>
        <w:rPr>
          <w:spacing w:val="-12"/>
        </w:rPr>
        <w:t> </w:t>
      </w:r>
      <w:r>
        <w:rPr/>
        <w:t>1974</w:t>
      </w:r>
      <w:r>
        <w:rPr>
          <w:spacing w:val="-11"/>
        </w:rPr>
        <w:t> </w:t>
      </w:r>
      <w:r>
        <w:rPr/>
        <w:t>and</w:t>
      </w:r>
      <w:r>
        <w:rPr>
          <w:spacing w:val="-12"/>
        </w:rPr>
        <w:t> </w:t>
      </w:r>
      <w:r>
        <w:rPr/>
        <w:t>1985,</w:t>
      </w:r>
      <w:r>
        <w:rPr>
          <w:spacing w:val="-11"/>
        </w:rPr>
        <w:t> </w:t>
      </w:r>
      <w:r>
        <w:rPr/>
        <w:t>the</w:t>
      </w:r>
      <w:r>
        <w:rPr>
          <w:spacing w:val="-12"/>
        </w:rPr>
        <w:t> </w:t>
      </w:r>
      <w:r>
        <w:rPr/>
        <w:t>number</w:t>
      </w:r>
      <w:r>
        <w:rPr>
          <w:spacing w:val="-11"/>
        </w:rPr>
        <w:t> </w:t>
      </w:r>
      <w:r>
        <w:rPr/>
        <w:t>of</w:t>
      </w:r>
      <w:r>
        <w:rPr>
          <w:spacing w:val="-12"/>
        </w:rPr>
        <w:t> </w:t>
      </w:r>
      <w:r>
        <w:rPr/>
        <w:t>affordable</w:t>
      </w:r>
      <w:r>
        <w:rPr>
          <w:spacing w:val="-12"/>
        </w:rPr>
        <w:t> </w:t>
      </w:r>
      <w:r>
        <w:rPr>
          <w:spacing w:val="-3"/>
        </w:rPr>
        <w:t>units </w:t>
      </w:r>
      <w:r>
        <w:rPr/>
        <w:t>fell by 42%; such units were 35% of the stock in 1974, but only 16% by 1985 (Research</w:t>
      </w:r>
      <w:r>
        <w:rPr>
          <w:spacing w:val="-5"/>
        </w:rPr>
        <w:t> </w:t>
      </w:r>
      <w:r>
        <w:rPr/>
        <w:t>Group</w:t>
      </w:r>
      <w:r>
        <w:rPr>
          <w:spacing w:val="-5"/>
        </w:rPr>
        <w:t> </w:t>
      </w:r>
      <w:r>
        <w:rPr/>
        <w:t>on</w:t>
      </w:r>
      <w:r>
        <w:rPr>
          <w:spacing w:val="-4"/>
        </w:rPr>
        <w:t> </w:t>
      </w:r>
      <w:r>
        <w:rPr/>
        <w:t>the</w:t>
      </w:r>
      <w:r>
        <w:rPr>
          <w:spacing w:val="-5"/>
        </w:rPr>
        <w:t> </w:t>
      </w:r>
      <w:r>
        <w:rPr/>
        <w:t>Los</w:t>
      </w:r>
      <w:r>
        <w:rPr>
          <w:spacing w:val="-15"/>
        </w:rPr>
        <w:t> </w:t>
      </w:r>
      <w:r>
        <w:rPr/>
        <w:t>Angeles</w:t>
      </w:r>
      <w:r>
        <w:rPr>
          <w:spacing w:val="-5"/>
        </w:rPr>
        <w:t> </w:t>
      </w:r>
      <w:r>
        <w:rPr/>
        <w:t>Economy,</w:t>
      </w:r>
      <w:r>
        <w:rPr>
          <w:spacing w:val="-4"/>
        </w:rPr>
        <w:t> </w:t>
      </w:r>
      <w:r>
        <w:rPr/>
        <w:t>1989,</w:t>
      </w:r>
      <w:r>
        <w:rPr>
          <w:spacing w:val="-5"/>
        </w:rPr>
        <w:t> </w:t>
      </w:r>
      <w:r>
        <w:rPr/>
        <w:t>p.</w:t>
      </w:r>
      <w:r>
        <w:rPr>
          <w:spacing w:val="-4"/>
        </w:rPr>
        <w:t> </w:t>
      </w:r>
      <w:r>
        <w:rPr/>
        <w:t>183).</w:t>
      </w:r>
    </w:p>
    <w:p>
      <w:pPr>
        <w:pStyle w:val="BodyText"/>
        <w:spacing w:before="10"/>
        <w:rPr>
          <w:sz w:val="29"/>
        </w:rPr>
      </w:pPr>
    </w:p>
    <w:p>
      <w:pPr>
        <w:pStyle w:val="BodyText"/>
        <w:spacing w:before="1"/>
        <w:ind w:left="1309"/>
        <w:rPr>
          <w:rFonts w:ascii="Helvetica"/>
        </w:rPr>
      </w:pPr>
      <w:r>
        <w:rPr>
          <w:rFonts w:ascii="Helvetica"/>
        </w:rPr>
        <w:t>CHANGES IN HOUSING CIRCUMSTANCES</w:t>
      </w:r>
    </w:p>
    <w:p>
      <w:pPr>
        <w:pStyle w:val="BodyText"/>
        <w:spacing w:line="249" w:lineRule="auto" w:before="87"/>
        <w:ind w:left="107" w:right="116" w:firstLine="199"/>
        <w:jc w:val="both"/>
      </w:pPr>
      <w:r>
        <w:rPr/>
        <w:t>Given</w:t>
      </w:r>
      <w:r>
        <w:rPr>
          <w:spacing w:val="-11"/>
        </w:rPr>
        <w:t> </w:t>
      </w:r>
      <w:r>
        <w:rPr/>
        <w:t>this</w:t>
      </w:r>
      <w:r>
        <w:rPr>
          <w:spacing w:val="-11"/>
        </w:rPr>
        <w:t> </w:t>
      </w:r>
      <w:r>
        <w:rPr/>
        <w:t>backdrop,</w:t>
      </w:r>
      <w:r>
        <w:rPr>
          <w:spacing w:val="-11"/>
        </w:rPr>
        <w:t> </w:t>
      </w:r>
      <w:r>
        <w:rPr/>
        <w:t>we</w:t>
      </w:r>
      <w:r>
        <w:rPr>
          <w:spacing w:val="-11"/>
        </w:rPr>
        <w:t> </w:t>
      </w:r>
      <w:r>
        <w:rPr/>
        <w:t>turn</w:t>
      </w:r>
      <w:r>
        <w:rPr>
          <w:spacing w:val="-11"/>
        </w:rPr>
        <w:t> </w:t>
      </w:r>
      <w:r>
        <w:rPr/>
        <w:t>to</w:t>
      </w:r>
      <w:r>
        <w:rPr>
          <w:spacing w:val="-11"/>
        </w:rPr>
        <w:t> </w:t>
      </w:r>
      <w:r>
        <w:rPr/>
        <w:t>the</w:t>
      </w:r>
      <w:r>
        <w:rPr>
          <w:spacing w:val="-11"/>
        </w:rPr>
        <w:t> </w:t>
      </w:r>
      <w:r>
        <w:rPr/>
        <w:t>PUMS</w:t>
      </w:r>
      <w:r>
        <w:rPr>
          <w:spacing w:val="-11"/>
        </w:rPr>
        <w:t> </w:t>
      </w:r>
      <w:r>
        <w:rPr/>
        <w:t>analysis</w:t>
      </w:r>
      <w:r>
        <w:rPr>
          <w:spacing w:val="-11"/>
        </w:rPr>
        <w:t> </w:t>
      </w:r>
      <w:r>
        <w:rPr/>
        <w:t>to</w:t>
      </w:r>
      <w:r>
        <w:rPr>
          <w:spacing w:val="-11"/>
        </w:rPr>
        <w:t> </w:t>
      </w:r>
      <w:r>
        <w:rPr/>
        <w:t>describe</w:t>
      </w:r>
      <w:r>
        <w:rPr>
          <w:spacing w:val="-11"/>
        </w:rPr>
        <w:t> </w:t>
      </w:r>
      <w:r>
        <w:rPr/>
        <w:t>how</w:t>
      </w:r>
      <w:r>
        <w:rPr>
          <w:spacing w:val="-11"/>
        </w:rPr>
        <w:t> </w:t>
      </w:r>
      <w:r>
        <w:rPr/>
        <w:t>these</w:t>
      </w:r>
      <w:r>
        <w:rPr>
          <w:spacing w:val="-11"/>
        </w:rPr>
        <w:t> </w:t>
      </w:r>
      <w:r>
        <w:rPr/>
        <w:t>broad economic,</w:t>
      </w:r>
      <w:r>
        <w:rPr>
          <w:spacing w:val="-19"/>
        </w:rPr>
        <w:t> </w:t>
      </w:r>
      <w:r>
        <w:rPr/>
        <w:t>demographic</w:t>
      </w:r>
      <w:r>
        <w:rPr>
          <w:spacing w:val="-18"/>
        </w:rPr>
        <w:t> </w:t>
      </w:r>
      <w:r>
        <w:rPr/>
        <w:t>and</w:t>
      </w:r>
      <w:r>
        <w:rPr>
          <w:spacing w:val="-18"/>
        </w:rPr>
        <w:t> </w:t>
      </w:r>
      <w:r>
        <w:rPr/>
        <w:t>housing</w:t>
      </w:r>
      <w:r>
        <w:rPr>
          <w:spacing w:val="-19"/>
        </w:rPr>
        <w:t> </w:t>
      </w:r>
      <w:r>
        <w:rPr/>
        <w:t>supply</w:t>
      </w:r>
      <w:r>
        <w:rPr>
          <w:spacing w:val="-18"/>
        </w:rPr>
        <w:t> </w:t>
      </w:r>
      <w:r>
        <w:rPr/>
        <w:t>trends</w:t>
      </w:r>
      <w:r>
        <w:rPr>
          <w:spacing w:val="-18"/>
        </w:rPr>
        <w:t> </w:t>
      </w:r>
      <w:r>
        <w:rPr/>
        <w:t>influenced</w:t>
      </w:r>
      <w:r>
        <w:rPr>
          <w:spacing w:val="-19"/>
        </w:rPr>
        <w:t> </w:t>
      </w:r>
      <w:r>
        <w:rPr/>
        <w:t>the</w:t>
      </w:r>
      <w:r>
        <w:rPr>
          <w:spacing w:val="-18"/>
        </w:rPr>
        <w:t> </w:t>
      </w:r>
      <w:r>
        <w:rPr/>
        <w:t>housing</w:t>
      </w:r>
      <w:r>
        <w:rPr>
          <w:spacing w:val="-19"/>
        </w:rPr>
        <w:t> </w:t>
      </w:r>
      <w:r>
        <w:rPr/>
        <w:t>circum- stances</w:t>
      </w:r>
      <w:r>
        <w:rPr>
          <w:spacing w:val="-5"/>
        </w:rPr>
        <w:t> </w:t>
      </w:r>
      <w:r>
        <w:rPr/>
        <w:t>of</w:t>
      </w:r>
      <w:r>
        <w:rPr>
          <w:spacing w:val="-4"/>
        </w:rPr>
        <w:t> </w:t>
      </w:r>
      <w:r>
        <w:rPr/>
        <w:t>people</w:t>
      </w:r>
      <w:r>
        <w:rPr>
          <w:spacing w:val="-4"/>
        </w:rPr>
        <w:t> </w:t>
      </w:r>
      <w:r>
        <w:rPr/>
        <w:t>in</w:t>
      </w:r>
      <w:r>
        <w:rPr>
          <w:spacing w:val="-5"/>
        </w:rPr>
        <w:t> </w:t>
      </w:r>
      <w:r>
        <w:rPr/>
        <w:t>Los</w:t>
      </w:r>
      <w:r>
        <w:rPr>
          <w:spacing w:val="-15"/>
        </w:rPr>
        <w:t> </w:t>
      </w:r>
      <w:r>
        <w:rPr/>
        <w:t>Angeles</w:t>
      </w:r>
      <w:r>
        <w:rPr>
          <w:spacing w:val="-4"/>
        </w:rPr>
        <w:t> </w:t>
      </w:r>
      <w:r>
        <w:rPr/>
        <w:t>County</w:t>
      </w:r>
      <w:r>
        <w:rPr>
          <w:spacing w:val="-4"/>
        </w:rPr>
        <w:t> </w:t>
      </w:r>
      <w:r>
        <w:rPr/>
        <w:t>between</w:t>
      </w:r>
      <w:r>
        <w:rPr>
          <w:spacing w:val="-5"/>
        </w:rPr>
        <w:t> </w:t>
      </w:r>
      <w:r>
        <w:rPr/>
        <w:t>1980</w:t>
      </w:r>
      <w:r>
        <w:rPr>
          <w:spacing w:val="-4"/>
        </w:rPr>
        <w:t> </w:t>
      </w:r>
      <w:r>
        <w:rPr/>
        <w:t>and</w:t>
      </w:r>
      <w:r>
        <w:rPr>
          <w:spacing w:val="-4"/>
        </w:rPr>
        <w:t> </w:t>
      </w:r>
      <w:r>
        <w:rPr/>
        <w:t>1990.</w:t>
      </w:r>
    </w:p>
    <w:p>
      <w:pPr>
        <w:pStyle w:val="BodyText"/>
        <w:spacing w:line="249" w:lineRule="auto" w:before="1"/>
        <w:ind w:left="107" w:right="124" w:firstLine="199"/>
        <w:jc w:val="both"/>
      </w:pPr>
      <w:r>
        <w:rPr>
          <w:i/>
        </w:rPr>
        <w:t>Changes in housing autonomy. </w:t>
      </w:r>
      <w:r>
        <w:rPr/>
        <w:t>Household formation rates determine </w:t>
      </w:r>
      <w:r>
        <w:rPr>
          <w:spacing w:val="-4"/>
        </w:rPr>
        <w:t>the </w:t>
      </w:r>
      <w:r>
        <w:rPr/>
        <w:t>proportion of </w:t>
      </w:r>
      <w:r>
        <w:rPr>
          <w:spacing w:val="-3"/>
        </w:rPr>
        <w:t>‘‘autonomous’’ </w:t>
      </w:r>
      <w:r>
        <w:rPr/>
        <w:t>individuals, namely those who are either indepen- dent householders living on their own, or the spouses of such </w:t>
      </w:r>
      <w:r>
        <w:rPr>
          <w:spacing w:val="-2"/>
        </w:rPr>
        <w:t>householders. </w:t>
      </w:r>
      <w:r>
        <w:rPr/>
        <w:t>During</w:t>
      </w:r>
      <w:r>
        <w:rPr>
          <w:spacing w:val="-7"/>
        </w:rPr>
        <w:t> </w:t>
      </w:r>
      <w:r>
        <w:rPr/>
        <w:t>the</w:t>
      </w:r>
      <w:r>
        <w:rPr>
          <w:spacing w:val="-6"/>
        </w:rPr>
        <w:t> </w:t>
      </w:r>
      <w:r>
        <w:rPr/>
        <w:t>1960s</w:t>
      </w:r>
      <w:r>
        <w:rPr>
          <w:spacing w:val="-6"/>
        </w:rPr>
        <w:t> </w:t>
      </w:r>
      <w:r>
        <w:rPr/>
        <w:t>and</w:t>
      </w:r>
      <w:r>
        <w:rPr>
          <w:spacing w:val="-6"/>
        </w:rPr>
        <w:t> </w:t>
      </w:r>
      <w:r>
        <w:rPr/>
        <w:t>1970s</w:t>
      </w:r>
      <w:r>
        <w:rPr>
          <w:spacing w:val="-6"/>
        </w:rPr>
        <w:t> </w:t>
      </w:r>
      <w:r>
        <w:rPr/>
        <w:t>in</w:t>
      </w:r>
      <w:r>
        <w:rPr>
          <w:spacing w:val="-6"/>
        </w:rPr>
        <w:t> </w:t>
      </w:r>
      <w:r>
        <w:rPr/>
        <w:t>the</w:t>
      </w:r>
      <w:r>
        <w:rPr>
          <w:spacing w:val="-6"/>
        </w:rPr>
        <w:t> </w:t>
      </w:r>
      <w:r>
        <w:rPr/>
        <w:t>United</w:t>
      </w:r>
      <w:r>
        <w:rPr>
          <w:spacing w:val="-6"/>
        </w:rPr>
        <w:t> </w:t>
      </w:r>
      <w:r>
        <w:rPr/>
        <w:t>States,</w:t>
      </w:r>
      <w:r>
        <w:rPr>
          <w:spacing w:val="-6"/>
        </w:rPr>
        <w:t> </w:t>
      </w:r>
      <w:r>
        <w:rPr/>
        <w:t>housing</w:t>
      </w:r>
      <w:r>
        <w:rPr>
          <w:spacing w:val="-6"/>
        </w:rPr>
        <w:t> </w:t>
      </w:r>
      <w:r>
        <w:rPr/>
        <w:t>autonomy</w:t>
      </w:r>
      <w:r>
        <w:rPr>
          <w:spacing w:val="-6"/>
        </w:rPr>
        <w:t> </w:t>
      </w:r>
      <w:r>
        <w:rPr/>
        <w:t>grew</w:t>
      </w:r>
      <w:r>
        <w:rPr>
          <w:spacing w:val="-6"/>
        </w:rPr>
        <w:t> </w:t>
      </w:r>
      <w:r>
        <w:rPr/>
        <w:t>rapidly as young people gained economic independence and were able to move into</w:t>
      </w:r>
      <w:r>
        <w:rPr>
          <w:spacing w:val="-34"/>
        </w:rPr>
        <w:t> </w:t>
      </w:r>
      <w:r>
        <w:rPr>
          <w:spacing w:val="-3"/>
        </w:rPr>
        <w:t>their </w:t>
      </w:r>
      <w:r>
        <w:rPr/>
        <w:t>own quarters. This pattern changed radically during the 1980s for the nation, </w:t>
      </w:r>
      <w:r>
        <w:rPr>
          <w:spacing w:val="-5"/>
        </w:rPr>
        <w:t>but </w:t>
      </w:r>
      <w:r>
        <w:rPr/>
        <w:t>even more so in Los Angeles, and starting from a slightly lower base (Fig. 1). In 1980, 73% of people in the 25- to 29-year-old age group lived autonomously, compared to 79% for the nation. This rate of autonomy fell to 56% by 1990, </w:t>
      </w:r>
      <w:r>
        <w:rPr>
          <w:spacing w:val="-13"/>
        </w:rPr>
        <w:t>a </w:t>
      </w:r>
      <w:r>
        <w:rPr/>
        <w:t>drop of almost 17 percentage points. In contrast, older people were more apt to remain</w:t>
      </w:r>
      <w:r>
        <w:rPr>
          <w:spacing w:val="22"/>
        </w:rPr>
        <w:t> </w:t>
      </w:r>
      <w:r>
        <w:rPr/>
        <w:t>in</w:t>
      </w:r>
      <w:r>
        <w:rPr>
          <w:spacing w:val="22"/>
        </w:rPr>
        <w:t> </w:t>
      </w:r>
      <w:r>
        <w:rPr/>
        <w:t>their</w:t>
      </w:r>
      <w:r>
        <w:rPr>
          <w:spacing w:val="22"/>
        </w:rPr>
        <w:t> </w:t>
      </w:r>
      <w:r>
        <w:rPr/>
        <w:t>own</w:t>
      </w:r>
      <w:r>
        <w:rPr>
          <w:spacing w:val="22"/>
        </w:rPr>
        <w:t> </w:t>
      </w:r>
      <w:r>
        <w:rPr/>
        <w:t>households</w:t>
      </w:r>
      <w:r>
        <w:rPr>
          <w:spacing w:val="22"/>
        </w:rPr>
        <w:t> </w:t>
      </w:r>
      <w:r>
        <w:rPr/>
        <w:t>in</w:t>
      </w:r>
      <w:r>
        <w:rPr>
          <w:spacing w:val="23"/>
        </w:rPr>
        <w:t> </w:t>
      </w:r>
      <w:r>
        <w:rPr/>
        <w:t>1990</w:t>
      </w:r>
      <w:r>
        <w:rPr>
          <w:spacing w:val="22"/>
        </w:rPr>
        <w:t> </w:t>
      </w:r>
      <w:r>
        <w:rPr/>
        <w:t>compared</w:t>
      </w:r>
      <w:r>
        <w:rPr>
          <w:spacing w:val="22"/>
        </w:rPr>
        <w:t> </w:t>
      </w:r>
      <w:r>
        <w:rPr/>
        <w:t>to</w:t>
      </w:r>
      <w:r>
        <w:rPr>
          <w:spacing w:val="22"/>
        </w:rPr>
        <w:t> </w:t>
      </w:r>
      <w:r>
        <w:rPr/>
        <w:t>1980.</w:t>
      </w:r>
      <w:r>
        <w:rPr>
          <w:spacing w:val="11"/>
        </w:rPr>
        <w:t> </w:t>
      </w:r>
      <w:r>
        <w:rPr/>
        <w:t>Among</w:t>
      </w:r>
      <w:r>
        <w:rPr>
          <w:spacing w:val="22"/>
        </w:rPr>
        <w:t> </w:t>
      </w:r>
      <w:r>
        <w:rPr/>
        <w:t>the</w:t>
      </w:r>
      <w:r>
        <w:rPr>
          <w:spacing w:val="23"/>
        </w:rPr>
        <w:t> </w:t>
      </w:r>
      <w:r>
        <w:rPr/>
        <w:t>85-</w:t>
      </w:r>
      <w:r>
        <w:rPr>
          <w:spacing w:val="22"/>
        </w:rPr>
        <w:t> </w:t>
      </w:r>
      <w:r>
        <w:rPr>
          <w:spacing w:val="-8"/>
        </w:rPr>
        <w:t>to</w:t>
      </w:r>
    </w:p>
    <w:p>
      <w:pPr>
        <w:spacing w:after="0" w:line="249" w:lineRule="auto"/>
        <w:jc w:val="both"/>
        <w:sectPr>
          <w:pgSz w:w="7120" w:h="11820"/>
          <w:pgMar w:header="293" w:footer="0" w:top="500" w:bottom="280" w:left="260" w:right="160"/>
        </w:sectPr>
      </w:pPr>
    </w:p>
    <w:p>
      <w:pPr>
        <w:pStyle w:val="BodyText"/>
        <w:spacing w:before="7"/>
        <w:rPr>
          <w:sz w:val="13"/>
        </w:rPr>
      </w:pPr>
    </w:p>
    <w:p>
      <w:pPr>
        <w:pStyle w:val="BodyText"/>
        <w:spacing w:line="254" w:lineRule="auto" w:before="92"/>
        <w:ind w:left="107" w:right="63"/>
      </w:pPr>
      <w:r>
        <w:rPr/>
        <w:t>89-year-old group, housing autonomy grew more than 6%, mirroring the national trend.</w:t>
      </w:r>
    </w:p>
    <w:p>
      <w:pPr>
        <w:pStyle w:val="BodyText"/>
        <w:spacing w:line="252" w:lineRule="auto"/>
        <w:ind w:left="107" w:right="112" w:firstLine="199"/>
        <w:jc w:val="both"/>
      </w:pPr>
      <w:r>
        <w:rPr>
          <w:spacing w:val="-4"/>
        </w:rPr>
        <w:t>Young </w:t>
      </w:r>
      <w:r>
        <w:rPr/>
        <w:t>women in Los Angeles had higher rates of autonomy than their counterparts</w:t>
      </w:r>
      <w:r>
        <w:rPr>
          <w:spacing w:val="-8"/>
        </w:rPr>
        <w:t> </w:t>
      </w:r>
      <w:r>
        <w:rPr/>
        <w:t>nationally,</w:t>
      </w:r>
      <w:r>
        <w:rPr>
          <w:spacing w:val="-7"/>
        </w:rPr>
        <w:t> </w:t>
      </w:r>
      <w:r>
        <w:rPr/>
        <w:t>and</w:t>
      </w:r>
      <w:r>
        <w:rPr>
          <w:spacing w:val="-7"/>
        </w:rPr>
        <w:t> </w:t>
      </w:r>
      <w:r>
        <w:rPr/>
        <w:t>higher</w:t>
      </w:r>
      <w:r>
        <w:rPr>
          <w:spacing w:val="-8"/>
        </w:rPr>
        <w:t> </w:t>
      </w:r>
      <w:r>
        <w:rPr/>
        <w:t>rates</w:t>
      </w:r>
      <w:r>
        <w:rPr>
          <w:spacing w:val="-7"/>
        </w:rPr>
        <w:t> </w:t>
      </w:r>
      <w:r>
        <w:rPr/>
        <w:t>than</w:t>
      </w:r>
      <w:r>
        <w:rPr>
          <w:spacing w:val="-7"/>
        </w:rPr>
        <w:t> </w:t>
      </w:r>
      <w:r>
        <w:rPr/>
        <w:t>men,</w:t>
      </w:r>
      <w:r>
        <w:rPr>
          <w:spacing w:val="-7"/>
        </w:rPr>
        <w:t> </w:t>
      </w:r>
      <w:r>
        <w:rPr/>
        <w:t>also</w:t>
      </w:r>
      <w:r>
        <w:rPr>
          <w:spacing w:val="-8"/>
        </w:rPr>
        <w:t> </w:t>
      </w:r>
      <w:r>
        <w:rPr/>
        <w:t>going</w:t>
      </w:r>
      <w:r>
        <w:rPr>
          <w:spacing w:val="-7"/>
        </w:rPr>
        <w:t> </w:t>
      </w:r>
      <w:r>
        <w:rPr/>
        <w:t>against</w:t>
      </w:r>
      <w:r>
        <w:rPr>
          <w:spacing w:val="-7"/>
        </w:rPr>
        <w:t> </w:t>
      </w:r>
      <w:r>
        <w:rPr/>
        <w:t>the</w:t>
      </w:r>
      <w:r>
        <w:rPr>
          <w:spacing w:val="-7"/>
        </w:rPr>
        <w:t> </w:t>
      </w:r>
      <w:r>
        <w:rPr/>
        <w:t>national pattern. Otherwise, the reduction in housing autonomy over the 1980s was of roughly similar proportions for men and women for most of the age distribution. Males</w:t>
      </w:r>
      <w:r>
        <w:rPr>
          <w:spacing w:val="-12"/>
        </w:rPr>
        <w:t> </w:t>
      </w:r>
      <w:r>
        <w:rPr/>
        <w:t>in</w:t>
      </w:r>
      <w:r>
        <w:rPr>
          <w:spacing w:val="-11"/>
        </w:rPr>
        <w:t> </w:t>
      </w:r>
      <w:r>
        <w:rPr/>
        <w:t>their</w:t>
      </w:r>
      <w:r>
        <w:rPr>
          <w:spacing w:val="-12"/>
        </w:rPr>
        <w:t> </w:t>
      </w:r>
      <w:r>
        <w:rPr/>
        <w:t>mid</w:t>
      </w:r>
      <w:r>
        <w:rPr>
          <w:spacing w:val="-11"/>
        </w:rPr>
        <w:t> </w:t>
      </w:r>
      <w:r>
        <w:rPr/>
        <w:t>to</w:t>
      </w:r>
      <w:r>
        <w:rPr>
          <w:spacing w:val="-12"/>
        </w:rPr>
        <w:t> </w:t>
      </w:r>
      <w:r>
        <w:rPr/>
        <w:t>late</w:t>
      </w:r>
      <w:r>
        <w:rPr>
          <w:spacing w:val="-11"/>
        </w:rPr>
        <w:t> </w:t>
      </w:r>
      <w:r>
        <w:rPr/>
        <w:t>twenties,</w:t>
      </w:r>
      <w:r>
        <w:rPr>
          <w:spacing w:val="-12"/>
        </w:rPr>
        <w:t> </w:t>
      </w:r>
      <w:r>
        <w:rPr/>
        <w:t>however,</w:t>
      </w:r>
      <w:r>
        <w:rPr>
          <w:spacing w:val="-11"/>
        </w:rPr>
        <w:t> </w:t>
      </w:r>
      <w:r>
        <w:rPr/>
        <w:t>were</w:t>
      </w:r>
      <w:r>
        <w:rPr>
          <w:spacing w:val="-12"/>
        </w:rPr>
        <w:t> </w:t>
      </w:r>
      <w:r>
        <w:rPr/>
        <w:t>much</w:t>
      </w:r>
      <w:r>
        <w:rPr>
          <w:spacing w:val="-11"/>
        </w:rPr>
        <w:t> </w:t>
      </w:r>
      <w:r>
        <w:rPr/>
        <w:t>less</w:t>
      </w:r>
      <w:r>
        <w:rPr>
          <w:spacing w:val="-11"/>
        </w:rPr>
        <w:t> </w:t>
      </w:r>
      <w:r>
        <w:rPr/>
        <w:t>apt</w:t>
      </w:r>
      <w:r>
        <w:rPr>
          <w:spacing w:val="-12"/>
        </w:rPr>
        <w:t> </w:t>
      </w:r>
      <w:r>
        <w:rPr/>
        <w:t>to</w:t>
      </w:r>
      <w:r>
        <w:rPr>
          <w:spacing w:val="-11"/>
        </w:rPr>
        <w:t> </w:t>
      </w:r>
      <w:r>
        <w:rPr/>
        <w:t>be</w:t>
      </w:r>
      <w:r>
        <w:rPr>
          <w:spacing w:val="-12"/>
        </w:rPr>
        <w:t> </w:t>
      </w:r>
      <w:r>
        <w:rPr/>
        <w:t>independent in 1990 than 1980 (70% in 1980 compared to 50% in 1990). Differences by race/ethnicity were even more dramatic. In the 25- to 29-year-old age group, for instance, 75% of non-Hispanic Whites had been living autonomously; this had dropped 10 percentage points by 1990 (thus dropping more slowly than the total population). Among Hispanic and especially African American people in this group,</w:t>
      </w:r>
      <w:r>
        <w:rPr>
          <w:spacing w:val="-8"/>
        </w:rPr>
        <w:t> </w:t>
      </w:r>
      <w:r>
        <w:rPr/>
        <w:t>however,</w:t>
      </w:r>
      <w:r>
        <w:rPr>
          <w:spacing w:val="-8"/>
        </w:rPr>
        <w:t> </w:t>
      </w:r>
      <w:r>
        <w:rPr/>
        <w:t>the</w:t>
      </w:r>
      <w:r>
        <w:rPr>
          <w:spacing w:val="-8"/>
        </w:rPr>
        <w:t> </w:t>
      </w:r>
      <w:r>
        <w:rPr/>
        <w:t>gap</w:t>
      </w:r>
      <w:r>
        <w:rPr>
          <w:spacing w:val="-8"/>
        </w:rPr>
        <w:t> </w:t>
      </w:r>
      <w:r>
        <w:rPr/>
        <w:t>grew</w:t>
      </w:r>
      <w:r>
        <w:rPr>
          <w:spacing w:val="-8"/>
        </w:rPr>
        <w:t> </w:t>
      </w:r>
      <w:r>
        <w:rPr/>
        <w:t>to</w:t>
      </w:r>
      <w:r>
        <w:rPr>
          <w:spacing w:val="-8"/>
        </w:rPr>
        <w:t> </w:t>
      </w:r>
      <w:r>
        <w:rPr/>
        <w:t>20</w:t>
      </w:r>
      <w:r>
        <w:rPr>
          <w:spacing w:val="-8"/>
        </w:rPr>
        <w:t> </w:t>
      </w:r>
      <w:r>
        <w:rPr/>
        <w:t>percentage</w:t>
      </w:r>
      <w:r>
        <w:rPr>
          <w:spacing w:val="-7"/>
        </w:rPr>
        <w:t> </w:t>
      </w:r>
      <w:r>
        <w:rPr/>
        <w:t>points—double</w:t>
      </w:r>
      <w:r>
        <w:rPr>
          <w:spacing w:val="-8"/>
        </w:rPr>
        <w:t> </w:t>
      </w:r>
      <w:r>
        <w:rPr/>
        <w:t>the</w:t>
      </w:r>
      <w:r>
        <w:rPr>
          <w:spacing w:val="-12"/>
        </w:rPr>
        <w:t> </w:t>
      </w:r>
      <w:r>
        <w:rPr/>
        <w:t>White</w:t>
      </w:r>
      <w:r>
        <w:rPr>
          <w:spacing w:val="-8"/>
        </w:rPr>
        <w:t> </w:t>
      </w:r>
      <w:r>
        <w:rPr/>
        <w:t>decline. At</w:t>
      </w:r>
      <w:r>
        <w:rPr>
          <w:spacing w:val="-10"/>
        </w:rPr>
        <w:t> </w:t>
      </w:r>
      <w:r>
        <w:rPr/>
        <w:t>the</w:t>
      </w:r>
      <w:r>
        <w:rPr>
          <w:spacing w:val="-9"/>
        </w:rPr>
        <w:t> </w:t>
      </w:r>
      <w:r>
        <w:rPr/>
        <w:t>elderly</w:t>
      </w:r>
      <w:r>
        <w:rPr>
          <w:spacing w:val="-9"/>
        </w:rPr>
        <w:t> </w:t>
      </w:r>
      <w:r>
        <w:rPr/>
        <w:t>end</w:t>
      </w:r>
      <w:r>
        <w:rPr>
          <w:spacing w:val="-9"/>
        </w:rPr>
        <w:t> </w:t>
      </w:r>
      <w:r>
        <w:rPr/>
        <w:t>of</w:t>
      </w:r>
      <w:r>
        <w:rPr>
          <w:spacing w:val="-9"/>
        </w:rPr>
        <w:t> </w:t>
      </w:r>
      <w:r>
        <w:rPr/>
        <w:t>the</w:t>
      </w:r>
      <w:r>
        <w:rPr>
          <w:spacing w:val="-9"/>
        </w:rPr>
        <w:t> </w:t>
      </w:r>
      <w:r>
        <w:rPr/>
        <w:t>age</w:t>
      </w:r>
      <w:r>
        <w:rPr>
          <w:spacing w:val="-9"/>
        </w:rPr>
        <w:t> </w:t>
      </w:r>
      <w:r>
        <w:rPr/>
        <w:t>distribution,</w:t>
      </w:r>
      <w:r>
        <w:rPr>
          <w:spacing w:val="-20"/>
        </w:rPr>
        <w:t> </w:t>
      </w:r>
      <w:r>
        <w:rPr/>
        <w:t>African</w:t>
      </w:r>
      <w:r>
        <w:rPr>
          <w:spacing w:val="-20"/>
        </w:rPr>
        <w:t> </w:t>
      </w:r>
      <w:r>
        <w:rPr/>
        <w:t>Americans</w:t>
      </w:r>
      <w:r>
        <w:rPr>
          <w:spacing w:val="-9"/>
        </w:rPr>
        <w:t> </w:t>
      </w:r>
      <w:r>
        <w:rPr/>
        <w:t>retained</w:t>
      </w:r>
      <w:r>
        <w:rPr>
          <w:spacing w:val="-9"/>
        </w:rPr>
        <w:t> </w:t>
      </w:r>
      <w:r>
        <w:rPr/>
        <w:t>or</w:t>
      </w:r>
      <w:r>
        <w:rPr>
          <w:spacing w:val="-9"/>
        </w:rPr>
        <w:t> </w:t>
      </w:r>
      <w:r>
        <w:rPr/>
        <w:t>increased their ability to remain independently housed over the decade from age 55 on, especially the above 80-year-old cohorts, while among Hispanic people</w:t>
      </w:r>
      <w:r>
        <w:rPr>
          <w:spacing w:val="25"/>
        </w:rPr>
        <w:t> </w:t>
      </w:r>
      <w:r>
        <w:rPr/>
        <w:t>au- tonomy was lower for every age group until age 75. The Asian population had a much different pattern: although like other groups, young Asians were decreas- ingly able to form their own households, in both 1980 and 1990 rates of Asian housing</w:t>
      </w:r>
      <w:r>
        <w:rPr>
          <w:spacing w:val="-7"/>
        </w:rPr>
        <w:t> </w:t>
      </w:r>
      <w:r>
        <w:rPr/>
        <w:t>autonomy</w:t>
      </w:r>
      <w:r>
        <w:rPr>
          <w:spacing w:val="-6"/>
        </w:rPr>
        <w:t> </w:t>
      </w:r>
      <w:r>
        <w:rPr/>
        <w:t>began</w:t>
      </w:r>
      <w:r>
        <w:rPr>
          <w:spacing w:val="-7"/>
        </w:rPr>
        <w:t> </w:t>
      </w:r>
      <w:r>
        <w:rPr/>
        <w:t>to</w:t>
      </w:r>
      <w:r>
        <w:rPr>
          <w:spacing w:val="-6"/>
        </w:rPr>
        <w:t> </w:t>
      </w:r>
      <w:r>
        <w:rPr/>
        <w:t>fall</w:t>
      </w:r>
      <w:r>
        <w:rPr>
          <w:spacing w:val="-6"/>
        </w:rPr>
        <w:t> </w:t>
      </w:r>
      <w:r>
        <w:rPr/>
        <w:t>from</w:t>
      </w:r>
      <w:r>
        <w:rPr>
          <w:spacing w:val="-7"/>
        </w:rPr>
        <w:t> </w:t>
      </w:r>
      <w:r>
        <w:rPr/>
        <w:t>age</w:t>
      </w:r>
      <w:r>
        <w:rPr>
          <w:spacing w:val="-6"/>
        </w:rPr>
        <w:t> </w:t>
      </w:r>
      <w:r>
        <w:rPr/>
        <w:t>40</w:t>
      </w:r>
      <w:r>
        <w:rPr>
          <w:spacing w:val="-6"/>
        </w:rPr>
        <w:t> </w:t>
      </w:r>
      <w:r>
        <w:rPr/>
        <w:t>or</w:t>
      </w:r>
      <w:r>
        <w:rPr>
          <w:spacing w:val="-7"/>
        </w:rPr>
        <w:t> </w:t>
      </w:r>
      <w:r>
        <w:rPr/>
        <w:t>45.</w:t>
      </w:r>
      <w:r>
        <w:rPr>
          <w:spacing w:val="-10"/>
        </w:rPr>
        <w:t> </w:t>
      </w:r>
      <w:r>
        <w:rPr/>
        <w:t>This</w:t>
      </w:r>
      <w:r>
        <w:rPr>
          <w:spacing w:val="-6"/>
        </w:rPr>
        <w:t> </w:t>
      </w:r>
      <w:r>
        <w:rPr/>
        <w:t>may</w:t>
      </w:r>
      <w:r>
        <w:rPr>
          <w:spacing w:val="-6"/>
        </w:rPr>
        <w:t> </w:t>
      </w:r>
      <w:r>
        <w:rPr/>
        <w:t>reflect</w:t>
      </w:r>
      <w:r>
        <w:rPr>
          <w:spacing w:val="-7"/>
        </w:rPr>
        <w:t> </w:t>
      </w:r>
      <w:r>
        <w:rPr/>
        <w:t>differences</w:t>
      </w:r>
      <w:r>
        <w:rPr>
          <w:spacing w:val="-6"/>
        </w:rPr>
        <w:t> </w:t>
      </w:r>
      <w:r>
        <w:rPr>
          <w:spacing w:val="-8"/>
        </w:rPr>
        <w:t>in </w:t>
      </w:r>
      <w:r>
        <w:rPr/>
        <w:t>intergenerational housing patterns, especially among Asian immigrants to the region.</w:t>
      </w:r>
    </w:p>
    <w:p>
      <w:pPr>
        <w:pStyle w:val="BodyText"/>
        <w:spacing w:line="252" w:lineRule="auto"/>
        <w:ind w:left="107" w:right="114" w:firstLine="199"/>
        <w:jc w:val="both"/>
      </w:pPr>
      <w:r>
        <w:rPr>
          <w:i/>
        </w:rPr>
        <w:t>Residential crowding. </w:t>
      </w:r>
      <w:r>
        <w:rPr/>
        <w:t>Increases in crowding can indicate that individuals are having trouble establishing or maintaining autonomous households. Given the falling ability of young people to establish their own households over the 1980s, we thus might expect to see increases in crowding.</w:t>
      </w:r>
      <w:r>
        <w:rPr>
          <w:spacing w:val="-39"/>
        </w:rPr>
        <w:t> </w:t>
      </w:r>
      <w:r>
        <w:rPr/>
        <w:t>And indeed, in the nation as a whole, although crowding rates fell throughout the postwar period, the 1980s witnessed an upturn in crowding. The picture in Los Angeles, where rates of household formation fell even faster than for the country overall, there was an immense growth in crowding. This increase was experienced almost entirely by renters; the share of crowded renter households, where crowding is defined </w:t>
      </w:r>
      <w:r>
        <w:rPr>
          <w:spacing w:val="-7"/>
        </w:rPr>
        <w:t>as </w:t>
      </w:r>
      <w:r>
        <w:rPr/>
        <w:t>more than 1 person per room, rose almost 19 percentage points, to 27% of all renters. Rates of </w:t>
      </w:r>
      <w:r>
        <w:rPr>
          <w:spacing w:val="-3"/>
        </w:rPr>
        <w:t>‘‘extreme’’ </w:t>
      </w:r>
      <w:r>
        <w:rPr/>
        <w:t>crowding, or more than 1.5 persons per room, rose the</w:t>
      </w:r>
      <w:r>
        <w:rPr>
          <w:spacing w:val="-5"/>
        </w:rPr>
        <w:t> </w:t>
      </w:r>
      <w:r>
        <w:rPr/>
        <w:t>fastest.</w:t>
      </w:r>
    </w:p>
    <w:p>
      <w:pPr>
        <w:pStyle w:val="BodyText"/>
        <w:spacing w:line="252" w:lineRule="auto"/>
        <w:ind w:left="107" w:right="124" w:firstLine="199"/>
        <w:jc w:val="both"/>
      </w:pPr>
      <w:r>
        <w:rPr/>
        <w:t>The</w:t>
      </w:r>
      <w:r>
        <w:rPr>
          <w:spacing w:val="-6"/>
        </w:rPr>
        <w:t> </w:t>
      </w:r>
      <w:r>
        <w:rPr>
          <w:i/>
        </w:rPr>
        <w:t>diversity</w:t>
      </w:r>
      <w:r>
        <w:rPr>
          <w:i/>
          <w:spacing w:val="-6"/>
        </w:rPr>
        <w:t> </w:t>
      </w:r>
      <w:r>
        <w:rPr>
          <w:i/>
        </w:rPr>
        <w:t>gap</w:t>
      </w:r>
      <w:r>
        <w:rPr>
          <w:i/>
          <w:spacing w:val="-6"/>
        </w:rPr>
        <w:t> </w:t>
      </w:r>
      <w:r>
        <w:rPr>
          <w:i/>
        </w:rPr>
        <w:t>in</w:t>
      </w:r>
      <w:r>
        <w:rPr>
          <w:i/>
          <w:spacing w:val="-6"/>
        </w:rPr>
        <w:t> </w:t>
      </w:r>
      <w:r>
        <w:rPr>
          <w:i/>
        </w:rPr>
        <w:t>crowding</w:t>
      </w:r>
      <w:r>
        <w:rPr>
          <w:i/>
          <w:spacing w:val="-6"/>
        </w:rPr>
        <w:t> </w:t>
      </w:r>
      <w:r>
        <w:rPr/>
        <w:t>was</w:t>
      </w:r>
      <w:r>
        <w:rPr>
          <w:spacing w:val="-5"/>
        </w:rPr>
        <w:t> </w:t>
      </w:r>
      <w:r>
        <w:rPr/>
        <w:t>the</w:t>
      </w:r>
      <w:r>
        <w:rPr>
          <w:spacing w:val="-6"/>
        </w:rPr>
        <w:t> </w:t>
      </w:r>
      <w:r>
        <w:rPr/>
        <w:t>most</w:t>
      </w:r>
      <w:r>
        <w:rPr>
          <w:spacing w:val="-6"/>
        </w:rPr>
        <w:t> </w:t>
      </w:r>
      <w:r>
        <w:rPr/>
        <w:t>striking</w:t>
      </w:r>
      <w:r>
        <w:rPr>
          <w:spacing w:val="-6"/>
        </w:rPr>
        <w:t> </w:t>
      </w:r>
      <w:r>
        <w:rPr/>
        <w:t>aspect</w:t>
      </w:r>
      <w:r>
        <w:rPr>
          <w:spacing w:val="-6"/>
        </w:rPr>
        <w:t> </w:t>
      </w:r>
      <w:r>
        <w:rPr/>
        <w:t>of</w:t>
      </w:r>
      <w:r>
        <w:rPr>
          <w:spacing w:val="-5"/>
        </w:rPr>
        <w:t> </w:t>
      </w:r>
      <w:r>
        <w:rPr/>
        <w:t>the</w:t>
      </w:r>
      <w:r>
        <w:rPr>
          <w:spacing w:val="-6"/>
        </w:rPr>
        <w:t> </w:t>
      </w:r>
      <w:r>
        <w:rPr/>
        <w:t>overcrowded housing picture: whereas non-Hispanic White households had experienced little crowding, crowding among African American households was twice the </w:t>
      </w:r>
      <w:r>
        <w:rPr>
          <w:spacing w:val="-3"/>
        </w:rPr>
        <w:t>White </w:t>
      </w:r>
      <w:r>
        <w:rPr/>
        <w:t>rate. But both of these rates, while increasing somewhat over the decade, </w:t>
      </w:r>
      <w:r>
        <w:rPr>
          <w:spacing w:val="-4"/>
        </w:rPr>
        <w:t>were </w:t>
      </w:r>
      <w:r>
        <w:rPr/>
        <w:t>low compared to Asian and Hispanic households. Among Asians, moderate crowding</w:t>
      </w:r>
      <w:r>
        <w:rPr>
          <w:spacing w:val="-6"/>
        </w:rPr>
        <w:t> </w:t>
      </w:r>
      <w:r>
        <w:rPr/>
        <w:t>was</w:t>
      </w:r>
      <w:r>
        <w:rPr>
          <w:spacing w:val="-6"/>
        </w:rPr>
        <w:t> </w:t>
      </w:r>
      <w:r>
        <w:rPr/>
        <w:t>4</w:t>
      </w:r>
      <w:r>
        <w:rPr>
          <w:spacing w:val="-6"/>
        </w:rPr>
        <w:t> </w:t>
      </w:r>
      <w:r>
        <w:rPr/>
        <w:t>times</w:t>
      </w:r>
      <w:r>
        <w:rPr>
          <w:spacing w:val="-6"/>
        </w:rPr>
        <w:t> </w:t>
      </w:r>
      <w:r>
        <w:rPr/>
        <w:t>the</w:t>
      </w:r>
      <w:r>
        <w:rPr>
          <w:spacing w:val="-9"/>
        </w:rPr>
        <w:t> </w:t>
      </w:r>
      <w:r>
        <w:rPr/>
        <w:t>White</w:t>
      </w:r>
      <w:r>
        <w:rPr>
          <w:spacing w:val="-6"/>
        </w:rPr>
        <w:t> </w:t>
      </w:r>
      <w:r>
        <w:rPr/>
        <w:t>rate</w:t>
      </w:r>
      <w:r>
        <w:rPr>
          <w:spacing w:val="-6"/>
        </w:rPr>
        <w:t> </w:t>
      </w:r>
      <w:r>
        <w:rPr/>
        <w:t>while</w:t>
      </w:r>
      <w:r>
        <w:rPr>
          <w:spacing w:val="-6"/>
        </w:rPr>
        <w:t> </w:t>
      </w:r>
      <w:r>
        <w:rPr/>
        <w:t>extreme</w:t>
      </w:r>
      <w:r>
        <w:rPr>
          <w:spacing w:val="-6"/>
        </w:rPr>
        <w:t> </w:t>
      </w:r>
      <w:r>
        <w:rPr/>
        <w:t>crowding</w:t>
      </w:r>
      <w:r>
        <w:rPr>
          <w:spacing w:val="-6"/>
        </w:rPr>
        <w:t> </w:t>
      </w:r>
      <w:r>
        <w:rPr/>
        <w:t>was</w:t>
      </w:r>
      <w:r>
        <w:rPr>
          <w:spacing w:val="-6"/>
        </w:rPr>
        <w:t> </w:t>
      </w:r>
      <w:r>
        <w:rPr/>
        <w:t>9</w:t>
      </w:r>
      <w:r>
        <w:rPr>
          <w:spacing w:val="-6"/>
        </w:rPr>
        <w:t> </w:t>
      </w:r>
      <w:r>
        <w:rPr/>
        <w:t>times</w:t>
      </w:r>
      <w:r>
        <w:rPr>
          <w:spacing w:val="-6"/>
        </w:rPr>
        <w:t> </w:t>
      </w:r>
      <w:r>
        <w:rPr/>
        <w:t>higher; Hispanic households had 5 times the moderate crowding rate of Whites and </w:t>
      </w:r>
      <w:r>
        <w:rPr>
          <w:spacing w:val="-7"/>
        </w:rPr>
        <w:t>13 </w:t>
      </w:r>
      <w:r>
        <w:rPr/>
        <w:t>times the extreme rate. More than 40% of Asian and almost 60% of Hispanic households were crowded by these definitions (Fig.</w:t>
      </w:r>
      <w:r>
        <w:rPr>
          <w:spacing w:val="-30"/>
        </w:rPr>
        <w:t> </w:t>
      </w:r>
      <w:r>
        <w:rPr/>
        <w:t>2).</w:t>
      </w:r>
    </w:p>
    <w:p>
      <w:pPr>
        <w:pStyle w:val="BodyText"/>
        <w:ind w:left="306"/>
      </w:pPr>
      <w:r>
        <w:rPr/>
        <w:t>It is important to view these results with some caution. What housing analysts</w:t>
      </w:r>
    </w:p>
    <w:p>
      <w:pPr>
        <w:spacing w:after="0"/>
        <w:sectPr>
          <w:pgSz w:w="7120" w:h="11820"/>
          <w:pgMar w:header="294" w:footer="0" w:top="500" w:bottom="280" w:left="260" w:right="160"/>
        </w:sectPr>
      </w:pPr>
    </w:p>
    <w:p>
      <w:pPr>
        <w:pStyle w:val="BodyText"/>
        <w:spacing w:before="1"/>
        <w:rPr>
          <w:sz w:val="25"/>
        </w:rPr>
      </w:pPr>
    </w:p>
    <w:p>
      <w:pPr>
        <w:pStyle w:val="BodyText"/>
        <w:ind w:left="246"/>
      </w:pPr>
      <w:r>
        <w:rPr/>
        <w:drawing>
          <wp:inline distT="0" distB="0" distL="0" distR="0">
            <wp:extent cx="3801033" cy="1983104"/>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3801033" cy="1983104"/>
                    </a:xfrm>
                    <a:prstGeom prst="rect">
                      <a:avLst/>
                    </a:prstGeom>
                  </pic:spPr>
                </pic:pic>
              </a:graphicData>
            </a:graphic>
          </wp:inline>
        </w:drawing>
      </w:r>
      <w:r>
        <w:rPr/>
      </w:r>
    </w:p>
    <w:p>
      <w:pPr>
        <w:spacing w:line="259" w:lineRule="auto" w:before="83"/>
        <w:ind w:left="107" w:right="0" w:firstLine="159"/>
        <w:jc w:val="left"/>
        <w:rPr>
          <w:sz w:val="16"/>
        </w:rPr>
      </w:pPr>
      <w:r>
        <w:rPr>
          <w:sz w:val="16"/>
        </w:rPr>
        <w:t>F</w:t>
      </w:r>
      <w:r>
        <w:rPr>
          <w:sz w:val="12"/>
        </w:rPr>
        <w:t>IG</w:t>
      </w:r>
      <w:r>
        <w:rPr>
          <w:sz w:val="16"/>
        </w:rPr>
        <w:t>. 2. Overcrowding prevalence for renters: Sum of moderate and extreme overcrowding by race/ethnicity in Los Angeles County, 1990.</w:t>
      </w:r>
    </w:p>
    <w:p>
      <w:pPr>
        <w:pStyle w:val="BodyText"/>
      </w:pPr>
    </w:p>
    <w:p>
      <w:pPr>
        <w:pStyle w:val="BodyText"/>
        <w:spacing w:before="1"/>
        <w:rPr>
          <w:sz w:val="17"/>
        </w:rPr>
      </w:pPr>
    </w:p>
    <w:p>
      <w:pPr>
        <w:pStyle w:val="BodyText"/>
        <w:spacing w:line="249" w:lineRule="auto" w:before="91"/>
        <w:ind w:left="107" w:right="113"/>
        <w:jc w:val="both"/>
      </w:pPr>
      <w:r>
        <w:rPr/>
        <w:t>have conventionally termed ‘‘overcrowded housing’’</w:t>
      </w:r>
      <w:r>
        <w:rPr>
          <w:spacing w:val="-37"/>
        </w:rPr>
        <w:t> </w:t>
      </w:r>
      <w:r>
        <w:rPr/>
        <w:t>is actually a complex set of behaviors about which we know relatively little. Definitions of crowding </w:t>
      </w:r>
      <w:r>
        <w:rPr>
          <w:spacing w:val="-5"/>
        </w:rPr>
        <w:t>have </w:t>
      </w:r>
      <w:r>
        <w:rPr/>
        <w:t>changed over time, falling as overall housing circumstances of Americans improved over the course of this century; definitions are social constructs </w:t>
      </w:r>
      <w:r>
        <w:rPr>
          <w:spacing w:val="-6"/>
        </w:rPr>
        <w:t>and </w:t>
      </w:r>
      <w:r>
        <w:rPr/>
        <w:t>relative. Moreover, while crowding was once thought to be a direct expression</w:t>
      </w:r>
      <w:r>
        <w:rPr>
          <w:spacing w:val="-33"/>
        </w:rPr>
        <w:t> </w:t>
      </w:r>
      <w:r>
        <w:rPr/>
        <w:t>of financial</w:t>
      </w:r>
      <w:r>
        <w:rPr>
          <w:spacing w:val="-4"/>
        </w:rPr>
        <w:t> </w:t>
      </w:r>
      <w:r>
        <w:rPr/>
        <w:t>constraint,</w:t>
      </w:r>
      <w:r>
        <w:rPr>
          <w:spacing w:val="-4"/>
        </w:rPr>
        <w:t> </w:t>
      </w:r>
      <w:r>
        <w:rPr/>
        <w:t>recent</w:t>
      </w:r>
      <w:r>
        <w:rPr>
          <w:spacing w:val="-3"/>
        </w:rPr>
        <w:t> </w:t>
      </w:r>
      <w:r>
        <w:rPr/>
        <w:t>studies</w:t>
      </w:r>
      <w:r>
        <w:rPr>
          <w:spacing w:val="-4"/>
        </w:rPr>
        <w:t> </w:t>
      </w:r>
      <w:r>
        <w:rPr/>
        <w:t>show</w:t>
      </w:r>
      <w:r>
        <w:rPr>
          <w:spacing w:val="-4"/>
        </w:rPr>
        <w:t> </w:t>
      </w:r>
      <w:r>
        <w:rPr/>
        <w:t>that</w:t>
      </w:r>
      <w:r>
        <w:rPr>
          <w:spacing w:val="-3"/>
        </w:rPr>
        <w:t> </w:t>
      </w:r>
      <w:r>
        <w:rPr/>
        <w:t>race</w:t>
      </w:r>
      <w:r>
        <w:rPr>
          <w:spacing w:val="-4"/>
        </w:rPr>
        <w:t> </w:t>
      </w:r>
      <w:r>
        <w:rPr/>
        <w:t>and</w:t>
      </w:r>
      <w:r>
        <w:rPr>
          <w:spacing w:val="-4"/>
        </w:rPr>
        <w:t> </w:t>
      </w:r>
      <w:r>
        <w:rPr/>
        <w:t>ethnicity</w:t>
      </w:r>
      <w:r>
        <w:rPr>
          <w:spacing w:val="-3"/>
        </w:rPr>
        <w:t> </w:t>
      </w:r>
      <w:r>
        <w:rPr/>
        <w:t>also</w:t>
      </w:r>
      <w:r>
        <w:rPr>
          <w:spacing w:val="-4"/>
        </w:rPr>
        <w:t> </w:t>
      </w:r>
      <w:r>
        <w:rPr/>
        <w:t>play</w:t>
      </w:r>
      <w:r>
        <w:rPr>
          <w:spacing w:val="-4"/>
        </w:rPr>
        <w:t> </w:t>
      </w:r>
      <w:r>
        <w:rPr/>
        <w:t>a</w:t>
      </w:r>
      <w:r>
        <w:rPr>
          <w:spacing w:val="-3"/>
        </w:rPr>
        <w:t> central </w:t>
      </w:r>
      <w:r>
        <w:rPr/>
        <w:t>role (Myers, Baer, and Choi, 1996). Although crowding rates are higher among poor renter households, for example, if one controls for household size, and for income or rent burdens, Asian and Hispanic households still display much</w:t>
      </w:r>
      <w:r>
        <w:rPr>
          <w:spacing w:val="-35"/>
        </w:rPr>
        <w:t> </w:t>
      </w:r>
      <w:r>
        <w:rPr/>
        <w:t>higher crowding prevalence rates at each income or burden</w:t>
      </w:r>
      <w:r>
        <w:rPr>
          <w:spacing w:val="-34"/>
        </w:rPr>
        <w:t> </w:t>
      </w:r>
      <w:r>
        <w:rPr/>
        <w:t>level.</w:t>
      </w:r>
    </w:p>
    <w:p>
      <w:pPr>
        <w:pStyle w:val="BodyText"/>
        <w:spacing w:line="249" w:lineRule="auto" w:before="3"/>
        <w:ind w:left="107" w:right="124" w:firstLine="199"/>
        <w:jc w:val="both"/>
      </w:pPr>
      <w:r>
        <w:rPr/>
        <w:t>This</w:t>
      </w:r>
      <w:r>
        <w:rPr>
          <w:spacing w:val="-5"/>
        </w:rPr>
        <w:t> </w:t>
      </w:r>
      <w:r>
        <w:rPr/>
        <w:t>suggests</w:t>
      </w:r>
      <w:r>
        <w:rPr>
          <w:spacing w:val="-5"/>
        </w:rPr>
        <w:t> </w:t>
      </w:r>
      <w:r>
        <w:rPr/>
        <w:t>that</w:t>
      </w:r>
      <w:r>
        <w:rPr>
          <w:spacing w:val="-5"/>
        </w:rPr>
        <w:t> </w:t>
      </w:r>
      <w:r>
        <w:rPr/>
        <w:t>among</w:t>
      </w:r>
      <w:r>
        <w:rPr>
          <w:spacing w:val="-5"/>
        </w:rPr>
        <w:t> </w:t>
      </w:r>
      <w:r>
        <w:rPr/>
        <w:t>some</w:t>
      </w:r>
      <w:r>
        <w:rPr>
          <w:spacing w:val="-5"/>
        </w:rPr>
        <w:t> </w:t>
      </w:r>
      <w:r>
        <w:rPr/>
        <w:t>sections</w:t>
      </w:r>
      <w:r>
        <w:rPr>
          <w:spacing w:val="-5"/>
        </w:rPr>
        <w:t> </w:t>
      </w:r>
      <w:r>
        <w:rPr/>
        <w:t>of</w:t>
      </w:r>
      <w:r>
        <w:rPr>
          <w:spacing w:val="-5"/>
        </w:rPr>
        <w:t> </w:t>
      </w:r>
      <w:r>
        <w:rPr/>
        <w:t>the</w:t>
      </w:r>
      <w:r>
        <w:rPr>
          <w:spacing w:val="-5"/>
        </w:rPr>
        <w:t> </w:t>
      </w:r>
      <w:r>
        <w:rPr/>
        <w:t>population,</w:t>
      </w:r>
      <w:r>
        <w:rPr>
          <w:spacing w:val="-5"/>
        </w:rPr>
        <w:t> </w:t>
      </w:r>
      <w:r>
        <w:rPr/>
        <w:t>there</w:t>
      </w:r>
      <w:r>
        <w:rPr>
          <w:spacing w:val="-5"/>
        </w:rPr>
        <w:t> </w:t>
      </w:r>
      <w:r>
        <w:rPr/>
        <w:t>is</w:t>
      </w:r>
      <w:r>
        <w:rPr>
          <w:spacing w:val="-5"/>
        </w:rPr>
        <w:t> </w:t>
      </w:r>
      <w:r>
        <w:rPr/>
        <w:t>(1)</w:t>
      </w:r>
      <w:r>
        <w:rPr>
          <w:spacing w:val="-5"/>
        </w:rPr>
        <w:t> </w:t>
      </w:r>
      <w:r>
        <w:rPr/>
        <w:t>a</w:t>
      </w:r>
      <w:r>
        <w:rPr>
          <w:spacing w:val="-5"/>
        </w:rPr>
        <w:t> </w:t>
      </w:r>
      <w:r>
        <w:rPr/>
        <w:t>greater cultural tolerance for crowding, (2) greater emphasis on other types of consump- tion than housing, or (3) a </w:t>
      </w:r>
      <w:r>
        <w:rPr>
          <w:i/>
        </w:rPr>
        <w:t>positive </w:t>
      </w:r>
      <w:r>
        <w:rPr/>
        <w:t>preference for intergenerational household structures, despite the resulting reduction in space per person. These possibilities suggest that consideration be given to redesigning longstanding policies aimed</w:t>
      </w:r>
      <w:r>
        <w:rPr>
          <w:spacing w:val="-22"/>
        </w:rPr>
        <w:t> </w:t>
      </w:r>
      <w:r>
        <w:rPr>
          <w:spacing w:val="-8"/>
        </w:rPr>
        <w:t>at </w:t>
      </w:r>
      <w:r>
        <w:rPr/>
        <w:t>reducing crowding, which were implemented during the postwar period </w:t>
      </w:r>
      <w:r>
        <w:rPr>
          <w:spacing w:val="-8"/>
        </w:rPr>
        <w:t>of </w:t>
      </w:r>
      <w:r>
        <w:rPr/>
        <w:t>increasing household incomes, in those areas characterized by falling </w:t>
      </w:r>
      <w:r>
        <w:rPr>
          <w:spacing w:val="-3"/>
        </w:rPr>
        <w:t>incomes </w:t>
      </w:r>
      <w:r>
        <w:rPr/>
        <w:t>and cultural</w:t>
      </w:r>
      <w:r>
        <w:rPr>
          <w:spacing w:val="-9"/>
        </w:rPr>
        <w:t> </w:t>
      </w:r>
      <w:r>
        <w:rPr/>
        <w:t>diversity.</w:t>
      </w:r>
    </w:p>
    <w:p>
      <w:pPr>
        <w:pStyle w:val="BodyText"/>
        <w:spacing w:line="249" w:lineRule="auto" w:before="2"/>
        <w:ind w:left="107" w:right="123" w:firstLine="199"/>
        <w:jc w:val="both"/>
      </w:pPr>
      <w:r>
        <w:rPr>
          <w:i/>
        </w:rPr>
        <w:t>Affordability. </w:t>
      </w:r>
      <w:r>
        <w:rPr/>
        <w:t>Affordability problems were worse in Los Angeles than in </w:t>
      </w:r>
      <w:r>
        <w:rPr>
          <w:spacing w:val="-4"/>
        </w:rPr>
        <w:t>the </w:t>
      </w:r>
      <w:r>
        <w:rPr/>
        <w:t>nation overall, and the </w:t>
      </w:r>
      <w:r>
        <w:rPr>
          <w:i/>
        </w:rPr>
        <w:t>affordability gaps </w:t>
      </w:r>
      <w:r>
        <w:rPr/>
        <w:t>between owners and renters, </w:t>
      </w:r>
      <w:r>
        <w:rPr>
          <w:spacing w:val="-4"/>
        </w:rPr>
        <w:t>and </w:t>
      </w:r>
      <w:r>
        <w:rPr/>
        <w:t>race/ethnic groups were </w:t>
      </w:r>
      <w:r>
        <w:rPr>
          <w:spacing w:val="-3"/>
        </w:rPr>
        <w:t>larger. </w:t>
      </w:r>
      <w:r>
        <w:rPr/>
        <w:t>By 1990 almost a quarter of all renter households were</w:t>
      </w:r>
      <w:r>
        <w:rPr>
          <w:spacing w:val="-12"/>
        </w:rPr>
        <w:t> </w:t>
      </w:r>
      <w:r>
        <w:rPr/>
        <w:t>paying</w:t>
      </w:r>
      <w:r>
        <w:rPr>
          <w:spacing w:val="-12"/>
        </w:rPr>
        <w:t> </w:t>
      </w:r>
      <w:r>
        <w:rPr/>
        <w:t>more</w:t>
      </w:r>
      <w:r>
        <w:rPr>
          <w:spacing w:val="-12"/>
        </w:rPr>
        <w:t> </w:t>
      </w:r>
      <w:r>
        <w:rPr/>
        <w:t>than</w:t>
      </w:r>
      <w:r>
        <w:rPr>
          <w:spacing w:val="-11"/>
        </w:rPr>
        <w:t> </w:t>
      </w:r>
      <w:r>
        <w:rPr/>
        <w:t>half</w:t>
      </w:r>
      <w:r>
        <w:rPr>
          <w:spacing w:val="-12"/>
        </w:rPr>
        <w:t> </w:t>
      </w:r>
      <w:r>
        <w:rPr/>
        <w:t>of</w:t>
      </w:r>
      <w:r>
        <w:rPr>
          <w:spacing w:val="-12"/>
        </w:rPr>
        <w:t> </w:t>
      </w:r>
      <w:r>
        <w:rPr/>
        <w:t>their</w:t>
      </w:r>
      <w:r>
        <w:rPr>
          <w:spacing w:val="-11"/>
        </w:rPr>
        <w:t> </w:t>
      </w:r>
      <w:r>
        <w:rPr/>
        <w:t>incomes</w:t>
      </w:r>
      <w:r>
        <w:rPr>
          <w:spacing w:val="-12"/>
        </w:rPr>
        <w:t> </w:t>
      </w:r>
      <w:r>
        <w:rPr/>
        <w:t>for</w:t>
      </w:r>
      <w:r>
        <w:rPr>
          <w:spacing w:val="-12"/>
        </w:rPr>
        <w:t> </w:t>
      </w:r>
      <w:r>
        <w:rPr/>
        <w:t>rent,</w:t>
      </w:r>
      <w:r>
        <w:rPr>
          <w:spacing w:val="-11"/>
        </w:rPr>
        <w:t> </w:t>
      </w:r>
      <w:r>
        <w:rPr/>
        <w:t>and</w:t>
      </w:r>
      <w:r>
        <w:rPr>
          <w:spacing w:val="-12"/>
        </w:rPr>
        <w:t> </w:t>
      </w:r>
      <w:r>
        <w:rPr/>
        <w:t>almost</w:t>
      </w:r>
      <w:r>
        <w:rPr>
          <w:spacing w:val="-12"/>
        </w:rPr>
        <w:t> </w:t>
      </w:r>
      <w:r>
        <w:rPr/>
        <w:t>40%</w:t>
      </w:r>
      <w:r>
        <w:rPr>
          <w:spacing w:val="-11"/>
        </w:rPr>
        <w:t> </w:t>
      </w:r>
      <w:r>
        <w:rPr/>
        <w:t>were</w:t>
      </w:r>
      <w:r>
        <w:rPr>
          <w:spacing w:val="-12"/>
        </w:rPr>
        <w:t> </w:t>
      </w:r>
      <w:r>
        <w:rPr/>
        <w:t>paying more than 35%. Only 10% of owners paid more than half of their income for housing, and less than 15% paid more than</w:t>
      </w:r>
      <w:r>
        <w:rPr>
          <w:spacing w:val="-33"/>
        </w:rPr>
        <w:t> </w:t>
      </w:r>
      <w:r>
        <w:rPr/>
        <w:t>35%.</w:t>
      </w:r>
    </w:p>
    <w:p>
      <w:pPr>
        <w:pStyle w:val="BodyText"/>
        <w:spacing w:line="249" w:lineRule="auto" w:before="2"/>
        <w:ind w:left="107" w:right="124" w:firstLine="199"/>
        <w:jc w:val="both"/>
      </w:pPr>
      <w:r>
        <w:rPr/>
        <w:t>African American households as a group were the most severely burdened, with 29% of renters paying more than 50% of income on housing. The highest rates of burden increase, however, were among Asian and Hispanic households.</w:t>
      </w:r>
    </w:p>
    <w:p>
      <w:pPr>
        <w:spacing w:after="0" w:line="249" w:lineRule="auto"/>
        <w:jc w:val="both"/>
        <w:sectPr>
          <w:pgSz w:w="7120" w:h="11820"/>
          <w:pgMar w:header="293" w:footer="0" w:top="500" w:bottom="280" w:left="260" w:right="160"/>
        </w:sectPr>
      </w:pPr>
    </w:p>
    <w:p>
      <w:pPr>
        <w:pStyle w:val="BodyText"/>
        <w:spacing w:before="2"/>
        <w:rPr>
          <w:sz w:val="14"/>
        </w:rPr>
      </w:pPr>
    </w:p>
    <w:p>
      <w:pPr>
        <w:spacing w:before="93"/>
        <w:ind w:left="1409" w:right="1426" w:firstLine="0"/>
        <w:jc w:val="center"/>
        <w:rPr>
          <w:sz w:val="16"/>
        </w:rPr>
      </w:pPr>
      <w:r>
        <w:rPr>
          <w:sz w:val="16"/>
        </w:rPr>
        <w:t>TABLE 1</w:t>
      </w:r>
    </w:p>
    <w:p>
      <w:pPr>
        <w:spacing w:line="256" w:lineRule="auto" w:before="16"/>
        <w:ind w:left="1409" w:right="1427" w:firstLine="0"/>
        <w:jc w:val="center"/>
        <w:rPr>
          <w:i/>
          <w:sz w:val="11"/>
        </w:rPr>
      </w:pPr>
      <w:r>
        <w:rPr>
          <w:sz w:val="16"/>
        </w:rPr>
        <w:t>Home Ownership Attainment by Race and Hispanic Origin, at Selected Ages in Angeles, 1980–1990</w:t>
      </w:r>
      <w:r>
        <w:rPr>
          <w:i/>
          <w:position w:val="5"/>
          <w:sz w:val="11"/>
        </w:rPr>
        <w:t>a</w:t>
      </w:r>
    </w:p>
    <w:p>
      <w:pPr>
        <w:pStyle w:val="BodyText"/>
        <w:spacing w:before="8"/>
        <w:rPr>
          <w:i/>
          <w:sz w:val="6"/>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1"/>
        <w:gridCol w:w="797"/>
        <w:gridCol w:w="797"/>
        <w:gridCol w:w="587"/>
      </w:tblGrid>
      <w:tr>
        <w:trPr>
          <w:trHeight w:val="349" w:hRule="atLeast"/>
        </w:trPr>
        <w:tc>
          <w:tcPr>
            <w:tcW w:w="1651" w:type="dxa"/>
            <w:tcBorders>
              <w:top w:val="single" w:sz="4" w:space="0" w:color="000000"/>
              <w:bottom w:val="single" w:sz="2" w:space="0" w:color="000000"/>
            </w:tcBorders>
          </w:tcPr>
          <w:p>
            <w:pPr>
              <w:pStyle w:val="TableParagraph"/>
              <w:spacing w:line="240" w:lineRule="auto" w:before="0"/>
              <w:rPr>
                <w:sz w:val="18"/>
              </w:rPr>
            </w:pPr>
          </w:p>
        </w:tc>
        <w:tc>
          <w:tcPr>
            <w:tcW w:w="797" w:type="dxa"/>
            <w:tcBorders>
              <w:top w:val="single" w:sz="4" w:space="0" w:color="000000"/>
              <w:bottom w:val="single" w:sz="2" w:space="0" w:color="000000"/>
            </w:tcBorders>
          </w:tcPr>
          <w:p>
            <w:pPr>
              <w:pStyle w:val="TableParagraph"/>
              <w:spacing w:line="240" w:lineRule="auto" w:before="90"/>
              <w:ind w:left="78" w:right="78"/>
              <w:jc w:val="center"/>
              <w:rPr>
                <w:sz w:val="16"/>
              </w:rPr>
            </w:pPr>
            <w:r>
              <w:rPr>
                <w:sz w:val="16"/>
              </w:rPr>
              <w:t>1980 (%)</w:t>
            </w:r>
          </w:p>
        </w:tc>
        <w:tc>
          <w:tcPr>
            <w:tcW w:w="797" w:type="dxa"/>
            <w:tcBorders>
              <w:top w:val="single" w:sz="4" w:space="0" w:color="000000"/>
              <w:bottom w:val="single" w:sz="2" w:space="0" w:color="000000"/>
            </w:tcBorders>
          </w:tcPr>
          <w:p>
            <w:pPr>
              <w:pStyle w:val="TableParagraph"/>
              <w:spacing w:line="240" w:lineRule="auto" w:before="90"/>
              <w:ind w:left="78" w:right="78"/>
              <w:jc w:val="center"/>
              <w:rPr>
                <w:sz w:val="16"/>
              </w:rPr>
            </w:pPr>
            <w:r>
              <w:rPr>
                <w:sz w:val="16"/>
              </w:rPr>
              <w:t>1990 (%)</w:t>
            </w:r>
          </w:p>
        </w:tc>
        <w:tc>
          <w:tcPr>
            <w:tcW w:w="587" w:type="dxa"/>
            <w:tcBorders>
              <w:top w:val="single" w:sz="4" w:space="0" w:color="000000"/>
              <w:bottom w:val="single" w:sz="2" w:space="0" w:color="000000"/>
            </w:tcBorders>
          </w:tcPr>
          <w:p>
            <w:pPr>
              <w:pStyle w:val="TableParagraph"/>
              <w:spacing w:line="240" w:lineRule="auto" w:before="90"/>
              <w:jc w:val="right"/>
              <w:rPr>
                <w:sz w:val="16"/>
              </w:rPr>
            </w:pPr>
            <w:r>
              <w:rPr>
                <w:w w:val="95"/>
                <w:sz w:val="16"/>
              </w:rPr>
              <w:t>Change</w:t>
            </w:r>
          </w:p>
        </w:tc>
      </w:tr>
      <w:tr>
        <w:trPr>
          <w:trHeight w:val="489" w:hRule="atLeast"/>
        </w:trPr>
        <w:tc>
          <w:tcPr>
            <w:tcW w:w="1651" w:type="dxa"/>
            <w:tcBorders>
              <w:top w:val="single" w:sz="2" w:space="0" w:color="000000"/>
            </w:tcBorders>
          </w:tcPr>
          <w:p>
            <w:pPr>
              <w:pStyle w:val="TableParagraph"/>
              <w:spacing w:line="200" w:lineRule="atLeast" w:before="79"/>
              <w:ind w:left="159" w:right="863" w:hanging="160"/>
              <w:rPr>
                <w:sz w:val="16"/>
              </w:rPr>
            </w:pPr>
            <w:r>
              <w:rPr>
                <w:sz w:val="16"/>
              </w:rPr>
              <w:t>Ages 25–34 Total</w:t>
            </w:r>
          </w:p>
        </w:tc>
        <w:tc>
          <w:tcPr>
            <w:tcW w:w="797" w:type="dxa"/>
            <w:tcBorders>
              <w:top w:val="single" w:sz="2" w:space="0" w:color="000000"/>
            </w:tcBorders>
          </w:tcPr>
          <w:p>
            <w:pPr>
              <w:pStyle w:val="TableParagraph"/>
              <w:spacing w:line="240" w:lineRule="auto" w:before="7"/>
              <w:rPr>
                <w:i/>
                <w:sz w:val="25"/>
              </w:rPr>
            </w:pPr>
          </w:p>
          <w:p>
            <w:pPr>
              <w:pStyle w:val="TableParagraph"/>
              <w:spacing w:before="0"/>
              <w:ind w:left="78" w:right="78"/>
              <w:jc w:val="center"/>
              <w:rPr>
                <w:sz w:val="16"/>
              </w:rPr>
            </w:pPr>
            <w:r>
              <w:rPr>
                <w:sz w:val="16"/>
              </w:rPr>
              <w:t>32</w:t>
            </w:r>
          </w:p>
        </w:tc>
        <w:tc>
          <w:tcPr>
            <w:tcW w:w="797" w:type="dxa"/>
            <w:tcBorders>
              <w:top w:val="single" w:sz="2" w:space="0" w:color="000000"/>
            </w:tcBorders>
          </w:tcPr>
          <w:p>
            <w:pPr>
              <w:pStyle w:val="TableParagraph"/>
              <w:spacing w:line="240" w:lineRule="auto" w:before="7"/>
              <w:rPr>
                <w:i/>
                <w:sz w:val="25"/>
              </w:rPr>
            </w:pPr>
          </w:p>
          <w:p>
            <w:pPr>
              <w:pStyle w:val="TableParagraph"/>
              <w:spacing w:before="0"/>
              <w:ind w:left="77" w:right="78"/>
              <w:jc w:val="center"/>
              <w:rPr>
                <w:sz w:val="16"/>
              </w:rPr>
            </w:pPr>
            <w:r>
              <w:rPr>
                <w:sz w:val="16"/>
              </w:rPr>
              <w:t>27</w:t>
            </w:r>
          </w:p>
        </w:tc>
        <w:tc>
          <w:tcPr>
            <w:tcW w:w="587" w:type="dxa"/>
            <w:tcBorders>
              <w:top w:val="single" w:sz="2" w:space="0" w:color="000000"/>
            </w:tcBorders>
          </w:tcPr>
          <w:p>
            <w:pPr>
              <w:pStyle w:val="TableParagraph"/>
              <w:spacing w:line="240" w:lineRule="auto" w:before="7"/>
              <w:rPr>
                <w:i/>
                <w:sz w:val="25"/>
              </w:rPr>
            </w:pPr>
          </w:p>
          <w:p>
            <w:pPr>
              <w:pStyle w:val="TableParagraph"/>
              <w:spacing w:before="0"/>
              <w:ind w:left="236"/>
              <w:rPr>
                <w:sz w:val="16"/>
              </w:rPr>
            </w:pPr>
            <w:r>
              <w:rPr>
                <w:w w:val="135"/>
                <w:sz w:val="16"/>
              </w:rPr>
              <w:t>25</w:t>
            </w:r>
          </w:p>
        </w:tc>
      </w:tr>
      <w:tr>
        <w:trPr>
          <w:trHeight w:val="199" w:hRule="atLeast"/>
        </w:trPr>
        <w:tc>
          <w:tcPr>
            <w:tcW w:w="1651" w:type="dxa"/>
          </w:tcPr>
          <w:p>
            <w:pPr>
              <w:pStyle w:val="TableParagraph"/>
              <w:ind w:left="159"/>
              <w:rPr>
                <w:sz w:val="16"/>
              </w:rPr>
            </w:pPr>
            <w:r>
              <w:rPr>
                <w:sz w:val="16"/>
              </w:rPr>
              <w:t>Whites, non-Hispanic</w:t>
            </w:r>
          </w:p>
        </w:tc>
        <w:tc>
          <w:tcPr>
            <w:tcW w:w="797" w:type="dxa"/>
          </w:tcPr>
          <w:p>
            <w:pPr>
              <w:pStyle w:val="TableParagraph"/>
              <w:ind w:left="78" w:right="78"/>
              <w:jc w:val="center"/>
              <w:rPr>
                <w:sz w:val="16"/>
              </w:rPr>
            </w:pPr>
            <w:r>
              <w:rPr>
                <w:sz w:val="16"/>
              </w:rPr>
              <w:t>37</w:t>
            </w:r>
          </w:p>
        </w:tc>
        <w:tc>
          <w:tcPr>
            <w:tcW w:w="797" w:type="dxa"/>
          </w:tcPr>
          <w:p>
            <w:pPr>
              <w:pStyle w:val="TableParagraph"/>
              <w:ind w:left="77" w:right="78"/>
              <w:jc w:val="center"/>
              <w:rPr>
                <w:sz w:val="16"/>
              </w:rPr>
            </w:pPr>
            <w:r>
              <w:rPr>
                <w:sz w:val="16"/>
              </w:rPr>
              <w:t>33</w:t>
            </w:r>
          </w:p>
        </w:tc>
        <w:tc>
          <w:tcPr>
            <w:tcW w:w="587" w:type="dxa"/>
          </w:tcPr>
          <w:p>
            <w:pPr>
              <w:pStyle w:val="TableParagraph"/>
              <w:ind w:left="236"/>
              <w:rPr>
                <w:sz w:val="16"/>
              </w:rPr>
            </w:pPr>
            <w:r>
              <w:rPr>
                <w:w w:val="135"/>
                <w:sz w:val="16"/>
              </w:rPr>
              <w:t>24</w:t>
            </w:r>
          </w:p>
        </w:tc>
      </w:tr>
      <w:tr>
        <w:trPr>
          <w:trHeight w:val="199" w:hRule="atLeast"/>
        </w:trPr>
        <w:tc>
          <w:tcPr>
            <w:tcW w:w="1651" w:type="dxa"/>
          </w:tcPr>
          <w:p>
            <w:pPr>
              <w:pStyle w:val="TableParagraph"/>
              <w:ind w:left="159"/>
              <w:rPr>
                <w:sz w:val="16"/>
              </w:rPr>
            </w:pPr>
            <w:r>
              <w:rPr>
                <w:sz w:val="16"/>
              </w:rPr>
              <w:t>Blacks</w:t>
            </w:r>
          </w:p>
        </w:tc>
        <w:tc>
          <w:tcPr>
            <w:tcW w:w="797" w:type="dxa"/>
          </w:tcPr>
          <w:p>
            <w:pPr>
              <w:pStyle w:val="TableParagraph"/>
              <w:ind w:left="78" w:right="78"/>
              <w:jc w:val="center"/>
              <w:rPr>
                <w:sz w:val="16"/>
              </w:rPr>
            </w:pPr>
            <w:r>
              <w:rPr>
                <w:sz w:val="16"/>
              </w:rPr>
              <w:t>23</w:t>
            </w:r>
          </w:p>
        </w:tc>
        <w:tc>
          <w:tcPr>
            <w:tcW w:w="797" w:type="dxa"/>
          </w:tcPr>
          <w:p>
            <w:pPr>
              <w:pStyle w:val="TableParagraph"/>
              <w:ind w:left="77" w:right="78"/>
              <w:jc w:val="center"/>
              <w:rPr>
                <w:sz w:val="16"/>
              </w:rPr>
            </w:pPr>
            <w:r>
              <w:rPr>
                <w:sz w:val="16"/>
              </w:rPr>
              <w:t>14</w:t>
            </w:r>
          </w:p>
        </w:tc>
        <w:tc>
          <w:tcPr>
            <w:tcW w:w="587" w:type="dxa"/>
          </w:tcPr>
          <w:p>
            <w:pPr>
              <w:pStyle w:val="TableParagraph"/>
              <w:ind w:left="236"/>
              <w:rPr>
                <w:sz w:val="16"/>
              </w:rPr>
            </w:pPr>
            <w:r>
              <w:rPr>
                <w:w w:val="135"/>
                <w:sz w:val="16"/>
              </w:rPr>
              <w:t>29</w:t>
            </w:r>
          </w:p>
        </w:tc>
      </w:tr>
      <w:tr>
        <w:trPr>
          <w:trHeight w:val="199" w:hRule="atLeast"/>
        </w:trPr>
        <w:tc>
          <w:tcPr>
            <w:tcW w:w="1651" w:type="dxa"/>
          </w:tcPr>
          <w:p>
            <w:pPr>
              <w:pStyle w:val="TableParagraph"/>
              <w:ind w:left="159"/>
              <w:rPr>
                <w:sz w:val="16"/>
              </w:rPr>
            </w:pPr>
            <w:r>
              <w:rPr>
                <w:sz w:val="16"/>
              </w:rPr>
              <w:t>Asians</w:t>
            </w:r>
          </w:p>
        </w:tc>
        <w:tc>
          <w:tcPr>
            <w:tcW w:w="797" w:type="dxa"/>
          </w:tcPr>
          <w:p>
            <w:pPr>
              <w:pStyle w:val="TableParagraph"/>
              <w:ind w:left="78" w:right="78"/>
              <w:jc w:val="center"/>
              <w:rPr>
                <w:sz w:val="16"/>
              </w:rPr>
            </w:pPr>
            <w:r>
              <w:rPr>
                <w:sz w:val="16"/>
              </w:rPr>
              <w:t>37</w:t>
            </w:r>
          </w:p>
        </w:tc>
        <w:tc>
          <w:tcPr>
            <w:tcW w:w="797" w:type="dxa"/>
          </w:tcPr>
          <w:p>
            <w:pPr>
              <w:pStyle w:val="TableParagraph"/>
              <w:ind w:left="77" w:right="78"/>
              <w:jc w:val="center"/>
              <w:rPr>
                <w:sz w:val="16"/>
              </w:rPr>
            </w:pPr>
            <w:r>
              <w:rPr>
                <w:sz w:val="16"/>
              </w:rPr>
              <w:t>38</w:t>
            </w:r>
          </w:p>
        </w:tc>
        <w:tc>
          <w:tcPr>
            <w:tcW w:w="587" w:type="dxa"/>
          </w:tcPr>
          <w:p>
            <w:pPr>
              <w:pStyle w:val="TableParagraph"/>
              <w:ind w:right="136"/>
              <w:jc w:val="right"/>
              <w:rPr>
                <w:sz w:val="16"/>
              </w:rPr>
            </w:pPr>
            <w:r>
              <w:rPr>
                <w:w w:val="99"/>
                <w:sz w:val="16"/>
              </w:rPr>
              <w:t>2</w:t>
            </w:r>
          </w:p>
        </w:tc>
      </w:tr>
      <w:tr>
        <w:trPr>
          <w:trHeight w:val="249" w:hRule="atLeast"/>
        </w:trPr>
        <w:tc>
          <w:tcPr>
            <w:tcW w:w="1651" w:type="dxa"/>
          </w:tcPr>
          <w:p>
            <w:pPr>
              <w:pStyle w:val="TableParagraph"/>
              <w:spacing w:line="240" w:lineRule="auto"/>
              <w:ind w:left="159"/>
              <w:rPr>
                <w:sz w:val="16"/>
              </w:rPr>
            </w:pPr>
            <w:r>
              <w:rPr>
                <w:sz w:val="16"/>
              </w:rPr>
              <w:t>Hispanics</w:t>
            </w:r>
          </w:p>
        </w:tc>
        <w:tc>
          <w:tcPr>
            <w:tcW w:w="797" w:type="dxa"/>
          </w:tcPr>
          <w:p>
            <w:pPr>
              <w:pStyle w:val="TableParagraph"/>
              <w:spacing w:line="240" w:lineRule="auto"/>
              <w:ind w:left="78" w:right="78"/>
              <w:jc w:val="center"/>
              <w:rPr>
                <w:sz w:val="16"/>
              </w:rPr>
            </w:pPr>
            <w:r>
              <w:rPr>
                <w:sz w:val="16"/>
              </w:rPr>
              <w:t>27</w:t>
            </w:r>
          </w:p>
        </w:tc>
        <w:tc>
          <w:tcPr>
            <w:tcW w:w="797" w:type="dxa"/>
          </w:tcPr>
          <w:p>
            <w:pPr>
              <w:pStyle w:val="TableParagraph"/>
              <w:spacing w:line="240" w:lineRule="auto"/>
              <w:ind w:left="77" w:right="78"/>
              <w:jc w:val="center"/>
              <w:rPr>
                <w:sz w:val="16"/>
              </w:rPr>
            </w:pPr>
            <w:r>
              <w:rPr>
                <w:sz w:val="16"/>
              </w:rPr>
              <w:t>21</w:t>
            </w:r>
          </w:p>
        </w:tc>
        <w:tc>
          <w:tcPr>
            <w:tcW w:w="587" w:type="dxa"/>
          </w:tcPr>
          <w:p>
            <w:pPr>
              <w:pStyle w:val="TableParagraph"/>
              <w:spacing w:line="240" w:lineRule="auto"/>
              <w:ind w:left="236"/>
              <w:rPr>
                <w:sz w:val="16"/>
              </w:rPr>
            </w:pPr>
            <w:r>
              <w:rPr>
                <w:w w:val="135"/>
                <w:sz w:val="16"/>
              </w:rPr>
              <w:t>26</w:t>
            </w:r>
          </w:p>
        </w:tc>
      </w:tr>
      <w:tr>
        <w:trPr>
          <w:trHeight w:val="448" w:hRule="atLeast"/>
        </w:trPr>
        <w:tc>
          <w:tcPr>
            <w:tcW w:w="1651" w:type="dxa"/>
          </w:tcPr>
          <w:p>
            <w:pPr>
              <w:pStyle w:val="TableParagraph"/>
              <w:spacing w:line="200" w:lineRule="atLeast" w:before="38"/>
              <w:ind w:left="159" w:right="863" w:hanging="160"/>
              <w:rPr>
                <w:sz w:val="16"/>
              </w:rPr>
            </w:pPr>
            <w:r>
              <w:rPr>
                <w:sz w:val="16"/>
              </w:rPr>
              <w:t>Ages 65–74 Total</w:t>
            </w:r>
          </w:p>
        </w:tc>
        <w:tc>
          <w:tcPr>
            <w:tcW w:w="797" w:type="dxa"/>
          </w:tcPr>
          <w:p>
            <w:pPr>
              <w:pStyle w:val="TableParagraph"/>
              <w:spacing w:line="240" w:lineRule="auto" w:before="0"/>
              <w:rPr>
                <w:i/>
                <w:sz w:val="22"/>
              </w:rPr>
            </w:pPr>
          </w:p>
          <w:p>
            <w:pPr>
              <w:pStyle w:val="TableParagraph"/>
              <w:spacing w:before="0"/>
              <w:ind w:left="78" w:right="78"/>
              <w:jc w:val="center"/>
              <w:rPr>
                <w:sz w:val="16"/>
              </w:rPr>
            </w:pPr>
            <w:r>
              <w:rPr>
                <w:sz w:val="16"/>
              </w:rPr>
              <w:t>59</w:t>
            </w:r>
          </w:p>
        </w:tc>
        <w:tc>
          <w:tcPr>
            <w:tcW w:w="797" w:type="dxa"/>
          </w:tcPr>
          <w:p>
            <w:pPr>
              <w:pStyle w:val="TableParagraph"/>
              <w:spacing w:line="240" w:lineRule="auto" w:before="0"/>
              <w:rPr>
                <w:i/>
                <w:sz w:val="22"/>
              </w:rPr>
            </w:pPr>
          </w:p>
          <w:p>
            <w:pPr>
              <w:pStyle w:val="TableParagraph"/>
              <w:spacing w:before="0"/>
              <w:ind w:left="77" w:right="78"/>
              <w:jc w:val="center"/>
              <w:rPr>
                <w:sz w:val="16"/>
              </w:rPr>
            </w:pPr>
            <w:r>
              <w:rPr>
                <w:sz w:val="16"/>
              </w:rPr>
              <w:t>68</w:t>
            </w:r>
          </w:p>
        </w:tc>
        <w:tc>
          <w:tcPr>
            <w:tcW w:w="587" w:type="dxa"/>
          </w:tcPr>
          <w:p>
            <w:pPr>
              <w:pStyle w:val="TableParagraph"/>
              <w:spacing w:line="240" w:lineRule="auto" w:before="0"/>
              <w:rPr>
                <w:i/>
                <w:sz w:val="22"/>
              </w:rPr>
            </w:pPr>
          </w:p>
          <w:p>
            <w:pPr>
              <w:pStyle w:val="TableParagraph"/>
              <w:spacing w:before="0"/>
              <w:ind w:right="136"/>
              <w:jc w:val="right"/>
              <w:rPr>
                <w:sz w:val="16"/>
              </w:rPr>
            </w:pPr>
            <w:r>
              <w:rPr>
                <w:w w:val="99"/>
                <w:sz w:val="16"/>
              </w:rPr>
              <w:t>9</w:t>
            </w:r>
          </w:p>
        </w:tc>
      </w:tr>
      <w:tr>
        <w:trPr>
          <w:trHeight w:val="199" w:hRule="atLeast"/>
        </w:trPr>
        <w:tc>
          <w:tcPr>
            <w:tcW w:w="1651" w:type="dxa"/>
          </w:tcPr>
          <w:p>
            <w:pPr>
              <w:pStyle w:val="TableParagraph"/>
              <w:ind w:left="159"/>
              <w:rPr>
                <w:sz w:val="16"/>
              </w:rPr>
            </w:pPr>
            <w:r>
              <w:rPr>
                <w:sz w:val="16"/>
              </w:rPr>
              <w:t>Whites, nonHispanic</w:t>
            </w:r>
          </w:p>
        </w:tc>
        <w:tc>
          <w:tcPr>
            <w:tcW w:w="797" w:type="dxa"/>
          </w:tcPr>
          <w:p>
            <w:pPr>
              <w:pStyle w:val="TableParagraph"/>
              <w:ind w:left="78" w:right="78"/>
              <w:jc w:val="center"/>
              <w:rPr>
                <w:sz w:val="16"/>
              </w:rPr>
            </w:pPr>
            <w:r>
              <w:rPr>
                <w:sz w:val="16"/>
              </w:rPr>
              <w:t>61</w:t>
            </w:r>
          </w:p>
        </w:tc>
        <w:tc>
          <w:tcPr>
            <w:tcW w:w="797" w:type="dxa"/>
          </w:tcPr>
          <w:p>
            <w:pPr>
              <w:pStyle w:val="TableParagraph"/>
              <w:ind w:left="77" w:right="78"/>
              <w:jc w:val="center"/>
              <w:rPr>
                <w:sz w:val="16"/>
              </w:rPr>
            </w:pPr>
            <w:r>
              <w:rPr>
                <w:sz w:val="16"/>
              </w:rPr>
              <w:t>73</w:t>
            </w:r>
          </w:p>
        </w:tc>
        <w:tc>
          <w:tcPr>
            <w:tcW w:w="587" w:type="dxa"/>
          </w:tcPr>
          <w:p>
            <w:pPr>
              <w:pStyle w:val="TableParagraph"/>
              <w:ind w:left="289"/>
              <w:rPr>
                <w:sz w:val="16"/>
              </w:rPr>
            </w:pPr>
            <w:r>
              <w:rPr>
                <w:sz w:val="16"/>
              </w:rPr>
              <w:t>12</w:t>
            </w:r>
          </w:p>
        </w:tc>
      </w:tr>
      <w:tr>
        <w:trPr>
          <w:trHeight w:val="199" w:hRule="atLeast"/>
        </w:trPr>
        <w:tc>
          <w:tcPr>
            <w:tcW w:w="1651" w:type="dxa"/>
          </w:tcPr>
          <w:p>
            <w:pPr>
              <w:pStyle w:val="TableParagraph"/>
              <w:ind w:left="159"/>
              <w:rPr>
                <w:sz w:val="16"/>
              </w:rPr>
            </w:pPr>
            <w:r>
              <w:rPr>
                <w:sz w:val="16"/>
              </w:rPr>
              <w:t>Blacks</w:t>
            </w:r>
          </w:p>
        </w:tc>
        <w:tc>
          <w:tcPr>
            <w:tcW w:w="797" w:type="dxa"/>
          </w:tcPr>
          <w:p>
            <w:pPr>
              <w:pStyle w:val="TableParagraph"/>
              <w:ind w:left="78" w:right="78"/>
              <w:jc w:val="center"/>
              <w:rPr>
                <w:sz w:val="16"/>
              </w:rPr>
            </w:pPr>
            <w:r>
              <w:rPr>
                <w:sz w:val="16"/>
              </w:rPr>
              <w:t>53</w:t>
            </w:r>
          </w:p>
        </w:tc>
        <w:tc>
          <w:tcPr>
            <w:tcW w:w="797" w:type="dxa"/>
          </w:tcPr>
          <w:p>
            <w:pPr>
              <w:pStyle w:val="TableParagraph"/>
              <w:ind w:left="77" w:right="78"/>
              <w:jc w:val="center"/>
              <w:rPr>
                <w:sz w:val="16"/>
              </w:rPr>
            </w:pPr>
            <w:r>
              <w:rPr>
                <w:sz w:val="16"/>
              </w:rPr>
              <w:t>57</w:t>
            </w:r>
          </w:p>
        </w:tc>
        <w:tc>
          <w:tcPr>
            <w:tcW w:w="587" w:type="dxa"/>
          </w:tcPr>
          <w:p>
            <w:pPr>
              <w:pStyle w:val="TableParagraph"/>
              <w:ind w:right="136"/>
              <w:jc w:val="right"/>
              <w:rPr>
                <w:sz w:val="16"/>
              </w:rPr>
            </w:pPr>
            <w:r>
              <w:rPr>
                <w:w w:val="99"/>
                <w:sz w:val="16"/>
              </w:rPr>
              <w:t>4</w:t>
            </w:r>
          </w:p>
        </w:tc>
      </w:tr>
      <w:tr>
        <w:trPr>
          <w:trHeight w:val="199" w:hRule="atLeast"/>
        </w:trPr>
        <w:tc>
          <w:tcPr>
            <w:tcW w:w="1651" w:type="dxa"/>
          </w:tcPr>
          <w:p>
            <w:pPr>
              <w:pStyle w:val="TableParagraph"/>
              <w:ind w:left="159"/>
              <w:rPr>
                <w:sz w:val="16"/>
              </w:rPr>
            </w:pPr>
            <w:r>
              <w:rPr>
                <w:sz w:val="16"/>
              </w:rPr>
              <w:t>Asians</w:t>
            </w:r>
          </w:p>
        </w:tc>
        <w:tc>
          <w:tcPr>
            <w:tcW w:w="797" w:type="dxa"/>
          </w:tcPr>
          <w:p>
            <w:pPr>
              <w:pStyle w:val="TableParagraph"/>
              <w:ind w:left="78" w:right="78"/>
              <w:jc w:val="center"/>
              <w:rPr>
                <w:sz w:val="16"/>
              </w:rPr>
            </w:pPr>
            <w:r>
              <w:rPr>
                <w:sz w:val="16"/>
              </w:rPr>
              <w:t>55</w:t>
            </w:r>
          </w:p>
        </w:tc>
        <w:tc>
          <w:tcPr>
            <w:tcW w:w="797" w:type="dxa"/>
          </w:tcPr>
          <w:p>
            <w:pPr>
              <w:pStyle w:val="TableParagraph"/>
              <w:ind w:left="77" w:right="78"/>
              <w:jc w:val="center"/>
              <w:rPr>
                <w:sz w:val="16"/>
              </w:rPr>
            </w:pPr>
            <w:r>
              <w:rPr>
                <w:sz w:val="16"/>
              </w:rPr>
              <w:t>56</w:t>
            </w:r>
          </w:p>
        </w:tc>
        <w:tc>
          <w:tcPr>
            <w:tcW w:w="587" w:type="dxa"/>
          </w:tcPr>
          <w:p>
            <w:pPr>
              <w:pStyle w:val="TableParagraph"/>
              <w:ind w:right="136"/>
              <w:jc w:val="right"/>
              <w:rPr>
                <w:sz w:val="16"/>
              </w:rPr>
            </w:pPr>
            <w:r>
              <w:rPr>
                <w:w w:val="99"/>
                <w:sz w:val="16"/>
              </w:rPr>
              <w:t>1</w:t>
            </w:r>
          </w:p>
        </w:tc>
      </w:tr>
      <w:tr>
        <w:trPr>
          <w:trHeight w:val="263" w:hRule="atLeast"/>
        </w:trPr>
        <w:tc>
          <w:tcPr>
            <w:tcW w:w="1651" w:type="dxa"/>
            <w:tcBorders>
              <w:bottom w:val="single" w:sz="4" w:space="0" w:color="000000"/>
            </w:tcBorders>
          </w:tcPr>
          <w:p>
            <w:pPr>
              <w:pStyle w:val="TableParagraph"/>
              <w:spacing w:line="240" w:lineRule="auto"/>
              <w:ind w:left="159"/>
              <w:rPr>
                <w:sz w:val="16"/>
              </w:rPr>
            </w:pPr>
            <w:r>
              <w:rPr>
                <w:sz w:val="16"/>
              </w:rPr>
              <w:t>Hispanics</w:t>
            </w:r>
          </w:p>
        </w:tc>
        <w:tc>
          <w:tcPr>
            <w:tcW w:w="797" w:type="dxa"/>
            <w:tcBorders>
              <w:bottom w:val="single" w:sz="4" w:space="0" w:color="000000"/>
            </w:tcBorders>
          </w:tcPr>
          <w:p>
            <w:pPr>
              <w:pStyle w:val="TableParagraph"/>
              <w:spacing w:line="240" w:lineRule="auto"/>
              <w:ind w:left="78" w:right="78"/>
              <w:jc w:val="center"/>
              <w:rPr>
                <w:sz w:val="16"/>
              </w:rPr>
            </w:pPr>
            <w:r>
              <w:rPr>
                <w:sz w:val="16"/>
              </w:rPr>
              <w:t>49</w:t>
            </w:r>
          </w:p>
        </w:tc>
        <w:tc>
          <w:tcPr>
            <w:tcW w:w="797" w:type="dxa"/>
            <w:tcBorders>
              <w:bottom w:val="single" w:sz="4" w:space="0" w:color="000000"/>
            </w:tcBorders>
          </w:tcPr>
          <w:p>
            <w:pPr>
              <w:pStyle w:val="TableParagraph"/>
              <w:spacing w:line="240" w:lineRule="auto"/>
              <w:ind w:left="77" w:right="78"/>
              <w:jc w:val="center"/>
              <w:rPr>
                <w:sz w:val="16"/>
              </w:rPr>
            </w:pPr>
            <w:r>
              <w:rPr>
                <w:sz w:val="16"/>
              </w:rPr>
              <w:t>62</w:t>
            </w:r>
          </w:p>
        </w:tc>
        <w:tc>
          <w:tcPr>
            <w:tcW w:w="587" w:type="dxa"/>
            <w:tcBorders>
              <w:bottom w:val="single" w:sz="4" w:space="0" w:color="000000"/>
            </w:tcBorders>
          </w:tcPr>
          <w:p>
            <w:pPr>
              <w:pStyle w:val="TableParagraph"/>
              <w:spacing w:line="240" w:lineRule="auto"/>
              <w:ind w:left="289"/>
              <w:rPr>
                <w:sz w:val="16"/>
              </w:rPr>
            </w:pPr>
            <w:r>
              <w:rPr>
                <w:sz w:val="16"/>
              </w:rPr>
              <w:t>12</w:t>
            </w:r>
          </w:p>
        </w:tc>
      </w:tr>
    </w:tbl>
    <w:p>
      <w:pPr>
        <w:spacing w:before="81"/>
        <w:ind w:left="1583" w:right="0" w:firstLine="0"/>
        <w:jc w:val="left"/>
        <w:rPr>
          <w:sz w:val="16"/>
        </w:rPr>
      </w:pPr>
      <w:r>
        <w:rPr>
          <w:i/>
          <w:position w:val="5"/>
          <w:sz w:val="11"/>
        </w:rPr>
        <w:t>a </w:t>
      </w:r>
      <w:r>
        <w:rPr>
          <w:i/>
          <w:sz w:val="16"/>
        </w:rPr>
        <w:t>Source. </w:t>
      </w:r>
      <w:r>
        <w:rPr>
          <w:sz w:val="16"/>
        </w:rPr>
        <w:t>U.S. Census, PUMS, 1980, 1990.</w:t>
      </w:r>
    </w:p>
    <w:p>
      <w:pPr>
        <w:pStyle w:val="BodyText"/>
        <w:spacing w:before="3"/>
        <w:rPr>
          <w:sz w:val="29"/>
        </w:rPr>
      </w:pPr>
    </w:p>
    <w:p>
      <w:pPr>
        <w:pStyle w:val="BodyText"/>
        <w:spacing w:line="249" w:lineRule="auto" w:before="92"/>
        <w:ind w:left="107" w:right="111"/>
        <w:jc w:val="both"/>
      </w:pPr>
      <w:r>
        <w:rPr/>
        <w:t>But perhaps the most striking finding relates to the gender gap in </w:t>
      </w:r>
      <w:r>
        <w:rPr>
          <w:spacing w:val="-3"/>
        </w:rPr>
        <w:t>affordability. </w:t>
      </w:r>
      <w:r>
        <w:rPr/>
        <w:t>More</w:t>
      </w:r>
      <w:r>
        <w:rPr>
          <w:spacing w:val="-10"/>
        </w:rPr>
        <w:t> </w:t>
      </w:r>
      <w:r>
        <w:rPr/>
        <w:t>than</w:t>
      </w:r>
      <w:r>
        <w:rPr>
          <w:spacing w:val="-9"/>
        </w:rPr>
        <w:t> </w:t>
      </w:r>
      <w:r>
        <w:rPr/>
        <w:t>30%</w:t>
      </w:r>
      <w:r>
        <w:rPr>
          <w:spacing w:val="-9"/>
        </w:rPr>
        <w:t> </w:t>
      </w:r>
      <w:r>
        <w:rPr/>
        <w:t>percent</w:t>
      </w:r>
      <w:r>
        <w:rPr>
          <w:spacing w:val="-10"/>
        </w:rPr>
        <w:t> </w:t>
      </w:r>
      <w:r>
        <w:rPr/>
        <w:t>of</w:t>
      </w:r>
      <w:r>
        <w:rPr>
          <w:spacing w:val="-9"/>
        </w:rPr>
        <w:t> </w:t>
      </w:r>
      <w:r>
        <w:rPr/>
        <w:t>female-headed</w:t>
      </w:r>
      <w:r>
        <w:rPr>
          <w:spacing w:val="-9"/>
        </w:rPr>
        <w:t> </w:t>
      </w:r>
      <w:r>
        <w:rPr/>
        <w:t>renter</w:t>
      </w:r>
      <w:r>
        <w:rPr>
          <w:spacing w:val="-9"/>
        </w:rPr>
        <w:t> </w:t>
      </w:r>
      <w:r>
        <w:rPr/>
        <w:t>households</w:t>
      </w:r>
      <w:r>
        <w:rPr>
          <w:spacing w:val="-10"/>
        </w:rPr>
        <w:t> </w:t>
      </w:r>
      <w:r>
        <w:rPr/>
        <w:t>had</w:t>
      </w:r>
      <w:r>
        <w:rPr>
          <w:spacing w:val="-9"/>
        </w:rPr>
        <w:t> </w:t>
      </w:r>
      <w:r>
        <w:rPr/>
        <w:t>payment</w:t>
      </w:r>
      <w:r>
        <w:rPr>
          <w:spacing w:val="-9"/>
        </w:rPr>
        <w:t> </w:t>
      </w:r>
      <w:r>
        <w:rPr/>
        <w:t>burdens of</w:t>
      </w:r>
      <w:r>
        <w:rPr>
          <w:spacing w:val="-5"/>
        </w:rPr>
        <w:t> </w:t>
      </w:r>
      <w:r>
        <w:rPr/>
        <w:t>50%</w:t>
      </w:r>
      <w:r>
        <w:rPr>
          <w:spacing w:val="-4"/>
        </w:rPr>
        <w:t> </w:t>
      </w:r>
      <w:r>
        <w:rPr/>
        <w:t>or</w:t>
      </w:r>
      <w:r>
        <w:rPr>
          <w:spacing w:val="-4"/>
        </w:rPr>
        <w:t> </w:t>
      </w:r>
      <w:r>
        <w:rPr/>
        <w:t>more,</w:t>
      </w:r>
      <w:r>
        <w:rPr>
          <w:spacing w:val="-4"/>
        </w:rPr>
        <w:t> </w:t>
      </w:r>
      <w:r>
        <w:rPr/>
        <w:t>compared</w:t>
      </w:r>
      <w:r>
        <w:rPr>
          <w:spacing w:val="-5"/>
        </w:rPr>
        <w:t> </w:t>
      </w:r>
      <w:r>
        <w:rPr/>
        <w:t>to</w:t>
      </w:r>
      <w:r>
        <w:rPr>
          <w:spacing w:val="-4"/>
        </w:rPr>
        <w:t> </w:t>
      </w:r>
      <w:r>
        <w:rPr/>
        <w:t>18%</w:t>
      </w:r>
      <w:r>
        <w:rPr>
          <w:spacing w:val="-4"/>
        </w:rPr>
        <w:t> </w:t>
      </w:r>
      <w:r>
        <w:rPr/>
        <w:t>of</w:t>
      </w:r>
      <w:r>
        <w:rPr>
          <w:spacing w:val="-4"/>
        </w:rPr>
        <w:t> </w:t>
      </w:r>
      <w:r>
        <w:rPr/>
        <w:t>male-headed</w:t>
      </w:r>
      <w:r>
        <w:rPr>
          <w:spacing w:val="-5"/>
        </w:rPr>
        <w:t> </w:t>
      </w:r>
      <w:r>
        <w:rPr/>
        <w:t>households.</w:t>
      </w:r>
    </w:p>
    <w:p>
      <w:pPr>
        <w:pStyle w:val="BodyText"/>
        <w:spacing w:line="249" w:lineRule="auto" w:before="1"/>
        <w:ind w:left="107" w:right="115" w:firstLine="199"/>
        <w:jc w:val="both"/>
      </w:pPr>
      <w:r>
        <w:rPr/>
        <w:t>Part of the affordability problem was clearly due to rising rents and home values. However, falling incomes also played a major role. A recent survey of households living in rent-stabilized units within the City of Los Angeles found that their median incomes dropped by a third between 1990 and 1993, and the share paying more than 40% of income on rent grew by 60%, although rents had declined</w:t>
      </w:r>
      <w:r>
        <w:rPr>
          <w:spacing w:val="-8"/>
        </w:rPr>
        <w:t> </w:t>
      </w:r>
      <w:r>
        <w:rPr/>
        <w:t>marginally</w:t>
      </w:r>
      <w:r>
        <w:rPr>
          <w:spacing w:val="-8"/>
        </w:rPr>
        <w:t> </w:t>
      </w:r>
      <w:r>
        <w:rPr/>
        <w:t>since</w:t>
      </w:r>
      <w:r>
        <w:rPr>
          <w:spacing w:val="-8"/>
        </w:rPr>
        <w:t> </w:t>
      </w:r>
      <w:r>
        <w:rPr/>
        <w:t>1987</w:t>
      </w:r>
      <w:r>
        <w:rPr>
          <w:spacing w:val="-8"/>
        </w:rPr>
        <w:t> </w:t>
      </w:r>
      <w:r>
        <w:rPr/>
        <w:t>(Hamilton,</w:t>
      </w:r>
      <w:r>
        <w:rPr>
          <w:spacing w:val="-7"/>
        </w:rPr>
        <w:t> </w:t>
      </w:r>
      <w:r>
        <w:rPr/>
        <w:t>Rabinovitz</w:t>
      </w:r>
      <w:r>
        <w:rPr>
          <w:spacing w:val="-8"/>
        </w:rPr>
        <w:t> </w:t>
      </w:r>
      <w:r>
        <w:rPr/>
        <w:t>and</w:t>
      </w:r>
      <w:r>
        <w:rPr>
          <w:spacing w:val="-18"/>
        </w:rPr>
        <w:t> </w:t>
      </w:r>
      <w:r>
        <w:rPr/>
        <w:t>Alschuler,</w:t>
      </w:r>
      <w:r>
        <w:rPr>
          <w:spacing w:val="-8"/>
        </w:rPr>
        <w:t> </w:t>
      </w:r>
      <w:r>
        <w:rPr/>
        <w:t>Inc.,</w:t>
      </w:r>
      <w:r>
        <w:rPr>
          <w:spacing w:val="-8"/>
        </w:rPr>
        <w:t> </w:t>
      </w:r>
      <w:r>
        <w:rPr/>
        <w:t>1994). The role of falling incomes in producing affordability problems is also</w:t>
      </w:r>
      <w:r>
        <w:rPr>
          <w:spacing w:val="-21"/>
        </w:rPr>
        <w:t> </w:t>
      </w:r>
      <w:r>
        <w:rPr/>
        <w:t>supported by</w:t>
      </w:r>
      <w:r>
        <w:rPr>
          <w:spacing w:val="-7"/>
        </w:rPr>
        <w:t> </w:t>
      </w:r>
      <w:r>
        <w:rPr/>
        <w:t>recent</w:t>
      </w:r>
      <w:r>
        <w:rPr>
          <w:spacing w:val="-7"/>
        </w:rPr>
        <w:t> </w:t>
      </w:r>
      <w:r>
        <w:rPr/>
        <w:t>findings</w:t>
      </w:r>
      <w:r>
        <w:rPr>
          <w:spacing w:val="-6"/>
        </w:rPr>
        <w:t> </w:t>
      </w:r>
      <w:r>
        <w:rPr/>
        <w:t>of</w:t>
      </w:r>
      <w:r>
        <w:rPr>
          <w:spacing w:val="-7"/>
        </w:rPr>
        <w:t> </w:t>
      </w:r>
      <w:r>
        <w:rPr/>
        <w:t>growing</w:t>
      </w:r>
      <w:r>
        <w:rPr>
          <w:spacing w:val="-7"/>
        </w:rPr>
        <w:t> </w:t>
      </w:r>
      <w:r>
        <w:rPr/>
        <w:t>income</w:t>
      </w:r>
      <w:r>
        <w:rPr>
          <w:spacing w:val="-6"/>
        </w:rPr>
        <w:t> </w:t>
      </w:r>
      <w:r>
        <w:rPr/>
        <w:t>polarization</w:t>
      </w:r>
      <w:r>
        <w:rPr>
          <w:spacing w:val="-7"/>
        </w:rPr>
        <w:t> </w:t>
      </w:r>
      <w:r>
        <w:rPr/>
        <w:t>in</w:t>
      </w:r>
      <w:r>
        <w:rPr>
          <w:spacing w:val="-7"/>
        </w:rPr>
        <w:t> </w:t>
      </w:r>
      <w:r>
        <w:rPr/>
        <w:t>California,</w:t>
      </w:r>
      <w:r>
        <w:rPr>
          <w:spacing w:val="-7"/>
        </w:rPr>
        <w:t> </w:t>
      </w:r>
      <w:r>
        <w:rPr/>
        <w:t>caused</w:t>
      </w:r>
      <w:r>
        <w:rPr>
          <w:spacing w:val="-6"/>
        </w:rPr>
        <w:t> </w:t>
      </w:r>
      <w:r>
        <w:rPr/>
        <w:t>primarily </w:t>
      </w:r>
      <w:r>
        <w:rPr>
          <w:spacing w:val="-3"/>
        </w:rPr>
        <w:t>by</w:t>
      </w:r>
      <w:r>
        <w:rPr>
          <w:spacing w:val="-14"/>
        </w:rPr>
        <w:t> </w:t>
      </w:r>
      <w:r>
        <w:rPr>
          <w:spacing w:val="-6"/>
        </w:rPr>
        <w:t>declining</w:t>
      </w:r>
      <w:r>
        <w:rPr>
          <w:spacing w:val="-13"/>
        </w:rPr>
        <w:t> </w:t>
      </w:r>
      <w:r>
        <w:rPr>
          <w:spacing w:val="-6"/>
        </w:rPr>
        <w:t>incomes</w:t>
      </w:r>
      <w:r>
        <w:rPr>
          <w:spacing w:val="-13"/>
        </w:rPr>
        <w:t> </w:t>
      </w:r>
      <w:r>
        <w:rPr>
          <w:spacing w:val="-5"/>
        </w:rPr>
        <w:t>among</w:t>
      </w:r>
      <w:r>
        <w:rPr>
          <w:spacing w:val="-14"/>
        </w:rPr>
        <w:t> </w:t>
      </w:r>
      <w:r>
        <w:rPr>
          <w:spacing w:val="-4"/>
        </w:rPr>
        <w:t>the</w:t>
      </w:r>
      <w:r>
        <w:rPr>
          <w:spacing w:val="-13"/>
        </w:rPr>
        <w:t> </w:t>
      </w:r>
      <w:r>
        <w:rPr>
          <w:spacing w:val="-5"/>
        </w:rPr>
        <w:t>least</w:t>
      </w:r>
      <w:r>
        <w:rPr>
          <w:spacing w:val="-14"/>
        </w:rPr>
        <w:t> </w:t>
      </w:r>
      <w:r>
        <w:rPr>
          <w:spacing w:val="-6"/>
        </w:rPr>
        <w:t>well-off</w:t>
      </w:r>
      <w:r>
        <w:rPr>
          <w:spacing w:val="-13"/>
        </w:rPr>
        <w:t> </w:t>
      </w:r>
      <w:r>
        <w:rPr>
          <w:spacing w:val="-5"/>
        </w:rPr>
        <w:t>(Reed,</w:t>
      </w:r>
      <w:r>
        <w:rPr>
          <w:spacing w:val="-13"/>
        </w:rPr>
        <w:t> </w:t>
      </w:r>
      <w:r>
        <w:rPr>
          <w:spacing w:val="-7"/>
        </w:rPr>
        <w:t>Haber,</w:t>
      </w:r>
      <w:r>
        <w:rPr>
          <w:spacing w:val="-14"/>
        </w:rPr>
        <w:t> </w:t>
      </w:r>
      <w:r>
        <w:rPr>
          <w:spacing w:val="-4"/>
        </w:rPr>
        <w:t>and</w:t>
      </w:r>
      <w:r>
        <w:rPr>
          <w:spacing w:val="-13"/>
        </w:rPr>
        <w:t> </w:t>
      </w:r>
      <w:r>
        <w:rPr>
          <w:spacing w:val="-6"/>
        </w:rPr>
        <w:t>Mameesh,</w:t>
      </w:r>
      <w:r>
        <w:rPr>
          <w:spacing w:val="-13"/>
        </w:rPr>
        <w:t> </w:t>
      </w:r>
      <w:r>
        <w:rPr>
          <w:spacing w:val="-6"/>
        </w:rPr>
        <w:t>1996).</w:t>
      </w:r>
    </w:p>
    <w:p>
      <w:pPr>
        <w:pStyle w:val="BodyText"/>
        <w:spacing w:line="249" w:lineRule="auto" w:before="2"/>
        <w:ind w:left="107" w:right="122" w:firstLine="199"/>
        <w:jc w:val="both"/>
      </w:pPr>
      <w:r>
        <w:rPr>
          <w:i/>
        </w:rPr>
        <w:t>Home ownership. </w:t>
      </w:r>
      <w:r>
        <w:rPr/>
        <w:t>In Los Angeles, the rate of home ownership is considerably lower than for the nation as a whole, but like the nation, the ownership rate fell slightly over the 1980s. The </w:t>
      </w:r>
      <w:r>
        <w:rPr>
          <w:i/>
        </w:rPr>
        <w:t>generation gap </w:t>
      </w:r>
      <w:r>
        <w:rPr/>
        <w:t>in home ownership—the difference between</w:t>
      </w:r>
      <w:r>
        <w:rPr>
          <w:spacing w:val="-8"/>
        </w:rPr>
        <w:t> </w:t>
      </w:r>
      <w:r>
        <w:rPr/>
        <w:t>ownership</w:t>
      </w:r>
      <w:r>
        <w:rPr>
          <w:spacing w:val="-7"/>
        </w:rPr>
        <w:t> </w:t>
      </w:r>
      <w:r>
        <w:rPr/>
        <w:t>rates</w:t>
      </w:r>
      <w:r>
        <w:rPr>
          <w:spacing w:val="-7"/>
        </w:rPr>
        <w:t> </w:t>
      </w:r>
      <w:r>
        <w:rPr/>
        <w:t>for</w:t>
      </w:r>
      <w:r>
        <w:rPr>
          <w:spacing w:val="-8"/>
        </w:rPr>
        <w:t> </w:t>
      </w:r>
      <w:r>
        <w:rPr/>
        <w:t>younger</w:t>
      </w:r>
      <w:r>
        <w:rPr>
          <w:spacing w:val="-7"/>
        </w:rPr>
        <w:t> </w:t>
      </w:r>
      <w:r>
        <w:rPr/>
        <w:t>versus</w:t>
      </w:r>
      <w:r>
        <w:rPr>
          <w:spacing w:val="-7"/>
        </w:rPr>
        <w:t> </w:t>
      </w:r>
      <w:r>
        <w:rPr/>
        <w:t>older</w:t>
      </w:r>
      <w:r>
        <w:rPr>
          <w:spacing w:val="-8"/>
        </w:rPr>
        <w:t> </w:t>
      </w:r>
      <w:r>
        <w:rPr/>
        <w:t>cohorts—was</w:t>
      </w:r>
      <w:r>
        <w:rPr>
          <w:spacing w:val="-7"/>
        </w:rPr>
        <w:t> </w:t>
      </w:r>
      <w:r>
        <w:rPr/>
        <w:t>far</w:t>
      </w:r>
      <w:r>
        <w:rPr>
          <w:spacing w:val="-7"/>
        </w:rPr>
        <w:t> </w:t>
      </w:r>
      <w:r>
        <w:rPr/>
        <w:t>more</w:t>
      </w:r>
      <w:r>
        <w:rPr>
          <w:spacing w:val="-7"/>
        </w:rPr>
        <w:t> </w:t>
      </w:r>
      <w:r>
        <w:rPr/>
        <w:t>striking in Los Angeles than in the country as a whole, however, especially for African Americans and Hispanic households </w:t>
      </w:r>
      <w:r>
        <w:rPr>
          <w:spacing w:val="-3"/>
        </w:rPr>
        <w:t>(Table</w:t>
      </w:r>
      <w:r>
        <w:rPr>
          <w:spacing w:val="-21"/>
        </w:rPr>
        <w:t> </w:t>
      </w:r>
      <w:r>
        <w:rPr/>
        <w:t>1).</w:t>
      </w:r>
    </w:p>
    <w:p>
      <w:pPr>
        <w:pStyle w:val="BodyText"/>
        <w:spacing w:line="249" w:lineRule="auto" w:before="2"/>
        <w:ind w:left="107" w:right="113" w:firstLine="199"/>
        <w:jc w:val="both"/>
      </w:pPr>
      <w:r>
        <w:rPr/>
        <w:t>Ownership rates among the 25- to 34-year-old group were only 32% in Los Angeles compared to 51% nationally, and fell to 27% by 1990; among the 65- to 75-year-old group, ownership rates climbed from 59 to 68% in 1990. Thus the generation</w:t>
      </w:r>
      <w:r>
        <w:rPr>
          <w:spacing w:val="-11"/>
        </w:rPr>
        <w:t> </w:t>
      </w:r>
      <w:r>
        <w:rPr/>
        <w:t>gap</w:t>
      </w:r>
      <w:r>
        <w:rPr>
          <w:spacing w:val="-10"/>
        </w:rPr>
        <w:t> </w:t>
      </w:r>
      <w:r>
        <w:rPr/>
        <w:t>grew</w:t>
      </w:r>
      <w:r>
        <w:rPr>
          <w:spacing w:val="-10"/>
        </w:rPr>
        <w:t> </w:t>
      </w:r>
      <w:r>
        <w:rPr/>
        <w:t>from</w:t>
      </w:r>
      <w:r>
        <w:rPr>
          <w:spacing w:val="-10"/>
        </w:rPr>
        <w:t> </w:t>
      </w:r>
      <w:r>
        <w:rPr/>
        <w:t>26</w:t>
      </w:r>
      <w:r>
        <w:rPr>
          <w:spacing w:val="-10"/>
        </w:rPr>
        <w:t> </w:t>
      </w:r>
      <w:r>
        <w:rPr/>
        <w:t>percentage</w:t>
      </w:r>
      <w:r>
        <w:rPr>
          <w:spacing w:val="-10"/>
        </w:rPr>
        <w:t> </w:t>
      </w:r>
      <w:r>
        <w:rPr/>
        <w:t>points,</w:t>
      </w:r>
      <w:r>
        <w:rPr>
          <w:spacing w:val="-10"/>
        </w:rPr>
        <w:t> </w:t>
      </w:r>
      <w:r>
        <w:rPr/>
        <w:t>to</w:t>
      </w:r>
      <w:r>
        <w:rPr>
          <w:spacing w:val="-10"/>
        </w:rPr>
        <w:t> </w:t>
      </w:r>
      <w:r>
        <w:rPr/>
        <w:t>a</w:t>
      </w:r>
      <w:r>
        <w:rPr>
          <w:spacing w:val="-10"/>
        </w:rPr>
        <w:t> </w:t>
      </w:r>
      <w:r>
        <w:rPr/>
        <w:t>startling</w:t>
      </w:r>
      <w:r>
        <w:rPr>
          <w:spacing w:val="-10"/>
        </w:rPr>
        <w:t> </w:t>
      </w:r>
      <w:r>
        <w:rPr/>
        <w:t>41</w:t>
      </w:r>
      <w:r>
        <w:rPr>
          <w:spacing w:val="-10"/>
        </w:rPr>
        <w:t> </w:t>
      </w:r>
      <w:r>
        <w:rPr/>
        <w:t>percentage</w:t>
      </w:r>
      <w:r>
        <w:rPr>
          <w:spacing w:val="-10"/>
        </w:rPr>
        <w:t> </w:t>
      </w:r>
      <w:r>
        <w:rPr/>
        <w:t>points in Los Angeles—a gap that both grew faster and ended up larger than for the country as a whole. For African Americans, the generation gap was actually smaller than the overall gap, a reversal of the national pattern—and thus good news;</w:t>
      </w:r>
      <w:r>
        <w:rPr>
          <w:spacing w:val="-5"/>
        </w:rPr>
        <w:t> </w:t>
      </w:r>
      <w:r>
        <w:rPr/>
        <w:t>the</w:t>
      </w:r>
      <w:r>
        <w:rPr>
          <w:spacing w:val="-4"/>
        </w:rPr>
        <w:t> </w:t>
      </w:r>
      <w:r>
        <w:rPr/>
        <w:t>generation</w:t>
      </w:r>
      <w:r>
        <w:rPr>
          <w:spacing w:val="-4"/>
        </w:rPr>
        <w:t> </w:t>
      </w:r>
      <w:r>
        <w:rPr/>
        <w:t>gap</w:t>
      </w:r>
      <w:r>
        <w:rPr>
          <w:spacing w:val="-4"/>
        </w:rPr>
        <w:t> </w:t>
      </w:r>
      <w:r>
        <w:rPr/>
        <w:t>actually</w:t>
      </w:r>
      <w:r>
        <w:rPr>
          <w:spacing w:val="-4"/>
        </w:rPr>
        <w:t> </w:t>
      </w:r>
      <w:r>
        <w:rPr/>
        <w:t>shrank</w:t>
      </w:r>
      <w:r>
        <w:rPr>
          <w:spacing w:val="-4"/>
        </w:rPr>
        <w:t> </w:t>
      </w:r>
      <w:r>
        <w:rPr/>
        <w:t>for</w:t>
      </w:r>
      <w:r>
        <w:rPr>
          <w:spacing w:val="-15"/>
        </w:rPr>
        <w:t> </w:t>
      </w:r>
      <w:r>
        <w:rPr/>
        <w:t>Asian</w:t>
      </w:r>
      <w:r>
        <w:rPr>
          <w:spacing w:val="-4"/>
        </w:rPr>
        <w:t> </w:t>
      </w:r>
      <w:r>
        <w:rPr/>
        <w:t>households.</w:t>
      </w:r>
      <w:r>
        <w:rPr>
          <w:spacing w:val="-4"/>
        </w:rPr>
        <w:t> </w:t>
      </w:r>
      <w:r>
        <w:rPr/>
        <w:t>However,</w:t>
      </w:r>
      <w:r>
        <w:rPr>
          <w:spacing w:val="-4"/>
        </w:rPr>
        <w:t> </w:t>
      </w:r>
      <w:r>
        <w:rPr/>
        <w:t>reflect-</w:t>
      </w:r>
    </w:p>
    <w:p>
      <w:pPr>
        <w:spacing w:after="0" w:line="249" w:lineRule="auto"/>
        <w:jc w:val="both"/>
        <w:sectPr>
          <w:pgSz w:w="7120" w:h="11820"/>
          <w:pgMar w:header="294" w:footer="0" w:top="500" w:bottom="280" w:left="260" w:right="160"/>
        </w:sectPr>
      </w:pPr>
    </w:p>
    <w:p>
      <w:pPr>
        <w:pStyle w:val="BodyText"/>
        <w:spacing w:before="5"/>
        <w:rPr>
          <w:sz w:val="25"/>
        </w:rPr>
      </w:pPr>
    </w:p>
    <w:p>
      <w:pPr>
        <w:pStyle w:val="BodyText"/>
        <w:ind w:left="121"/>
      </w:pPr>
      <w:r>
        <w:rPr/>
        <w:drawing>
          <wp:inline distT="0" distB="0" distL="0" distR="0">
            <wp:extent cx="4103611" cy="2151126"/>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4103611" cy="2151126"/>
                    </a:xfrm>
                    <a:prstGeom prst="rect">
                      <a:avLst/>
                    </a:prstGeom>
                  </pic:spPr>
                </pic:pic>
              </a:graphicData>
            </a:graphic>
          </wp:inline>
        </w:drawing>
      </w:r>
      <w:r>
        <w:rPr/>
      </w:r>
    </w:p>
    <w:p>
      <w:pPr>
        <w:spacing w:before="95"/>
        <w:ind w:left="648" w:right="0" w:firstLine="0"/>
        <w:jc w:val="left"/>
        <w:rPr>
          <w:sz w:val="16"/>
        </w:rPr>
      </w:pPr>
      <w:r>
        <w:rPr>
          <w:sz w:val="16"/>
        </w:rPr>
        <w:t>F</w:t>
      </w:r>
      <w:r>
        <w:rPr>
          <w:sz w:val="12"/>
        </w:rPr>
        <w:t>IG</w:t>
      </w:r>
      <w:r>
        <w:rPr>
          <w:sz w:val="16"/>
        </w:rPr>
        <w:t>. 3. Trajectories of home ownership in Los Angeles County by age: 1980–1990.</w:t>
      </w:r>
    </w:p>
    <w:p>
      <w:pPr>
        <w:pStyle w:val="BodyText"/>
      </w:pPr>
    </w:p>
    <w:p>
      <w:pPr>
        <w:pStyle w:val="BodyText"/>
        <w:spacing w:before="6"/>
        <w:rPr>
          <w:sz w:val="22"/>
        </w:rPr>
      </w:pPr>
    </w:p>
    <w:p>
      <w:pPr>
        <w:pStyle w:val="BodyText"/>
        <w:spacing w:line="249" w:lineRule="auto" w:before="1"/>
        <w:ind w:left="107" w:right="124"/>
        <w:jc w:val="both"/>
      </w:pPr>
      <w:r>
        <w:rPr/>
        <w:t>ing</w:t>
      </w:r>
      <w:r>
        <w:rPr>
          <w:spacing w:val="-5"/>
        </w:rPr>
        <w:t> </w:t>
      </w:r>
      <w:r>
        <w:rPr/>
        <w:t>the</w:t>
      </w:r>
      <w:r>
        <w:rPr>
          <w:spacing w:val="-4"/>
        </w:rPr>
        <w:t> </w:t>
      </w:r>
      <w:r>
        <w:rPr/>
        <w:t>increase</w:t>
      </w:r>
      <w:r>
        <w:rPr>
          <w:spacing w:val="-4"/>
        </w:rPr>
        <w:t> </w:t>
      </w:r>
      <w:r>
        <w:rPr/>
        <w:t>in</w:t>
      </w:r>
      <w:r>
        <w:rPr>
          <w:spacing w:val="-4"/>
        </w:rPr>
        <w:t> </w:t>
      </w:r>
      <w:r>
        <w:rPr/>
        <w:t>low-income</w:t>
      </w:r>
      <w:r>
        <w:rPr>
          <w:spacing w:val="-4"/>
        </w:rPr>
        <w:t> </w:t>
      </w:r>
      <w:r>
        <w:rPr/>
        <w:t>Latino</w:t>
      </w:r>
      <w:r>
        <w:rPr>
          <w:spacing w:val="-4"/>
        </w:rPr>
        <w:t> </w:t>
      </w:r>
      <w:r>
        <w:rPr/>
        <w:t>immigrants</w:t>
      </w:r>
      <w:r>
        <w:rPr>
          <w:spacing w:val="-4"/>
        </w:rPr>
        <w:t> </w:t>
      </w:r>
      <w:r>
        <w:rPr/>
        <w:t>to</w:t>
      </w:r>
      <w:r>
        <w:rPr>
          <w:spacing w:val="-4"/>
        </w:rPr>
        <w:t> </w:t>
      </w:r>
      <w:r>
        <w:rPr/>
        <w:t>the</w:t>
      </w:r>
      <w:r>
        <w:rPr>
          <w:spacing w:val="-4"/>
        </w:rPr>
        <w:t> </w:t>
      </w:r>
      <w:r>
        <w:rPr/>
        <w:t>region</w:t>
      </w:r>
      <w:r>
        <w:rPr>
          <w:spacing w:val="-4"/>
        </w:rPr>
        <w:t> </w:t>
      </w:r>
      <w:r>
        <w:rPr/>
        <w:t>during</w:t>
      </w:r>
      <w:r>
        <w:rPr>
          <w:spacing w:val="-4"/>
        </w:rPr>
        <w:t> </w:t>
      </w:r>
      <w:r>
        <w:rPr/>
        <w:t>the</w:t>
      </w:r>
      <w:r>
        <w:rPr>
          <w:spacing w:val="-4"/>
        </w:rPr>
        <w:t> </w:t>
      </w:r>
      <w:r>
        <w:rPr/>
        <w:t>1980s, as well as the increasing economic security of older Latinos (whose rates </w:t>
      </w:r>
      <w:r>
        <w:rPr>
          <w:spacing w:val="-7"/>
        </w:rPr>
        <w:t>of </w:t>
      </w:r>
      <w:r>
        <w:rPr/>
        <w:t>ownership rose as fast as did Whites during the decade), the gap grew fastest </w:t>
      </w:r>
      <w:r>
        <w:rPr>
          <w:spacing w:val="-6"/>
        </w:rPr>
        <w:t>for </w:t>
      </w:r>
      <w:r>
        <w:rPr/>
        <w:t>Hispanic households: from 22% in 1980 to over 40% in 1990—for an 18 percentage point</w:t>
      </w:r>
      <w:r>
        <w:rPr>
          <w:spacing w:val="-9"/>
        </w:rPr>
        <w:t> </w:t>
      </w:r>
      <w:r>
        <w:rPr/>
        <w:t>gap.</w:t>
      </w:r>
    </w:p>
    <w:p>
      <w:pPr>
        <w:pStyle w:val="BodyText"/>
        <w:spacing w:line="249" w:lineRule="auto" w:before="1"/>
        <w:ind w:left="107" w:right="124" w:firstLine="199"/>
        <w:jc w:val="both"/>
      </w:pPr>
      <w:r>
        <w:rPr/>
        <w:t>Assessing the progress of cohorts into and out of home ownership, we can see that the cohort aged 25–29 in 1980 went from less than a 25% ownership rate to just over 40% by the time they had become the 35- to 39-year-old cohort in </w:t>
      </w:r>
      <w:r>
        <w:rPr>
          <w:spacing w:val="-4"/>
        </w:rPr>
        <w:t>1990 </w:t>
      </w:r>
      <w:r>
        <w:rPr/>
        <w:t>(Fig. 3). This is 20 percentage points lower than the rate for 35- to 39-year-olds had</w:t>
      </w:r>
      <w:r>
        <w:rPr>
          <w:spacing w:val="-12"/>
        </w:rPr>
        <w:t> </w:t>
      </w:r>
      <w:r>
        <w:rPr/>
        <w:t>been</w:t>
      </w:r>
      <w:r>
        <w:rPr>
          <w:spacing w:val="-12"/>
        </w:rPr>
        <w:t> </w:t>
      </w:r>
      <w:r>
        <w:rPr/>
        <w:t>10</w:t>
      </w:r>
      <w:r>
        <w:rPr>
          <w:spacing w:val="-12"/>
        </w:rPr>
        <w:t> </w:t>
      </w:r>
      <w:r>
        <w:rPr/>
        <w:t>years</w:t>
      </w:r>
      <w:r>
        <w:rPr>
          <w:spacing w:val="-11"/>
        </w:rPr>
        <w:t> </w:t>
      </w:r>
      <w:r>
        <w:rPr/>
        <w:t>earlier.</w:t>
      </w:r>
      <w:r>
        <w:rPr>
          <w:spacing w:val="-15"/>
        </w:rPr>
        <w:t> </w:t>
      </w:r>
      <w:r>
        <w:rPr/>
        <w:t>This</w:t>
      </w:r>
      <w:r>
        <w:rPr>
          <w:spacing w:val="-11"/>
        </w:rPr>
        <w:t> </w:t>
      </w:r>
      <w:r>
        <w:rPr/>
        <w:t>is</w:t>
      </w:r>
      <w:r>
        <w:rPr>
          <w:spacing w:val="-12"/>
        </w:rPr>
        <w:t> </w:t>
      </w:r>
      <w:r>
        <w:rPr/>
        <w:t>worrisome,</w:t>
      </w:r>
      <w:r>
        <w:rPr>
          <w:spacing w:val="-12"/>
        </w:rPr>
        <w:t> </w:t>
      </w:r>
      <w:r>
        <w:rPr/>
        <w:t>since</w:t>
      </w:r>
      <w:r>
        <w:rPr>
          <w:spacing w:val="-11"/>
        </w:rPr>
        <w:t> </w:t>
      </w:r>
      <w:r>
        <w:rPr/>
        <w:t>it</w:t>
      </w:r>
      <w:r>
        <w:rPr>
          <w:spacing w:val="-12"/>
        </w:rPr>
        <w:t> </w:t>
      </w:r>
      <w:r>
        <w:rPr/>
        <w:t>is</w:t>
      </w:r>
      <w:r>
        <w:rPr>
          <w:spacing w:val="-12"/>
        </w:rPr>
        <w:t> </w:t>
      </w:r>
      <w:r>
        <w:rPr/>
        <w:t>unlikely</w:t>
      </w:r>
      <w:r>
        <w:rPr>
          <w:spacing w:val="-12"/>
        </w:rPr>
        <w:t> </w:t>
      </w:r>
      <w:r>
        <w:rPr/>
        <w:t>that</w:t>
      </w:r>
      <w:r>
        <w:rPr>
          <w:spacing w:val="-11"/>
        </w:rPr>
        <w:t> </w:t>
      </w:r>
      <w:r>
        <w:rPr/>
        <w:t>these</w:t>
      </w:r>
      <w:r>
        <w:rPr>
          <w:spacing w:val="-12"/>
        </w:rPr>
        <w:t> </w:t>
      </w:r>
      <w:r>
        <w:rPr/>
        <w:t>younger cohorts</w:t>
      </w:r>
      <w:r>
        <w:rPr>
          <w:spacing w:val="-4"/>
        </w:rPr>
        <w:t> </w:t>
      </w:r>
      <w:r>
        <w:rPr/>
        <w:t>will</w:t>
      </w:r>
      <w:r>
        <w:rPr>
          <w:spacing w:val="-4"/>
        </w:rPr>
        <w:t> </w:t>
      </w:r>
      <w:r>
        <w:rPr/>
        <w:t>ever</w:t>
      </w:r>
      <w:r>
        <w:rPr>
          <w:spacing w:val="-4"/>
        </w:rPr>
        <w:t> </w:t>
      </w:r>
      <w:r>
        <w:rPr/>
        <w:t>catch</w:t>
      </w:r>
      <w:r>
        <w:rPr>
          <w:spacing w:val="-4"/>
        </w:rPr>
        <w:t> </w:t>
      </w:r>
      <w:r>
        <w:rPr/>
        <w:t>up</w:t>
      </w:r>
      <w:r>
        <w:rPr>
          <w:spacing w:val="-4"/>
        </w:rPr>
        <w:t> </w:t>
      </w:r>
      <w:r>
        <w:rPr/>
        <w:t>to</w:t>
      </w:r>
      <w:r>
        <w:rPr>
          <w:spacing w:val="-4"/>
        </w:rPr>
        <w:t> </w:t>
      </w:r>
      <w:r>
        <w:rPr/>
        <w:t>close</w:t>
      </w:r>
      <w:r>
        <w:rPr>
          <w:spacing w:val="-4"/>
        </w:rPr>
        <w:t> </w:t>
      </w:r>
      <w:r>
        <w:rPr/>
        <w:t>the</w:t>
      </w:r>
      <w:r>
        <w:rPr>
          <w:spacing w:val="-4"/>
        </w:rPr>
        <w:t> </w:t>
      </w:r>
      <w:r>
        <w:rPr/>
        <w:t>gap</w:t>
      </w:r>
      <w:r>
        <w:rPr>
          <w:spacing w:val="-4"/>
        </w:rPr>
        <w:t> </w:t>
      </w:r>
      <w:r>
        <w:rPr/>
        <w:t>between</w:t>
      </w:r>
      <w:r>
        <w:rPr>
          <w:spacing w:val="-4"/>
        </w:rPr>
        <w:t> </w:t>
      </w:r>
      <w:r>
        <w:rPr/>
        <w:t>themselves</w:t>
      </w:r>
      <w:r>
        <w:rPr>
          <w:spacing w:val="-4"/>
        </w:rPr>
        <w:t> </w:t>
      </w:r>
      <w:r>
        <w:rPr/>
        <w:t>and</w:t>
      </w:r>
      <w:r>
        <w:rPr>
          <w:spacing w:val="-4"/>
        </w:rPr>
        <w:t> </w:t>
      </w:r>
      <w:r>
        <w:rPr/>
        <w:t>older</w:t>
      </w:r>
      <w:r>
        <w:rPr>
          <w:spacing w:val="-4"/>
        </w:rPr>
        <w:t> </w:t>
      </w:r>
      <w:r>
        <w:rPr/>
        <w:t>cohorts, thus leading to falling ownership rates over</w:t>
      </w:r>
      <w:r>
        <w:rPr>
          <w:spacing w:val="-29"/>
        </w:rPr>
        <w:t> </w:t>
      </w:r>
      <w:r>
        <w:rPr/>
        <w:t>time.</w:t>
      </w:r>
    </w:p>
    <w:p>
      <w:pPr>
        <w:pStyle w:val="BodyText"/>
        <w:spacing w:line="249" w:lineRule="auto" w:before="2"/>
        <w:ind w:left="106" w:right="122" w:firstLine="199"/>
        <w:jc w:val="both"/>
      </w:pPr>
      <w:r>
        <w:rPr/>
        <w:t>On the other side of the age distribution, the drop-off in ownership rates that</w:t>
      </w:r>
      <w:r>
        <w:rPr>
          <w:spacing w:val="-34"/>
        </w:rPr>
        <w:t> </w:t>
      </w:r>
      <w:r>
        <w:rPr/>
        <w:t>is </w:t>
      </w:r>
      <w:r>
        <w:rPr>
          <w:spacing w:val="-6"/>
        </w:rPr>
        <w:t>typical </w:t>
      </w:r>
      <w:r>
        <w:rPr>
          <w:spacing w:val="-3"/>
        </w:rPr>
        <w:t>of </w:t>
      </w:r>
      <w:r>
        <w:rPr>
          <w:spacing w:val="-5"/>
        </w:rPr>
        <w:t>older </w:t>
      </w:r>
      <w:r>
        <w:rPr>
          <w:spacing w:val="-6"/>
        </w:rPr>
        <w:t>cohorts </w:t>
      </w:r>
      <w:r>
        <w:rPr>
          <w:spacing w:val="-3"/>
        </w:rPr>
        <w:t>as </w:t>
      </w:r>
      <w:r>
        <w:rPr>
          <w:spacing w:val="-5"/>
        </w:rPr>
        <w:t>they </w:t>
      </w:r>
      <w:r>
        <w:rPr>
          <w:spacing w:val="-4"/>
        </w:rPr>
        <w:t>age and </w:t>
      </w:r>
      <w:r>
        <w:rPr>
          <w:spacing w:val="-5"/>
        </w:rPr>
        <w:t>become less able </w:t>
      </w:r>
      <w:r>
        <w:rPr>
          <w:spacing w:val="-3"/>
        </w:rPr>
        <w:t>to </w:t>
      </w:r>
      <w:r>
        <w:rPr>
          <w:spacing w:val="-6"/>
        </w:rPr>
        <w:t>maintain </w:t>
      </w:r>
      <w:r>
        <w:rPr>
          <w:spacing w:val="-3"/>
        </w:rPr>
        <w:t>an </w:t>
      </w:r>
      <w:r>
        <w:rPr>
          <w:spacing w:val="-6"/>
        </w:rPr>
        <w:t>independent </w:t>
      </w:r>
      <w:r>
        <w:rPr/>
        <w:t>living</w:t>
      </w:r>
      <w:r>
        <w:rPr>
          <w:spacing w:val="-5"/>
        </w:rPr>
        <w:t> </w:t>
      </w:r>
      <w:r>
        <w:rPr/>
        <w:t>unit</w:t>
      </w:r>
      <w:r>
        <w:rPr>
          <w:spacing w:val="-5"/>
        </w:rPr>
        <w:t> </w:t>
      </w:r>
      <w:r>
        <w:rPr/>
        <w:t>was</w:t>
      </w:r>
      <w:r>
        <w:rPr>
          <w:spacing w:val="-5"/>
        </w:rPr>
        <w:t> </w:t>
      </w:r>
      <w:r>
        <w:rPr/>
        <w:t>apparent</w:t>
      </w:r>
      <w:r>
        <w:rPr>
          <w:spacing w:val="-4"/>
        </w:rPr>
        <w:t> </w:t>
      </w:r>
      <w:r>
        <w:rPr/>
        <w:t>in</w:t>
      </w:r>
      <w:r>
        <w:rPr>
          <w:spacing w:val="-5"/>
        </w:rPr>
        <w:t> </w:t>
      </w:r>
      <w:r>
        <w:rPr/>
        <w:t>both</w:t>
      </w:r>
      <w:r>
        <w:rPr>
          <w:spacing w:val="-5"/>
        </w:rPr>
        <w:t> </w:t>
      </w:r>
      <w:r>
        <w:rPr/>
        <w:t>1980</w:t>
      </w:r>
      <w:r>
        <w:rPr>
          <w:spacing w:val="-4"/>
        </w:rPr>
        <w:t> </w:t>
      </w:r>
      <w:r>
        <w:rPr/>
        <w:t>and</w:t>
      </w:r>
      <w:r>
        <w:rPr>
          <w:spacing w:val="-5"/>
        </w:rPr>
        <w:t> </w:t>
      </w:r>
      <w:r>
        <w:rPr/>
        <w:t>1990,</w:t>
      </w:r>
      <w:r>
        <w:rPr>
          <w:spacing w:val="-5"/>
        </w:rPr>
        <w:t> </w:t>
      </w:r>
      <w:r>
        <w:rPr/>
        <w:t>but</w:t>
      </w:r>
      <w:r>
        <w:rPr>
          <w:spacing w:val="-4"/>
        </w:rPr>
        <w:t> </w:t>
      </w:r>
      <w:r>
        <w:rPr/>
        <w:t>the</w:t>
      </w:r>
      <w:r>
        <w:rPr>
          <w:spacing w:val="-5"/>
        </w:rPr>
        <w:t> </w:t>
      </w:r>
      <w:r>
        <w:rPr/>
        <w:t>drop</w:t>
      </w:r>
      <w:r>
        <w:rPr>
          <w:spacing w:val="-5"/>
        </w:rPr>
        <w:t> </w:t>
      </w:r>
      <w:r>
        <w:rPr>
          <w:spacing w:val="-3"/>
        </w:rPr>
        <w:t>off</w:t>
      </w:r>
      <w:r>
        <w:rPr>
          <w:spacing w:val="-4"/>
        </w:rPr>
        <w:t> </w:t>
      </w:r>
      <w:r>
        <w:rPr/>
        <w:t>in</w:t>
      </w:r>
      <w:r>
        <w:rPr>
          <w:spacing w:val="-5"/>
        </w:rPr>
        <w:t> </w:t>
      </w:r>
      <w:r>
        <w:rPr/>
        <w:t>1990</w:t>
      </w:r>
      <w:r>
        <w:rPr>
          <w:spacing w:val="-5"/>
        </w:rPr>
        <w:t> </w:t>
      </w:r>
      <w:r>
        <w:rPr/>
        <w:t>occurred later</w:t>
      </w:r>
      <w:r>
        <w:rPr>
          <w:spacing w:val="-11"/>
        </w:rPr>
        <w:t> </w:t>
      </w:r>
      <w:r>
        <w:rPr/>
        <w:t>in</w:t>
      </w:r>
      <w:r>
        <w:rPr>
          <w:spacing w:val="-11"/>
        </w:rPr>
        <w:t> </w:t>
      </w:r>
      <w:r>
        <w:rPr/>
        <w:t>the</w:t>
      </w:r>
      <w:r>
        <w:rPr>
          <w:spacing w:val="-11"/>
        </w:rPr>
        <w:t> </w:t>
      </w:r>
      <w:r>
        <w:rPr/>
        <w:t>age</w:t>
      </w:r>
      <w:r>
        <w:rPr>
          <w:spacing w:val="-11"/>
        </w:rPr>
        <w:t> </w:t>
      </w:r>
      <w:r>
        <w:rPr/>
        <w:t>distribution.</w:t>
      </w:r>
      <w:r>
        <w:rPr>
          <w:spacing w:val="-10"/>
        </w:rPr>
        <w:t> </w:t>
      </w:r>
      <w:r>
        <w:rPr/>
        <w:t>Moreover,</w:t>
      </w:r>
      <w:r>
        <w:rPr>
          <w:spacing w:val="-11"/>
        </w:rPr>
        <w:t> </w:t>
      </w:r>
      <w:r>
        <w:rPr/>
        <w:t>individual</w:t>
      </w:r>
      <w:r>
        <w:rPr>
          <w:spacing w:val="-11"/>
        </w:rPr>
        <w:t> </w:t>
      </w:r>
      <w:r>
        <w:rPr/>
        <w:t>cohorts</w:t>
      </w:r>
      <w:r>
        <w:rPr>
          <w:spacing w:val="-11"/>
        </w:rPr>
        <w:t> </w:t>
      </w:r>
      <w:r>
        <w:rPr/>
        <w:t>in</w:t>
      </w:r>
      <w:r>
        <w:rPr>
          <w:spacing w:val="-10"/>
        </w:rPr>
        <w:t> </w:t>
      </w:r>
      <w:r>
        <w:rPr/>
        <w:t>Los</w:t>
      </w:r>
      <w:r>
        <w:rPr>
          <w:spacing w:val="-22"/>
        </w:rPr>
        <w:t> </w:t>
      </w:r>
      <w:r>
        <w:rPr/>
        <w:t>Angeles</w:t>
      </w:r>
      <w:r>
        <w:rPr>
          <w:spacing w:val="-10"/>
        </w:rPr>
        <w:t> </w:t>
      </w:r>
      <w:r>
        <w:rPr/>
        <w:t>had</w:t>
      </w:r>
      <w:r>
        <w:rPr>
          <w:spacing w:val="-11"/>
        </w:rPr>
        <w:t> </w:t>
      </w:r>
      <w:r>
        <w:rPr/>
        <w:t>very different</w:t>
      </w:r>
      <w:r>
        <w:rPr>
          <w:spacing w:val="-12"/>
        </w:rPr>
        <w:t> </w:t>
      </w:r>
      <w:r>
        <w:rPr/>
        <w:t>experiences</w:t>
      </w:r>
      <w:r>
        <w:rPr>
          <w:spacing w:val="-12"/>
        </w:rPr>
        <w:t> </w:t>
      </w:r>
      <w:r>
        <w:rPr/>
        <w:t>than</w:t>
      </w:r>
      <w:r>
        <w:rPr>
          <w:spacing w:val="-11"/>
        </w:rPr>
        <w:t> </w:t>
      </w:r>
      <w:r>
        <w:rPr/>
        <w:t>their</w:t>
      </w:r>
      <w:r>
        <w:rPr>
          <w:spacing w:val="-12"/>
        </w:rPr>
        <w:t> </w:t>
      </w:r>
      <w:r>
        <w:rPr/>
        <w:t>national</w:t>
      </w:r>
      <w:r>
        <w:rPr>
          <w:spacing w:val="-12"/>
        </w:rPr>
        <w:t> </w:t>
      </w:r>
      <w:r>
        <w:rPr/>
        <w:t>counterparts.</w:t>
      </w:r>
      <w:r>
        <w:rPr>
          <w:spacing w:val="-11"/>
        </w:rPr>
        <w:t> </w:t>
      </w:r>
      <w:r>
        <w:rPr/>
        <w:t>For</w:t>
      </w:r>
      <w:r>
        <w:rPr>
          <w:spacing w:val="-12"/>
        </w:rPr>
        <w:t> </w:t>
      </w:r>
      <w:r>
        <w:rPr/>
        <w:t>example,</w:t>
      </w:r>
      <w:r>
        <w:rPr>
          <w:spacing w:val="-12"/>
        </w:rPr>
        <w:t> </w:t>
      </w:r>
      <w:r>
        <w:rPr/>
        <w:t>the</w:t>
      </w:r>
      <w:r>
        <w:rPr>
          <w:spacing w:val="-11"/>
        </w:rPr>
        <w:t> </w:t>
      </w:r>
      <w:r>
        <w:rPr/>
        <w:t>ownership rate of 75- to 79-year-olds actually </w:t>
      </w:r>
      <w:r>
        <w:rPr>
          <w:i/>
        </w:rPr>
        <w:t>rose </w:t>
      </w:r>
      <w:r>
        <w:rPr/>
        <w:t>by the time this cohort had turned</w:t>
      </w:r>
      <w:r>
        <w:rPr>
          <w:spacing w:val="-24"/>
        </w:rPr>
        <w:t> </w:t>
      </w:r>
      <w:r>
        <w:rPr/>
        <w:t>85–89 in</w:t>
      </w:r>
      <w:r>
        <w:rPr>
          <w:spacing w:val="-3"/>
        </w:rPr>
        <w:t> </w:t>
      </w:r>
      <w:r>
        <w:rPr/>
        <w:t>1990.</w:t>
      </w:r>
      <w:r>
        <w:rPr>
          <w:spacing w:val="-14"/>
        </w:rPr>
        <w:t> </w:t>
      </w:r>
      <w:r>
        <w:rPr/>
        <w:t>And</w:t>
      </w:r>
      <w:r>
        <w:rPr>
          <w:spacing w:val="-3"/>
        </w:rPr>
        <w:t> </w:t>
      </w:r>
      <w:r>
        <w:rPr/>
        <w:t>many</w:t>
      </w:r>
      <w:r>
        <w:rPr>
          <w:spacing w:val="-3"/>
        </w:rPr>
        <w:t> </w:t>
      </w:r>
      <w:r>
        <w:rPr/>
        <w:t>of</w:t>
      </w:r>
      <w:r>
        <w:rPr>
          <w:spacing w:val="-3"/>
        </w:rPr>
        <w:t> </w:t>
      </w:r>
      <w:r>
        <w:rPr/>
        <w:t>the</w:t>
      </w:r>
      <w:r>
        <w:rPr>
          <w:spacing w:val="-3"/>
        </w:rPr>
        <w:t> </w:t>
      </w:r>
      <w:r>
        <w:rPr/>
        <w:t>older</w:t>
      </w:r>
      <w:r>
        <w:rPr>
          <w:spacing w:val="-3"/>
        </w:rPr>
        <w:t> </w:t>
      </w:r>
      <w:r>
        <w:rPr/>
        <w:t>cohorts</w:t>
      </w:r>
      <w:r>
        <w:rPr>
          <w:spacing w:val="-3"/>
        </w:rPr>
        <w:t> </w:t>
      </w:r>
      <w:r>
        <w:rPr/>
        <w:t>had</w:t>
      </w:r>
      <w:r>
        <w:rPr>
          <w:spacing w:val="-3"/>
        </w:rPr>
        <w:t> </w:t>
      </w:r>
      <w:r>
        <w:rPr/>
        <w:t>ownership</w:t>
      </w:r>
      <w:r>
        <w:rPr>
          <w:spacing w:val="-3"/>
        </w:rPr>
        <w:t> </w:t>
      </w:r>
      <w:r>
        <w:rPr/>
        <w:t>rates</w:t>
      </w:r>
      <w:r>
        <w:rPr>
          <w:spacing w:val="-3"/>
        </w:rPr>
        <w:t> </w:t>
      </w:r>
      <w:r>
        <w:rPr/>
        <w:t>15</w:t>
      </w:r>
      <w:r>
        <w:rPr>
          <w:spacing w:val="-3"/>
        </w:rPr>
        <w:t> </w:t>
      </w:r>
      <w:r>
        <w:rPr/>
        <w:t>percentage</w:t>
      </w:r>
      <w:r>
        <w:rPr>
          <w:spacing w:val="-3"/>
        </w:rPr>
        <w:t> </w:t>
      </w:r>
      <w:r>
        <w:rPr/>
        <w:t>points higher than their 1980 counterparts, indicating that the elderly in Los Angeles fared</w:t>
      </w:r>
      <w:r>
        <w:rPr>
          <w:spacing w:val="-5"/>
        </w:rPr>
        <w:t> </w:t>
      </w:r>
      <w:r>
        <w:rPr/>
        <w:t>better</w:t>
      </w:r>
      <w:r>
        <w:rPr>
          <w:spacing w:val="-4"/>
        </w:rPr>
        <w:t> </w:t>
      </w:r>
      <w:r>
        <w:rPr/>
        <w:t>in</w:t>
      </w:r>
      <w:r>
        <w:rPr>
          <w:spacing w:val="-4"/>
        </w:rPr>
        <w:t> </w:t>
      </w:r>
      <w:r>
        <w:rPr/>
        <w:t>this</w:t>
      </w:r>
      <w:r>
        <w:rPr>
          <w:spacing w:val="-4"/>
        </w:rPr>
        <w:t> </w:t>
      </w:r>
      <w:r>
        <w:rPr/>
        <w:t>respect</w:t>
      </w:r>
      <w:r>
        <w:rPr>
          <w:spacing w:val="-5"/>
        </w:rPr>
        <w:t> </w:t>
      </w:r>
      <w:r>
        <w:rPr/>
        <w:t>than</w:t>
      </w:r>
      <w:r>
        <w:rPr>
          <w:spacing w:val="-4"/>
        </w:rPr>
        <w:t> </w:t>
      </w:r>
      <w:r>
        <w:rPr/>
        <w:t>did</w:t>
      </w:r>
      <w:r>
        <w:rPr>
          <w:spacing w:val="-4"/>
        </w:rPr>
        <w:t> </w:t>
      </w:r>
      <w:r>
        <w:rPr/>
        <w:t>their</w:t>
      </w:r>
      <w:r>
        <w:rPr>
          <w:spacing w:val="-4"/>
        </w:rPr>
        <w:t> </w:t>
      </w:r>
      <w:r>
        <w:rPr/>
        <w:t>cohorts</w:t>
      </w:r>
      <w:r>
        <w:rPr>
          <w:spacing w:val="-4"/>
        </w:rPr>
        <w:t> </w:t>
      </w:r>
      <w:r>
        <w:rPr/>
        <w:t>nation-wide.</w:t>
      </w:r>
    </w:p>
    <w:p>
      <w:pPr>
        <w:pStyle w:val="BodyText"/>
        <w:spacing w:before="2"/>
        <w:rPr>
          <w:sz w:val="31"/>
        </w:rPr>
      </w:pPr>
    </w:p>
    <w:p>
      <w:pPr>
        <w:pStyle w:val="BodyText"/>
        <w:ind w:left="1279"/>
        <w:rPr>
          <w:rFonts w:ascii="Helvetica"/>
        </w:rPr>
      </w:pPr>
      <w:r>
        <w:rPr>
          <w:rFonts w:ascii="Helvetica"/>
        </w:rPr>
        <w:t>SHIFTING MARGINS OF HOUSING STATUS</w:t>
      </w:r>
    </w:p>
    <w:p>
      <w:pPr>
        <w:pStyle w:val="BodyText"/>
        <w:spacing w:line="249" w:lineRule="auto" w:before="88"/>
        <w:ind w:left="106" w:right="110" w:firstLine="199"/>
        <w:jc w:val="both"/>
      </w:pPr>
      <w:r>
        <w:rPr/>
        <w:t>In an effort to assess the overall impact of changing economic, demographic and housing market conditions on the housing circumstances of Los Angeles’ population during the 1980s, we utilized the composite measures of housing</w:t>
      </w:r>
    </w:p>
    <w:p>
      <w:pPr>
        <w:spacing w:after="0" w:line="249" w:lineRule="auto"/>
        <w:jc w:val="both"/>
        <w:sectPr>
          <w:pgSz w:w="7120" w:h="11820"/>
          <w:pgMar w:header="293" w:footer="0" w:top="500" w:bottom="280" w:left="260" w:right="160"/>
        </w:sectPr>
      </w:pPr>
    </w:p>
    <w:p>
      <w:pPr>
        <w:pStyle w:val="BodyText"/>
        <w:spacing w:before="2"/>
        <w:rPr>
          <w:sz w:val="14"/>
        </w:rPr>
      </w:pPr>
    </w:p>
    <w:p>
      <w:pPr>
        <w:spacing w:before="93"/>
        <w:ind w:left="1409" w:right="1426" w:firstLine="0"/>
        <w:jc w:val="center"/>
        <w:rPr>
          <w:sz w:val="16"/>
        </w:rPr>
      </w:pPr>
      <w:r>
        <w:rPr>
          <w:sz w:val="16"/>
        </w:rPr>
        <w:t>TABLE 2</w:t>
      </w:r>
    </w:p>
    <w:p>
      <w:pPr>
        <w:spacing w:before="13"/>
        <w:ind w:left="1158" w:right="1175" w:firstLine="0"/>
        <w:jc w:val="center"/>
        <w:rPr>
          <w:i/>
          <w:sz w:val="11"/>
        </w:rPr>
      </w:pPr>
      <w:r>
        <w:rPr>
          <w:sz w:val="16"/>
        </w:rPr>
        <w:t>Margins of Housing Status in Los Angeles County, 1980 and 1990</w:t>
      </w:r>
      <w:r>
        <w:rPr>
          <w:i/>
          <w:position w:val="5"/>
          <w:sz w:val="11"/>
        </w:rPr>
        <w:t>a</w:t>
      </w:r>
    </w:p>
    <w:p>
      <w:pPr>
        <w:pStyle w:val="BodyText"/>
        <w:spacing w:before="10"/>
        <w:rPr>
          <w:i/>
          <w:sz w:val="7"/>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0"/>
        <w:gridCol w:w="819"/>
        <w:gridCol w:w="821"/>
        <w:gridCol w:w="951"/>
        <w:gridCol w:w="899"/>
        <w:gridCol w:w="899"/>
        <w:gridCol w:w="639"/>
      </w:tblGrid>
      <w:tr>
        <w:trPr>
          <w:trHeight w:val="349" w:hRule="atLeast"/>
        </w:trPr>
        <w:tc>
          <w:tcPr>
            <w:tcW w:w="1440" w:type="dxa"/>
            <w:tcBorders>
              <w:top w:val="single" w:sz="4" w:space="0" w:color="000000"/>
              <w:bottom w:val="single" w:sz="2" w:space="0" w:color="000000"/>
            </w:tcBorders>
          </w:tcPr>
          <w:p>
            <w:pPr>
              <w:pStyle w:val="TableParagraph"/>
              <w:spacing w:line="240" w:lineRule="auto" w:before="0"/>
              <w:rPr>
                <w:sz w:val="18"/>
              </w:rPr>
            </w:pPr>
          </w:p>
        </w:tc>
        <w:tc>
          <w:tcPr>
            <w:tcW w:w="819" w:type="dxa"/>
            <w:tcBorders>
              <w:top w:val="single" w:sz="4" w:space="0" w:color="000000"/>
              <w:bottom w:val="single" w:sz="2" w:space="0" w:color="000000"/>
            </w:tcBorders>
          </w:tcPr>
          <w:p>
            <w:pPr>
              <w:pStyle w:val="TableParagraph"/>
              <w:spacing w:line="240" w:lineRule="auto" w:before="90"/>
              <w:ind w:left="129" w:right="129"/>
              <w:jc w:val="center"/>
              <w:rPr>
                <w:sz w:val="16"/>
              </w:rPr>
            </w:pPr>
            <w:r>
              <w:rPr>
                <w:sz w:val="16"/>
              </w:rPr>
              <w:t>1980</w:t>
            </w:r>
          </w:p>
        </w:tc>
        <w:tc>
          <w:tcPr>
            <w:tcW w:w="821" w:type="dxa"/>
            <w:tcBorders>
              <w:top w:val="single" w:sz="4" w:space="0" w:color="000000"/>
              <w:bottom w:val="single" w:sz="2" w:space="0" w:color="000000"/>
            </w:tcBorders>
          </w:tcPr>
          <w:p>
            <w:pPr>
              <w:pStyle w:val="TableParagraph"/>
              <w:spacing w:line="240" w:lineRule="auto" w:before="90"/>
              <w:ind w:left="250"/>
              <w:rPr>
                <w:sz w:val="16"/>
              </w:rPr>
            </w:pPr>
            <w:r>
              <w:rPr>
                <w:sz w:val="16"/>
              </w:rPr>
              <w:t>1990</w:t>
            </w:r>
          </w:p>
        </w:tc>
        <w:tc>
          <w:tcPr>
            <w:tcW w:w="951" w:type="dxa"/>
            <w:tcBorders>
              <w:top w:val="single" w:sz="4" w:space="0" w:color="000000"/>
              <w:bottom w:val="single" w:sz="2" w:space="0" w:color="000000"/>
            </w:tcBorders>
          </w:tcPr>
          <w:p>
            <w:pPr>
              <w:pStyle w:val="TableParagraph"/>
              <w:spacing w:line="240" w:lineRule="auto" w:before="90"/>
              <w:ind w:left="125" w:right="125"/>
              <w:jc w:val="center"/>
              <w:rPr>
                <w:sz w:val="16"/>
              </w:rPr>
            </w:pPr>
            <w:r>
              <w:rPr>
                <w:sz w:val="16"/>
              </w:rPr>
              <w:t>Change</w:t>
            </w:r>
          </w:p>
        </w:tc>
        <w:tc>
          <w:tcPr>
            <w:tcW w:w="899" w:type="dxa"/>
            <w:tcBorders>
              <w:top w:val="single" w:sz="4" w:space="0" w:color="000000"/>
              <w:bottom w:val="single" w:sz="2" w:space="0" w:color="000000"/>
            </w:tcBorders>
          </w:tcPr>
          <w:p>
            <w:pPr>
              <w:pStyle w:val="TableParagraph"/>
              <w:spacing w:line="240" w:lineRule="auto" w:before="90"/>
              <w:ind w:left="128" w:right="129"/>
              <w:jc w:val="center"/>
              <w:rPr>
                <w:sz w:val="16"/>
              </w:rPr>
            </w:pPr>
            <w:r>
              <w:rPr>
                <w:sz w:val="16"/>
              </w:rPr>
              <w:t>1980 (%)</w:t>
            </w:r>
          </w:p>
        </w:tc>
        <w:tc>
          <w:tcPr>
            <w:tcW w:w="899" w:type="dxa"/>
            <w:tcBorders>
              <w:top w:val="single" w:sz="4" w:space="0" w:color="000000"/>
              <w:bottom w:val="single" w:sz="2" w:space="0" w:color="000000"/>
            </w:tcBorders>
          </w:tcPr>
          <w:p>
            <w:pPr>
              <w:pStyle w:val="TableParagraph"/>
              <w:spacing w:line="240" w:lineRule="auto" w:before="90"/>
              <w:ind w:left="129" w:right="129"/>
              <w:jc w:val="center"/>
              <w:rPr>
                <w:sz w:val="16"/>
              </w:rPr>
            </w:pPr>
            <w:r>
              <w:rPr>
                <w:sz w:val="16"/>
              </w:rPr>
              <w:t>1990 (%)</w:t>
            </w:r>
          </w:p>
        </w:tc>
        <w:tc>
          <w:tcPr>
            <w:tcW w:w="639" w:type="dxa"/>
            <w:tcBorders>
              <w:top w:val="single" w:sz="4" w:space="0" w:color="000000"/>
              <w:bottom w:val="single" w:sz="2" w:space="0" w:color="000000"/>
            </w:tcBorders>
          </w:tcPr>
          <w:p>
            <w:pPr>
              <w:pStyle w:val="TableParagraph"/>
              <w:spacing w:line="240" w:lineRule="auto" w:before="90"/>
              <w:ind w:left="145"/>
              <w:jc w:val="center"/>
              <w:rPr>
                <w:sz w:val="16"/>
              </w:rPr>
            </w:pPr>
            <w:r>
              <w:rPr>
                <w:sz w:val="16"/>
              </w:rPr>
              <w:t>Change</w:t>
            </w:r>
          </w:p>
        </w:tc>
      </w:tr>
      <w:tr>
        <w:trPr>
          <w:trHeight w:val="290" w:hRule="atLeast"/>
        </w:trPr>
        <w:tc>
          <w:tcPr>
            <w:tcW w:w="1440" w:type="dxa"/>
            <w:tcBorders>
              <w:top w:val="single" w:sz="2" w:space="0" w:color="000000"/>
            </w:tcBorders>
          </w:tcPr>
          <w:p>
            <w:pPr>
              <w:pStyle w:val="TableParagraph"/>
              <w:spacing w:before="95"/>
              <w:rPr>
                <w:sz w:val="16"/>
              </w:rPr>
            </w:pPr>
            <w:r>
              <w:rPr>
                <w:sz w:val="16"/>
              </w:rPr>
              <w:t>Precariously housed</w:t>
            </w:r>
          </w:p>
        </w:tc>
        <w:tc>
          <w:tcPr>
            <w:tcW w:w="819" w:type="dxa"/>
            <w:tcBorders>
              <w:top w:val="single" w:sz="2" w:space="0" w:color="000000"/>
            </w:tcBorders>
          </w:tcPr>
          <w:p>
            <w:pPr>
              <w:pStyle w:val="TableParagraph"/>
              <w:spacing w:line="240" w:lineRule="auto" w:before="0"/>
              <w:rPr>
                <w:sz w:val="18"/>
              </w:rPr>
            </w:pPr>
          </w:p>
        </w:tc>
        <w:tc>
          <w:tcPr>
            <w:tcW w:w="821" w:type="dxa"/>
            <w:tcBorders>
              <w:top w:val="single" w:sz="2" w:space="0" w:color="000000"/>
            </w:tcBorders>
          </w:tcPr>
          <w:p>
            <w:pPr>
              <w:pStyle w:val="TableParagraph"/>
              <w:spacing w:line="240" w:lineRule="auto" w:before="0"/>
              <w:rPr>
                <w:sz w:val="18"/>
              </w:rPr>
            </w:pPr>
          </w:p>
        </w:tc>
        <w:tc>
          <w:tcPr>
            <w:tcW w:w="951" w:type="dxa"/>
            <w:tcBorders>
              <w:top w:val="single" w:sz="2" w:space="0" w:color="000000"/>
            </w:tcBorders>
          </w:tcPr>
          <w:p>
            <w:pPr>
              <w:pStyle w:val="TableParagraph"/>
              <w:spacing w:line="240" w:lineRule="auto" w:before="0"/>
              <w:rPr>
                <w:sz w:val="18"/>
              </w:rPr>
            </w:pPr>
          </w:p>
        </w:tc>
        <w:tc>
          <w:tcPr>
            <w:tcW w:w="899" w:type="dxa"/>
            <w:tcBorders>
              <w:top w:val="single" w:sz="2" w:space="0" w:color="000000"/>
            </w:tcBorders>
          </w:tcPr>
          <w:p>
            <w:pPr>
              <w:pStyle w:val="TableParagraph"/>
              <w:spacing w:line="240" w:lineRule="auto" w:before="0"/>
              <w:rPr>
                <w:sz w:val="18"/>
              </w:rPr>
            </w:pPr>
          </w:p>
        </w:tc>
        <w:tc>
          <w:tcPr>
            <w:tcW w:w="899" w:type="dxa"/>
            <w:tcBorders>
              <w:top w:val="single" w:sz="2" w:space="0" w:color="000000"/>
            </w:tcBorders>
          </w:tcPr>
          <w:p>
            <w:pPr>
              <w:pStyle w:val="TableParagraph"/>
              <w:spacing w:line="240" w:lineRule="auto" w:before="0"/>
              <w:rPr>
                <w:sz w:val="18"/>
              </w:rPr>
            </w:pPr>
          </w:p>
        </w:tc>
        <w:tc>
          <w:tcPr>
            <w:tcW w:w="639" w:type="dxa"/>
            <w:tcBorders>
              <w:top w:val="single" w:sz="2" w:space="0" w:color="000000"/>
            </w:tcBorders>
          </w:tcPr>
          <w:p>
            <w:pPr>
              <w:pStyle w:val="TableParagraph"/>
              <w:spacing w:line="240" w:lineRule="auto" w:before="0"/>
              <w:rPr>
                <w:sz w:val="18"/>
              </w:rPr>
            </w:pPr>
          </w:p>
        </w:tc>
      </w:tr>
      <w:tr>
        <w:trPr>
          <w:trHeight w:val="199" w:hRule="atLeast"/>
        </w:trPr>
        <w:tc>
          <w:tcPr>
            <w:tcW w:w="1440" w:type="dxa"/>
          </w:tcPr>
          <w:p>
            <w:pPr>
              <w:pStyle w:val="TableParagraph"/>
              <w:ind w:left="159"/>
              <w:rPr>
                <w:sz w:val="16"/>
              </w:rPr>
            </w:pPr>
            <w:r>
              <w:rPr>
                <w:sz w:val="16"/>
              </w:rPr>
              <w:t>Los Angeles</w:t>
            </w:r>
          </w:p>
        </w:tc>
        <w:tc>
          <w:tcPr>
            <w:tcW w:w="819" w:type="dxa"/>
          </w:tcPr>
          <w:p>
            <w:pPr>
              <w:pStyle w:val="TableParagraph"/>
              <w:ind w:left="129" w:right="129"/>
              <w:jc w:val="center"/>
              <w:rPr>
                <w:sz w:val="16"/>
              </w:rPr>
            </w:pPr>
            <w:r>
              <w:rPr>
                <w:sz w:val="16"/>
              </w:rPr>
              <w:t>224,320</w:t>
            </w:r>
          </w:p>
        </w:tc>
        <w:tc>
          <w:tcPr>
            <w:tcW w:w="821" w:type="dxa"/>
          </w:tcPr>
          <w:p>
            <w:pPr>
              <w:pStyle w:val="TableParagraph"/>
              <w:ind w:right="149"/>
              <w:jc w:val="right"/>
              <w:rPr>
                <w:sz w:val="16"/>
              </w:rPr>
            </w:pPr>
            <w:r>
              <w:rPr>
                <w:w w:val="95"/>
                <w:sz w:val="16"/>
              </w:rPr>
              <w:t>288,123</w:t>
            </w:r>
          </w:p>
        </w:tc>
        <w:tc>
          <w:tcPr>
            <w:tcW w:w="951" w:type="dxa"/>
          </w:tcPr>
          <w:p>
            <w:pPr>
              <w:pStyle w:val="TableParagraph"/>
              <w:ind w:left="125" w:right="48"/>
              <w:jc w:val="center"/>
              <w:rPr>
                <w:sz w:val="16"/>
              </w:rPr>
            </w:pPr>
            <w:r>
              <w:rPr>
                <w:w w:val="110"/>
                <w:sz w:val="16"/>
              </w:rPr>
              <w:t>163,803</w:t>
            </w:r>
          </w:p>
        </w:tc>
        <w:tc>
          <w:tcPr>
            <w:tcW w:w="899" w:type="dxa"/>
          </w:tcPr>
          <w:p>
            <w:pPr>
              <w:pStyle w:val="TableParagraph"/>
              <w:ind w:left="129" w:right="52"/>
              <w:jc w:val="center"/>
              <w:rPr>
                <w:sz w:val="16"/>
              </w:rPr>
            </w:pPr>
            <w:r>
              <w:rPr>
                <w:sz w:val="16"/>
              </w:rPr>
              <w:t>8.2</w:t>
            </w:r>
          </w:p>
        </w:tc>
        <w:tc>
          <w:tcPr>
            <w:tcW w:w="899" w:type="dxa"/>
          </w:tcPr>
          <w:p>
            <w:pPr>
              <w:pStyle w:val="TableParagraph"/>
              <w:ind w:left="129" w:right="52"/>
              <w:jc w:val="center"/>
              <w:rPr>
                <w:sz w:val="16"/>
              </w:rPr>
            </w:pPr>
            <w:r>
              <w:rPr>
                <w:sz w:val="16"/>
              </w:rPr>
              <w:t>9.7</w:t>
            </w:r>
          </w:p>
        </w:tc>
        <w:tc>
          <w:tcPr>
            <w:tcW w:w="639" w:type="dxa"/>
          </w:tcPr>
          <w:p>
            <w:pPr>
              <w:pStyle w:val="TableParagraph"/>
              <w:ind w:left="145"/>
              <w:jc w:val="center"/>
              <w:rPr>
                <w:sz w:val="16"/>
              </w:rPr>
            </w:pPr>
            <w:r>
              <w:rPr>
                <w:w w:val="115"/>
                <w:sz w:val="16"/>
              </w:rPr>
              <w:t>11.5</w:t>
            </w:r>
          </w:p>
        </w:tc>
      </w:tr>
      <w:tr>
        <w:trPr>
          <w:trHeight w:val="199" w:hRule="atLeast"/>
        </w:trPr>
        <w:tc>
          <w:tcPr>
            <w:tcW w:w="1440" w:type="dxa"/>
          </w:tcPr>
          <w:p>
            <w:pPr>
              <w:pStyle w:val="TableParagraph"/>
              <w:ind w:left="159"/>
              <w:rPr>
                <w:sz w:val="16"/>
              </w:rPr>
            </w:pPr>
            <w:r>
              <w:rPr>
                <w:sz w:val="16"/>
              </w:rPr>
              <w:t>U.S.</w:t>
            </w:r>
          </w:p>
        </w:tc>
        <w:tc>
          <w:tcPr>
            <w:tcW w:w="819" w:type="dxa"/>
          </w:tcPr>
          <w:p>
            <w:pPr>
              <w:pStyle w:val="TableParagraph"/>
              <w:ind w:left="227"/>
              <w:rPr>
                <w:sz w:val="16"/>
              </w:rPr>
            </w:pPr>
            <w:r>
              <w:rPr>
                <w:sz w:val="16"/>
              </w:rPr>
              <w:t>4.1 m</w:t>
            </w:r>
          </w:p>
        </w:tc>
        <w:tc>
          <w:tcPr>
            <w:tcW w:w="821" w:type="dxa"/>
          </w:tcPr>
          <w:p>
            <w:pPr>
              <w:pStyle w:val="TableParagraph"/>
              <w:ind w:right="187"/>
              <w:jc w:val="right"/>
              <w:rPr>
                <w:sz w:val="16"/>
              </w:rPr>
            </w:pPr>
            <w:r>
              <w:rPr>
                <w:sz w:val="16"/>
              </w:rPr>
              <w:t>5.2 m</w:t>
            </w:r>
          </w:p>
        </w:tc>
        <w:tc>
          <w:tcPr>
            <w:tcW w:w="951" w:type="dxa"/>
          </w:tcPr>
          <w:p>
            <w:pPr>
              <w:pStyle w:val="TableParagraph"/>
              <w:ind w:left="226"/>
              <w:rPr>
                <w:sz w:val="16"/>
              </w:rPr>
            </w:pPr>
            <w:r>
              <w:rPr>
                <w:w w:val="115"/>
                <w:sz w:val="16"/>
              </w:rPr>
              <w:t>11.1 m</w:t>
            </w:r>
          </w:p>
        </w:tc>
        <w:tc>
          <w:tcPr>
            <w:tcW w:w="899" w:type="dxa"/>
          </w:tcPr>
          <w:p>
            <w:pPr>
              <w:pStyle w:val="TableParagraph"/>
              <w:ind w:left="129" w:right="52"/>
              <w:jc w:val="center"/>
              <w:rPr>
                <w:sz w:val="16"/>
              </w:rPr>
            </w:pPr>
            <w:r>
              <w:rPr>
                <w:sz w:val="16"/>
              </w:rPr>
              <w:t>5.1</w:t>
            </w:r>
          </w:p>
        </w:tc>
        <w:tc>
          <w:tcPr>
            <w:tcW w:w="899" w:type="dxa"/>
          </w:tcPr>
          <w:p>
            <w:pPr>
              <w:pStyle w:val="TableParagraph"/>
              <w:ind w:left="129" w:right="52"/>
              <w:jc w:val="center"/>
              <w:rPr>
                <w:sz w:val="16"/>
              </w:rPr>
            </w:pPr>
            <w:r>
              <w:rPr>
                <w:sz w:val="16"/>
              </w:rPr>
              <w:t>5.6</w:t>
            </w:r>
          </w:p>
        </w:tc>
        <w:tc>
          <w:tcPr>
            <w:tcW w:w="639" w:type="dxa"/>
          </w:tcPr>
          <w:p>
            <w:pPr>
              <w:pStyle w:val="TableParagraph"/>
              <w:ind w:left="145"/>
              <w:jc w:val="center"/>
              <w:rPr>
                <w:sz w:val="16"/>
              </w:rPr>
            </w:pPr>
            <w:r>
              <w:rPr>
                <w:w w:val="115"/>
                <w:sz w:val="16"/>
              </w:rPr>
              <w:t>10.5</w:t>
            </w:r>
          </w:p>
        </w:tc>
      </w:tr>
      <w:tr>
        <w:trPr>
          <w:trHeight w:val="199" w:hRule="atLeast"/>
        </w:trPr>
        <w:tc>
          <w:tcPr>
            <w:tcW w:w="1440" w:type="dxa"/>
          </w:tcPr>
          <w:p>
            <w:pPr>
              <w:pStyle w:val="TableParagraph"/>
              <w:rPr>
                <w:sz w:val="16"/>
              </w:rPr>
            </w:pPr>
            <w:r>
              <w:rPr>
                <w:sz w:val="16"/>
              </w:rPr>
              <w:t>Generously housed</w:t>
            </w:r>
          </w:p>
        </w:tc>
        <w:tc>
          <w:tcPr>
            <w:tcW w:w="819" w:type="dxa"/>
          </w:tcPr>
          <w:p>
            <w:pPr>
              <w:pStyle w:val="TableParagraph"/>
              <w:spacing w:line="240" w:lineRule="auto" w:before="0"/>
              <w:rPr>
                <w:sz w:val="12"/>
              </w:rPr>
            </w:pPr>
          </w:p>
        </w:tc>
        <w:tc>
          <w:tcPr>
            <w:tcW w:w="821" w:type="dxa"/>
          </w:tcPr>
          <w:p>
            <w:pPr>
              <w:pStyle w:val="TableParagraph"/>
              <w:spacing w:line="240" w:lineRule="auto" w:before="0"/>
              <w:rPr>
                <w:sz w:val="12"/>
              </w:rPr>
            </w:pPr>
          </w:p>
        </w:tc>
        <w:tc>
          <w:tcPr>
            <w:tcW w:w="951" w:type="dxa"/>
          </w:tcPr>
          <w:p>
            <w:pPr>
              <w:pStyle w:val="TableParagraph"/>
              <w:spacing w:line="240" w:lineRule="auto" w:before="0"/>
              <w:rPr>
                <w:sz w:val="12"/>
              </w:rPr>
            </w:pPr>
          </w:p>
        </w:tc>
        <w:tc>
          <w:tcPr>
            <w:tcW w:w="899" w:type="dxa"/>
          </w:tcPr>
          <w:p>
            <w:pPr>
              <w:pStyle w:val="TableParagraph"/>
              <w:spacing w:line="240" w:lineRule="auto" w:before="0"/>
              <w:rPr>
                <w:sz w:val="12"/>
              </w:rPr>
            </w:pPr>
          </w:p>
        </w:tc>
        <w:tc>
          <w:tcPr>
            <w:tcW w:w="899" w:type="dxa"/>
          </w:tcPr>
          <w:p>
            <w:pPr>
              <w:pStyle w:val="TableParagraph"/>
              <w:spacing w:line="240" w:lineRule="auto" w:before="0"/>
              <w:rPr>
                <w:sz w:val="12"/>
              </w:rPr>
            </w:pPr>
          </w:p>
        </w:tc>
        <w:tc>
          <w:tcPr>
            <w:tcW w:w="639" w:type="dxa"/>
          </w:tcPr>
          <w:p>
            <w:pPr>
              <w:pStyle w:val="TableParagraph"/>
              <w:spacing w:line="240" w:lineRule="auto" w:before="0"/>
              <w:rPr>
                <w:sz w:val="12"/>
              </w:rPr>
            </w:pPr>
          </w:p>
        </w:tc>
      </w:tr>
      <w:tr>
        <w:trPr>
          <w:trHeight w:val="199" w:hRule="atLeast"/>
        </w:trPr>
        <w:tc>
          <w:tcPr>
            <w:tcW w:w="1440" w:type="dxa"/>
          </w:tcPr>
          <w:p>
            <w:pPr>
              <w:pStyle w:val="TableParagraph"/>
              <w:ind w:left="159"/>
              <w:rPr>
                <w:sz w:val="16"/>
              </w:rPr>
            </w:pPr>
            <w:r>
              <w:rPr>
                <w:sz w:val="16"/>
              </w:rPr>
              <w:t>Los Angeles</w:t>
            </w:r>
          </w:p>
        </w:tc>
        <w:tc>
          <w:tcPr>
            <w:tcW w:w="819" w:type="dxa"/>
          </w:tcPr>
          <w:p>
            <w:pPr>
              <w:pStyle w:val="TableParagraph"/>
              <w:ind w:left="129" w:right="129"/>
              <w:jc w:val="center"/>
              <w:rPr>
                <w:sz w:val="16"/>
              </w:rPr>
            </w:pPr>
            <w:r>
              <w:rPr>
                <w:sz w:val="16"/>
              </w:rPr>
              <w:t>559,520</w:t>
            </w:r>
          </w:p>
        </w:tc>
        <w:tc>
          <w:tcPr>
            <w:tcW w:w="821" w:type="dxa"/>
          </w:tcPr>
          <w:p>
            <w:pPr>
              <w:pStyle w:val="TableParagraph"/>
              <w:ind w:right="149"/>
              <w:jc w:val="right"/>
              <w:rPr>
                <w:sz w:val="16"/>
              </w:rPr>
            </w:pPr>
            <w:r>
              <w:rPr>
                <w:w w:val="95"/>
                <w:sz w:val="16"/>
              </w:rPr>
              <w:t>449,149</w:t>
            </w:r>
          </w:p>
        </w:tc>
        <w:tc>
          <w:tcPr>
            <w:tcW w:w="951" w:type="dxa"/>
          </w:tcPr>
          <w:p>
            <w:pPr>
              <w:pStyle w:val="TableParagraph"/>
              <w:ind w:left="125" w:right="125"/>
              <w:jc w:val="center"/>
              <w:rPr>
                <w:sz w:val="16"/>
              </w:rPr>
            </w:pPr>
            <w:r>
              <w:rPr>
                <w:w w:val="110"/>
                <w:sz w:val="16"/>
              </w:rPr>
              <w:t>2110,371</w:t>
            </w:r>
          </w:p>
        </w:tc>
        <w:tc>
          <w:tcPr>
            <w:tcW w:w="899" w:type="dxa"/>
          </w:tcPr>
          <w:p>
            <w:pPr>
              <w:pStyle w:val="TableParagraph"/>
              <w:ind w:left="128" w:right="129"/>
              <w:jc w:val="center"/>
              <w:rPr>
                <w:sz w:val="16"/>
              </w:rPr>
            </w:pPr>
            <w:r>
              <w:rPr>
                <w:sz w:val="16"/>
              </w:rPr>
              <w:t>20.5</w:t>
            </w:r>
          </w:p>
        </w:tc>
        <w:tc>
          <w:tcPr>
            <w:tcW w:w="899" w:type="dxa"/>
          </w:tcPr>
          <w:p>
            <w:pPr>
              <w:pStyle w:val="TableParagraph"/>
              <w:ind w:left="129" w:right="129"/>
              <w:jc w:val="center"/>
              <w:rPr>
                <w:sz w:val="16"/>
              </w:rPr>
            </w:pPr>
            <w:r>
              <w:rPr>
                <w:sz w:val="16"/>
              </w:rPr>
              <w:t>15.1</w:t>
            </w:r>
          </w:p>
        </w:tc>
        <w:tc>
          <w:tcPr>
            <w:tcW w:w="639" w:type="dxa"/>
          </w:tcPr>
          <w:p>
            <w:pPr>
              <w:pStyle w:val="TableParagraph"/>
              <w:ind w:left="145"/>
              <w:jc w:val="center"/>
              <w:rPr>
                <w:sz w:val="16"/>
              </w:rPr>
            </w:pPr>
            <w:r>
              <w:rPr>
                <w:w w:val="115"/>
                <w:sz w:val="16"/>
              </w:rPr>
              <w:t>25.4</w:t>
            </w:r>
          </w:p>
        </w:tc>
      </w:tr>
      <w:tr>
        <w:trPr>
          <w:trHeight w:val="263" w:hRule="atLeast"/>
        </w:trPr>
        <w:tc>
          <w:tcPr>
            <w:tcW w:w="1440" w:type="dxa"/>
            <w:tcBorders>
              <w:bottom w:val="single" w:sz="4" w:space="0" w:color="000000"/>
            </w:tcBorders>
          </w:tcPr>
          <w:p>
            <w:pPr>
              <w:pStyle w:val="TableParagraph"/>
              <w:spacing w:line="240" w:lineRule="auto"/>
              <w:ind w:left="159"/>
              <w:rPr>
                <w:sz w:val="16"/>
              </w:rPr>
            </w:pPr>
            <w:r>
              <w:rPr>
                <w:sz w:val="16"/>
              </w:rPr>
              <w:t>U.S.</w:t>
            </w:r>
          </w:p>
        </w:tc>
        <w:tc>
          <w:tcPr>
            <w:tcW w:w="819" w:type="dxa"/>
            <w:tcBorders>
              <w:bottom w:val="single" w:sz="4" w:space="0" w:color="000000"/>
            </w:tcBorders>
          </w:tcPr>
          <w:p>
            <w:pPr>
              <w:pStyle w:val="TableParagraph"/>
              <w:spacing w:line="240" w:lineRule="auto"/>
              <w:ind w:left="187"/>
              <w:rPr>
                <w:sz w:val="16"/>
              </w:rPr>
            </w:pPr>
            <w:r>
              <w:rPr>
                <w:sz w:val="16"/>
              </w:rPr>
              <w:t>16.5 m</w:t>
            </w:r>
          </w:p>
        </w:tc>
        <w:tc>
          <w:tcPr>
            <w:tcW w:w="821" w:type="dxa"/>
            <w:tcBorders>
              <w:bottom w:val="single" w:sz="4" w:space="0" w:color="000000"/>
            </w:tcBorders>
          </w:tcPr>
          <w:p>
            <w:pPr>
              <w:pStyle w:val="TableParagraph"/>
              <w:spacing w:line="240" w:lineRule="auto"/>
              <w:ind w:right="187"/>
              <w:jc w:val="right"/>
              <w:rPr>
                <w:sz w:val="16"/>
              </w:rPr>
            </w:pPr>
            <w:r>
              <w:rPr>
                <w:sz w:val="16"/>
              </w:rPr>
              <w:t>17.2 m</w:t>
            </w:r>
          </w:p>
        </w:tc>
        <w:tc>
          <w:tcPr>
            <w:tcW w:w="951" w:type="dxa"/>
            <w:tcBorders>
              <w:bottom w:val="single" w:sz="4" w:space="0" w:color="000000"/>
            </w:tcBorders>
          </w:tcPr>
          <w:p>
            <w:pPr>
              <w:pStyle w:val="TableParagraph"/>
              <w:spacing w:line="240" w:lineRule="auto"/>
              <w:ind w:left="225"/>
              <w:rPr>
                <w:sz w:val="16"/>
              </w:rPr>
            </w:pPr>
            <w:r>
              <w:rPr>
                <w:w w:val="115"/>
                <w:sz w:val="16"/>
              </w:rPr>
              <w:t>10.7 m</w:t>
            </w:r>
          </w:p>
        </w:tc>
        <w:tc>
          <w:tcPr>
            <w:tcW w:w="899" w:type="dxa"/>
            <w:tcBorders>
              <w:bottom w:val="single" w:sz="4" w:space="0" w:color="000000"/>
            </w:tcBorders>
          </w:tcPr>
          <w:p>
            <w:pPr>
              <w:pStyle w:val="TableParagraph"/>
              <w:spacing w:line="240" w:lineRule="auto"/>
              <w:ind w:left="129" w:right="129"/>
              <w:jc w:val="center"/>
              <w:rPr>
                <w:sz w:val="16"/>
              </w:rPr>
            </w:pPr>
            <w:r>
              <w:rPr>
                <w:sz w:val="16"/>
              </w:rPr>
              <w:t>20.6</w:t>
            </w:r>
          </w:p>
        </w:tc>
        <w:tc>
          <w:tcPr>
            <w:tcW w:w="899" w:type="dxa"/>
            <w:tcBorders>
              <w:bottom w:val="single" w:sz="4" w:space="0" w:color="000000"/>
            </w:tcBorders>
          </w:tcPr>
          <w:p>
            <w:pPr>
              <w:pStyle w:val="TableParagraph"/>
              <w:spacing w:line="240" w:lineRule="auto"/>
              <w:ind w:left="128" w:right="129"/>
              <w:jc w:val="center"/>
              <w:rPr>
                <w:sz w:val="16"/>
              </w:rPr>
            </w:pPr>
            <w:r>
              <w:rPr>
                <w:sz w:val="16"/>
              </w:rPr>
              <w:t>18.7</w:t>
            </w:r>
          </w:p>
        </w:tc>
        <w:tc>
          <w:tcPr>
            <w:tcW w:w="639" w:type="dxa"/>
            <w:tcBorders>
              <w:bottom w:val="single" w:sz="4" w:space="0" w:color="000000"/>
            </w:tcBorders>
          </w:tcPr>
          <w:p>
            <w:pPr>
              <w:pStyle w:val="TableParagraph"/>
              <w:spacing w:line="240" w:lineRule="auto"/>
              <w:ind w:left="145"/>
              <w:jc w:val="center"/>
              <w:rPr>
                <w:sz w:val="16"/>
              </w:rPr>
            </w:pPr>
            <w:r>
              <w:rPr>
                <w:w w:val="115"/>
                <w:sz w:val="16"/>
              </w:rPr>
              <w:t>21.9</w:t>
            </w:r>
          </w:p>
        </w:tc>
      </w:tr>
    </w:tbl>
    <w:p>
      <w:pPr>
        <w:spacing w:before="81"/>
        <w:ind w:left="266" w:right="0" w:firstLine="0"/>
        <w:jc w:val="left"/>
        <w:rPr>
          <w:sz w:val="16"/>
        </w:rPr>
      </w:pPr>
      <w:r>
        <w:rPr>
          <w:i/>
          <w:position w:val="5"/>
          <w:sz w:val="11"/>
        </w:rPr>
        <w:t>a </w:t>
      </w:r>
      <w:r>
        <w:rPr>
          <w:i/>
          <w:sz w:val="16"/>
        </w:rPr>
        <w:t>Source. </w:t>
      </w:r>
      <w:r>
        <w:rPr>
          <w:sz w:val="16"/>
        </w:rPr>
        <w:t>U.S. Census, PUMS, 1980, 1990.</w:t>
      </w:r>
    </w:p>
    <w:p>
      <w:pPr>
        <w:pStyle w:val="BodyText"/>
      </w:pPr>
    </w:p>
    <w:p>
      <w:pPr>
        <w:pStyle w:val="BodyText"/>
        <w:spacing w:before="10"/>
        <w:rPr>
          <w:sz w:val="22"/>
        </w:rPr>
      </w:pPr>
    </w:p>
    <w:p>
      <w:pPr>
        <w:pStyle w:val="BodyText"/>
        <w:spacing w:line="256" w:lineRule="auto" w:before="92"/>
        <w:ind w:left="106" w:right="114"/>
        <w:jc w:val="both"/>
      </w:pPr>
      <w:r>
        <w:rPr/>
        <w:t>status developed for the national analysis. Since these measures are described in detail in Myers and </w:t>
      </w:r>
      <w:r>
        <w:rPr>
          <w:spacing w:val="-4"/>
        </w:rPr>
        <w:t>Wolch </w:t>
      </w:r>
      <w:r>
        <w:rPr/>
        <w:t>(1995), the full range of definitional issues will not </w:t>
      </w:r>
      <w:r>
        <w:rPr>
          <w:spacing w:val="-6"/>
        </w:rPr>
        <w:t>be </w:t>
      </w:r>
      <w:r>
        <w:rPr/>
        <w:t>rehearsed again here. Briefly, the </w:t>
      </w:r>
      <w:r>
        <w:rPr>
          <w:i/>
        </w:rPr>
        <w:t>margins </w:t>
      </w:r>
      <w:r>
        <w:rPr/>
        <w:t>of the housing status distribution were defined as the </w:t>
      </w:r>
      <w:r>
        <w:rPr>
          <w:i/>
        </w:rPr>
        <w:t>precariously housed </w:t>
      </w:r>
      <w:r>
        <w:rPr/>
        <w:t>and the </w:t>
      </w:r>
      <w:r>
        <w:rPr>
          <w:i/>
        </w:rPr>
        <w:t>generously housed. </w:t>
      </w:r>
      <w:r>
        <w:rPr/>
        <w:t>The precariously housed group included extremely poor, rent-burdened households, specifically renter households whose incomes were 50% or less than the Los Angeles</w:t>
      </w:r>
      <w:r>
        <w:rPr>
          <w:spacing w:val="-36"/>
        </w:rPr>
        <w:t> </w:t>
      </w:r>
      <w:r>
        <w:rPr/>
        <w:t>County median household income (adjusted for household size) and whose payment burdens</w:t>
      </w:r>
      <w:r>
        <w:rPr>
          <w:spacing w:val="-11"/>
        </w:rPr>
        <w:t> </w:t>
      </w:r>
      <w:r>
        <w:rPr/>
        <w:t>exceeded</w:t>
      </w:r>
      <w:r>
        <w:rPr>
          <w:spacing w:val="-10"/>
        </w:rPr>
        <w:t> </w:t>
      </w:r>
      <w:r>
        <w:rPr/>
        <w:t>50%.</w:t>
      </w:r>
      <w:r>
        <w:rPr>
          <w:spacing w:val="-10"/>
        </w:rPr>
        <w:t> </w:t>
      </w:r>
      <w:r>
        <w:rPr/>
        <w:t>In</w:t>
      </w:r>
      <w:r>
        <w:rPr>
          <w:spacing w:val="-11"/>
        </w:rPr>
        <w:t> </w:t>
      </w:r>
      <w:r>
        <w:rPr/>
        <w:t>contrast,</w:t>
      </w:r>
      <w:r>
        <w:rPr>
          <w:spacing w:val="-10"/>
        </w:rPr>
        <w:t> </w:t>
      </w:r>
      <w:r>
        <w:rPr/>
        <w:t>the</w:t>
      </w:r>
      <w:r>
        <w:rPr>
          <w:spacing w:val="-10"/>
        </w:rPr>
        <w:t> </w:t>
      </w:r>
      <w:r>
        <w:rPr/>
        <w:t>generously</w:t>
      </w:r>
      <w:r>
        <w:rPr>
          <w:spacing w:val="-10"/>
        </w:rPr>
        <w:t> </w:t>
      </w:r>
      <w:r>
        <w:rPr/>
        <w:t>housed</w:t>
      </w:r>
      <w:r>
        <w:rPr>
          <w:spacing w:val="-11"/>
        </w:rPr>
        <w:t> </w:t>
      </w:r>
      <w:r>
        <w:rPr/>
        <w:t>group</w:t>
      </w:r>
      <w:r>
        <w:rPr>
          <w:spacing w:val="-10"/>
        </w:rPr>
        <w:t> </w:t>
      </w:r>
      <w:r>
        <w:rPr/>
        <w:t>included</w:t>
      </w:r>
      <w:r>
        <w:rPr>
          <w:spacing w:val="-10"/>
        </w:rPr>
        <w:t> </w:t>
      </w:r>
      <w:r>
        <w:rPr/>
        <w:t>owners and</w:t>
      </w:r>
      <w:r>
        <w:rPr>
          <w:spacing w:val="-5"/>
        </w:rPr>
        <w:t> </w:t>
      </w:r>
      <w:r>
        <w:rPr/>
        <w:t>renters</w:t>
      </w:r>
      <w:r>
        <w:rPr>
          <w:spacing w:val="-4"/>
        </w:rPr>
        <w:t> </w:t>
      </w:r>
      <w:r>
        <w:rPr/>
        <w:t>who</w:t>
      </w:r>
      <w:r>
        <w:rPr>
          <w:spacing w:val="-4"/>
        </w:rPr>
        <w:t> </w:t>
      </w:r>
      <w:r>
        <w:rPr/>
        <w:t>were</w:t>
      </w:r>
      <w:r>
        <w:rPr>
          <w:spacing w:val="-4"/>
        </w:rPr>
        <w:t> </w:t>
      </w:r>
      <w:r>
        <w:rPr/>
        <w:t>more</w:t>
      </w:r>
      <w:r>
        <w:rPr>
          <w:spacing w:val="-4"/>
        </w:rPr>
        <w:t> </w:t>
      </w:r>
      <w:r>
        <w:rPr/>
        <w:t>affluent,</w:t>
      </w:r>
      <w:r>
        <w:rPr>
          <w:spacing w:val="-4"/>
        </w:rPr>
        <w:t> </w:t>
      </w:r>
      <w:r>
        <w:rPr/>
        <w:t>with</w:t>
      </w:r>
      <w:r>
        <w:rPr>
          <w:spacing w:val="-4"/>
        </w:rPr>
        <w:t> </w:t>
      </w:r>
      <w:r>
        <w:rPr/>
        <w:t>household</w:t>
      </w:r>
      <w:r>
        <w:rPr>
          <w:spacing w:val="-4"/>
        </w:rPr>
        <w:t> </w:t>
      </w:r>
      <w:r>
        <w:rPr/>
        <w:t>incomes</w:t>
      </w:r>
      <w:r>
        <w:rPr>
          <w:spacing w:val="-4"/>
        </w:rPr>
        <w:t> </w:t>
      </w:r>
      <w:r>
        <w:rPr/>
        <w:t>of</w:t>
      </w:r>
      <w:r>
        <w:rPr>
          <w:spacing w:val="-5"/>
        </w:rPr>
        <w:t> </w:t>
      </w:r>
      <w:r>
        <w:rPr/>
        <w:t>120%</w:t>
      </w:r>
      <w:r>
        <w:rPr>
          <w:spacing w:val="-4"/>
        </w:rPr>
        <w:t> </w:t>
      </w:r>
      <w:r>
        <w:rPr/>
        <w:t>or</w:t>
      </w:r>
      <w:r>
        <w:rPr>
          <w:spacing w:val="-4"/>
        </w:rPr>
        <w:t> </w:t>
      </w:r>
      <w:r>
        <w:rPr/>
        <w:t>more</w:t>
      </w:r>
      <w:r>
        <w:rPr>
          <w:spacing w:val="-4"/>
        </w:rPr>
        <w:t> </w:t>
      </w:r>
      <w:r>
        <w:rPr/>
        <w:t>of median</w:t>
      </w:r>
      <w:r>
        <w:rPr>
          <w:spacing w:val="-5"/>
        </w:rPr>
        <w:t> </w:t>
      </w:r>
      <w:r>
        <w:rPr/>
        <w:t>county</w:t>
      </w:r>
      <w:r>
        <w:rPr>
          <w:spacing w:val="-4"/>
        </w:rPr>
        <w:t> </w:t>
      </w:r>
      <w:r>
        <w:rPr/>
        <w:t>income,</w:t>
      </w:r>
      <w:r>
        <w:rPr>
          <w:spacing w:val="-4"/>
        </w:rPr>
        <w:t> </w:t>
      </w:r>
      <w:r>
        <w:rPr/>
        <w:t>with</w:t>
      </w:r>
      <w:r>
        <w:rPr>
          <w:spacing w:val="-5"/>
        </w:rPr>
        <w:t> </w:t>
      </w:r>
      <w:r>
        <w:rPr/>
        <w:t>light</w:t>
      </w:r>
      <w:r>
        <w:rPr>
          <w:spacing w:val="-4"/>
        </w:rPr>
        <w:t> </w:t>
      </w:r>
      <w:r>
        <w:rPr/>
        <w:t>payment</w:t>
      </w:r>
      <w:r>
        <w:rPr>
          <w:spacing w:val="-4"/>
        </w:rPr>
        <w:t> </w:t>
      </w:r>
      <w:r>
        <w:rPr/>
        <w:t>burdens</w:t>
      </w:r>
      <w:r>
        <w:rPr>
          <w:spacing w:val="-5"/>
        </w:rPr>
        <w:t> </w:t>
      </w:r>
      <w:r>
        <w:rPr/>
        <w:t>of</w:t>
      </w:r>
      <w:r>
        <w:rPr>
          <w:spacing w:val="-4"/>
        </w:rPr>
        <w:t> </w:t>
      </w:r>
      <w:r>
        <w:rPr/>
        <w:t>15%</w:t>
      </w:r>
      <w:r>
        <w:rPr>
          <w:spacing w:val="-4"/>
        </w:rPr>
        <w:t> </w:t>
      </w:r>
      <w:r>
        <w:rPr/>
        <w:t>or</w:t>
      </w:r>
      <w:r>
        <w:rPr>
          <w:spacing w:val="-5"/>
        </w:rPr>
        <w:t> </w:t>
      </w:r>
      <w:r>
        <w:rPr/>
        <w:t>less.</w:t>
      </w:r>
    </w:p>
    <w:p>
      <w:pPr>
        <w:pStyle w:val="BodyText"/>
        <w:spacing w:line="254" w:lineRule="auto"/>
        <w:ind w:left="106" w:right="122" w:firstLine="199"/>
        <w:jc w:val="both"/>
      </w:pPr>
      <w:r>
        <w:rPr>
          <w:i/>
        </w:rPr>
        <w:t>Changes in margins of housing status. </w:t>
      </w:r>
      <w:r>
        <w:rPr/>
        <w:t>Nationally, the rate and number of precariously</w:t>
      </w:r>
      <w:r>
        <w:rPr>
          <w:spacing w:val="-9"/>
        </w:rPr>
        <w:t> </w:t>
      </w:r>
      <w:r>
        <w:rPr/>
        <w:t>housed</w:t>
      </w:r>
      <w:r>
        <w:rPr>
          <w:spacing w:val="-8"/>
        </w:rPr>
        <w:t> </w:t>
      </w:r>
      <w:r>
        <w:rPr/>
        <w:t>households</w:t>
      </w:r>
      <w:r>
        <w:rPr>
          <w:spacing w:val="-8"/>
        </w:rPr>
        <w:t> </w:t>
      </w:r>
      <w:r>
        <w:rPr/>
        <w:t>grew</w:t>
      </w:r>
      <w:r>
        <w:rPr>
          <w:spacing w:val="-8"/>
        </w:rPr>
        <w:t> </w:t>
      </w:r>
      <w:r>
        <w:rPr/>
        <w:t>during</w:t>
      </w:r>
      <w:r>
        <w:rPr>
          <w:spacing w:val="-8"/>
        </w:rPr>
        <w:t> </w:t>
      </w:r>
      <w:r>
        <w:rPr/>
        <w:t>the</w:t>
      </w:r>
      <w:r>
        <w:rPr>
          <w:spacing w:val="-9"/>
        </w:rPr>
        <w:t> </w:t>
      </w:r>
      <w:r>
        <w:rPr/>
        <w:t>course</w:t>
      </w:r>
      <w:r>
        <w:rPr>
          <w:spacing w:val="-8"/>
        </w:rPr>
        <w:t> </w:t>
      </w:r>
      <w:r>
        <w:rPr/>
        <w:t>of</w:t>
      </w:r>
      <w:r>
        <w:rPr>
          <w:spacing w:val="-8"/>
        </w:rPr>
        <w:t> </w:t>
      </w:r>
      <w:r>
        <w:rPr/>
        <w:t>the</w:t>
      </w:r>
      <w:r>
        <w:rPr>
          <w:spacing w:val="-8"/>
        </w:rPr>
        <w:t> </w:t>
      </w:r>
      <w:r>
        <w:rPr/>
        <w:t>1980s.</w:t>
      </w:r>
      <w:r>
        <w:rPr>
          <w:spacing w:val="-12"/>
        </w:rPr>
        <w:t> </w:t>
      </w:r>
      <w:r>
        <w:rPr/>
        <w:t>The</w:t>
      </w:r>
      <w:r>
        <w:rPr>
          <w:spacing w:val="-8"/>
        </w:rPr>
        <w:t> </w:t>
      </w:r>
      <w:r>
        <w:rPr/>
        <w:t>number of generously housed grew as well, although their proportion dipped slightly. How did Los Angeles, with its more polarized income distribution, legions of homeless, and spectacular affluence, compare? As shown in </w:t>
      </w:r>
      <w:r>
        <w:rPr>
          <w:spacing w:val="-3"/>
        </w:rPr>
        <w:t>Table </w:t>
      </w:r>
      <w:r>
        <w:rPr/>
        <w:t>2, the Los Angeles situation was quite different from the national norm, but not necessarily in the ways that might been have</w:t>
      </w:r>
      <w:r>
        <w:rPr>
          <w:spacing w:val="-29"/>
        </w:rPr>
        <w:t> </w:t>
      </w:r>
      <w:r>
        <w:rPr/>
        <w:t>expected.</w:t>
      </w:r>
    </w:p>
    <w:p>
      <w:pPr>
        <w:pStyle w:val="BodyText"/>
        <w:spacing w:line="254" w:lineRule="auto"/>
        <w:ind w:left="106" w:right="102" w:firstLine="199"/>
        <w:jc w:val="both"/>
      </w:pPr>
      <w:r>
        <w:rPr/>
        <w:t>Both the number of precariously housed households and their proportion of total households grew faster in Los Angeles, from a base much larger in percentage terms than in the nation, so that by 1990 almost 10% of all Los Angeles households were precariously housed. Reflecting the dramatic increases in income inequality in California due to falling incomes of the least affluent (Reed, Haber, and Mameesh, 1996), the region’s precariously housed group had also become poorer, with slightly larger shares in the 20–35% of median income category, and more rent-burdened, with slightly more paying over 70% of their income for housing. For example, in 1980 26% of the precariously housed who had incomes between 20 and 35% of median also had rent burdens of 70% or more; by 1990 this group had expanded to over 31% of the precariously housed, as incomes slid downward and rents inched up. The group also became more crowded</w:t>
      </w:r>
      <w:r>
        <w:rPr>
          <w:spacing w:val="-5"/>
        </w:rPr>
        <w:t> </w:t>
      </w:r>
      <w:r>
        <w:rPr/>
        <w:t>by</w:t>
      </w:r>
      <w:r>
        <w:rPr>
          <w:spacing w:val="-5"/>
        </w:rPr>
        <w:t> </w:t>
      </w:r>
      <w:r>
        <w:rPr/>
        <w:t>the</w:t>
      </w:r>
      <w:r>
        <w:rPr>
          <w:spacing w:val="-5"/>
        </w:rPr>
        <w:t> </w:t>
      </w:r>
      <w:r>
        <w:rPr/>
        <w:t>conventional</w:t>
      </w:r>
      <w:r>
        <w:rPr>
          <w:spacing w:val="-5"/>
        </w:rPr>
        <w:t> </w:t>
      </w:r>
      <w:r>
        <w:rPr/>
        <w:t>definition.</w:t>
      </w:r>
      <w:r>
        <w:rPr>
          <w:spacing w:val="-5"/>
        </w:rPr>
        <w:t> </w:t>
      </w:r>
      <w:r>
        <w:rPr/>
        <w:t>Crowding</w:t>
      </w:r>
      <w:r>
        <w:rPr>
          <w:spacing w:val="-5"/>
        </w:rPr>
        <w:t> </w:t>
      </w:r>
      <w:r>
        <w:rPr/>
        <w:t>is</w:t>
      </w:r>
      <w:r>
        <w:rPr>
          <w:spacing w:val="-5"/>
        </w:rPr>
        <w:t> </w:t>
      </w:r>
      <w:r>
        <w:rPr/>
        <w:t>also</w:t>
      </w:r>
      <w:r>
        <w:rPr>
          <w:spacing w:val="-5"/>
        </w:rPr>
        <w:t> </w:t>
      </w:r>
      <w:r>
        <w:rPr/>
        <w:t>reflected</w:t>
      </w:r>
      <w:r>
        <w:rPr>
          <w:spacing w:val="-5"/>
        </w:rPr>
        <w:t> </w:t>
      </w:r>
      <w:r>
        <w:rPr/>
        <w:t>in</w:t>
      </w:r>
      <w:r>
        <w:rPr>
          <w:spacing w:val="-5"/>
        </w:rPr>
        <w:t> </w:t>
      </w:r>
      <w:r>
        <w:rPr/>
        <w:t>the</w:t>
      </w:r>
      <w:r>
        <w:rPr>
          <w:spacing w:val="-5"/>
        </w:rPr>
        <w:t> </w:t>
      </w:r>
      <w:r>
        <w:rPr/>
        <w:t>fact</w:t>
      </w:r>
      <w:r>
        <w:rPr>
          <w:spacing w:val="-5"/>
        </w:rPr>
        <w:t> </w:t>
      </w:r>
      <w:r>
        <w:rPr>
          <w:spacing w:val="-4"/>
        </w:rPr>
        <w:t>that </w:t>
      </w:r>
      <w:r>
        <w:rPr/>
        <w:t>the share of households with two or more persons per bedroom rose, with</w:t>
      </w:r>
      <w:r>
        <w:rPr>
          <w:spacing w:val="39"/>
        </w:rPr>
        <w:t> </w:t>
      </w:r>
      <w:r>
        <w:rPr/>
        <w:t>recent</w:t>
      </w:r>
    </w:p>
    <w:p>
      <w:pPr>
        <w:spacing w:after="0" w:line="254" w:lineRule="auto"/>
        <w:jc w:val="both"/>
        <w:sectPr>
          <w:pgSz w:w="7120" w:h="11820"/>
          <w:pgMar w:header="294" w:footer="0" w:top="500" w:bottom="280" w:left="260" w:right="160"/>
        </w:sectPr>
      </w:pPr>
    </w:p>
    <w:p>
      <w:pPr>
        <w:pStyle w:val="BodyText"/>
        <w:spacing w:before="6"/>
        <w:rPr>
          <w:sz w:val="13"/>
        </w:rPr>
      </w:pPr>
    </w:p>
    <w:p>
      <w:pPr>
        <w:pStyle w:val="BodyText"/>
        <w:spacing w:line="259" w:lineRule="auto" w:before="91"/>
        <w:ind w:left="107" w:right="124"/>
        <w:jc w:val="both"/>
      </w:pPr>
      <w:r>
        <w:rPr/>
        <w:t>immigrants constituting the fastest growing component of the household popula- tion with two or more persons per bedroom. Recent immigrants also grew from less than a third to almost half of all households with four or more persons per bedroom. In sum, then, the size of the precariously housed group grew, as did its share of the total household population, and the housing circumstances of this group became even more desperate than they had been in 1980.</w:t>
      </w:r>
    </w:p>
    <w:p>
      <w:pPr>
        <w:pStyle w:val="BodyText"/>
        <w:spacing w:line="259" w:lineRule="auto"/>
        <w:ind w:left="107" w:right="114" w:firstLine="199"/>
        <w:jc w:val="both"/>
      </w:pPr>
      <w:r>
        <w:rPr/>
        <w:t>In contrast, the size and proportion of the generously housed group fell—and fell far faster than in the nation as a whole, from about the same level (roughly a fifth of the household population in 1980). </w:t>
      </w:r>
      <w:r>
        <w:rPr>
          <w:spacing w:val="-8"/>
        </w:rPr>
        <w:t>We </w:t>
      </w:r>
      <w:r>
        <w:rPr/>
        <w:t>know that for several reasons, the generously housed group is undercounted (for example, condominiums are excluded from the PUMS sample because their value was not recorded in 1980, and payment burdens for owners are overestimated since they do not reflect </w:t>
      </w:r>
      <w:r>
        <w:rPr>
          <w:spacing w:val="-5"/>
        </w:rPr>
        <w:t>the </w:t>
      </w:r>
      <w:r>
        <w:rPr/>
        <w:t>tax benefits of home ownership; see Myers and </w:t>
      </w:r>
      <w:r>
        <w:rPr>
          <w:spacing w:val="-3"/>
        </w:rPr>
        <w:t>Wolch, </w:t>
      </w:r>
      <w:r>
        <w:rPr/>
        <w:t>1995, for a detailed discussion). But despite underestimation, the drop for Los Angeles is striking. Does this mean that Los Angeles was </w:t>
      </w:r>
      <w:r>
        <w:rPr>
          <w:i/>
        </w:rPr>
        <w:t>not </w:t>
      </w:r>
      <w:r>
        <w:rPr/>
        <w:t>really the home of the rich and famous during the 1980s? Did the situation of the most affluent and well-housed</w:t>
      </w:r>
      <w:r>
        <w:rPr>
          <w:spacing w:val="-28"/>
        </w:rPr>
        <w:t> </w:t>
      </w:r>
      <w:r>
        <w:rPr/>
        <w:t>actually deteriorate, contrary to all popular</w:t>
      </w:r>
      <w:r>
        <w:rPr>
          <w:spacing w:val="-21"/>
        </w:rPr>
        <w:t> </w:t>
      </w:r>
      <w:r>
        <w:rPr/>
        <w:t>expectation?</w:t>
      </w:r>
    </w:p>
    <w:p>
      <w:pPr>
        <w:pStyle w:val="BodyText"/>
        <w:spacing w:line="259" w:lineRule="auto"/>
        <w:ind w:left="107" w:right="112" w:firstLine="199"/>
        <w:jc w:val="both"/>
      </w:pPr>
      <w:r>
        <w:rPr/>
        <w:t>Closer investigation of the generously housed group over the 1980s reveals some fascinating dynamics. In some respects Los Angeles’ generously housed population was shaped by the same forces that operated across the nation, which shrunk the lower end of the generously housed group. For example, the income position of the generously housed worsened for the least affluent of this group. Recall that to be considered generously housed, a household had to have had 120% or more of median income, adjusted for household size. At the lower reaches of the generously housed income distribution, households are only moderately</w:t>
      </w:r>
      <w:r>
        <w:rPr>
          <w:spacing w:val="-11"/>
        </w:rPr>
        <w:t> </w:t>
      </w:r>
      <w:r>
        <w:rPr/>
        <w:t>well</w:t>
      </w:r>
      <w:r>
        <w:rPr>
          <w:spacing w:val="-11"/>
        </w:rPr>
        <w:t> </w:t>
      </w:r>
      <w:r>
        <w:rPr>
          <w:spacing w:val="-3"/>
        </w:rPr>
        <w:t>off</w:t>
      </w:r>
      <w:r>
        <w:rPr>
          <w:spacing w:val="-11"/>
        </w:rPr>
        <w:t> </w:t>
      </w:r>
      <w:r>
        <w:rPr/>
        <w:t>financially</w:t>
      </w:r>
      <w:r>
        <w:rPr>
          <w:spacing w:val="-11"/>
        </w:rPr>
        <w:t> </w:t>
      </w:r>
      <w:r>
        <w:rPr/>
        <w:t>and</w:t>
      </w:r>
      <w:r>
        <w:rPr>
          <w:spacing w:val="-11"/>
        </w:rPr>
        <w:t> </w:t>
      </w:r>
      <w:r>
        <w:rPr/>
        <w:t>even</w:t>
      </w:r>
      <w:r>
        <w:rPr>
          <w:spacing w:val="-11"/>
        </w:rPr>
        <w:t> </w:t>
      </w:r>
      <w:r>
        <w:rPr/>
        <w:t>at</w:t>
      </w:r>
      <w:r>
        <w:rPr>
          <w:spacing w:val="-11"/>
        </w:rPr>
        <w:t> </w:t>
      </w:r>
      <w:r>
        <w:rPr/>
        <w:t>300%</w:t>
      </w:r>
      <w:r>
        <w:rPr>
          <w:spacing w:val="-11"/>
        </w:rPr>
        <w:t> </w:t>
      </w:r>
      <w:r>
        <w:rPr/>
        <w:t>of</w:t>
      </w:r>
      <w:r>
        <w:rPr>
          <w:spacing w:val="-11"/>
        </w:rPr>
        <w:t> </w:t>
      </w:r>
      <w:r>
        <w:rPr/>
        <w:t>median,</w:t>
      </w:r>
      <w:r>
        <w:rPr>
          <w:spacing w:val="-11"/>
        </w:rPr>
        <w:t> </w:t>
      </w:r>
      <w:r>
        <w:rPr/>
        <w:t>their</w:t>
      </w:r>
      <w:r>
        <w:rPr>
          <w:spacing w:val="-11"/>
        </w:rPr>
        <w:t> </w:t>
      </w:r>
      <w:r>
        <w:rPr/>
        <w:t>income</w:t>
      </w:r>
      <w:r>
        <w:rPr>
          <w:spacing w:val="-10"/>
        </w:rPr>
        <w:t> </w:t>
      </w:r>
      <w:r>
        <w:rPr/>
        <w:t>was</w:t>
      </w:r>
      <w:r>
        <w:rPr>
          <w:spacing w:val="-11"/>
        </w:rPr>
        <w:t> </w:t>
      </w:r>
      <w:r>
        <w:rPr/>
        <w:t>just over</w:t>
      </w:r>
      <w:r>
        <w:rPr>
          <w:spacing w:val="-4"/>
        </w:rPr>
        <w:t> </w:t>
      </w:r>
      <w:r>
        <w:rPr/>
        <w:t>$100,000/year</w:t>
      </w:r>
      <w:r>
        <w:rPr>
          <w:spacing w:val="-3"/>
        </w:rPr>
        <w:t> </w:t>
      </w:r>
      <w:r>
        <w:rPr/>
        <w:t>($104,895).</w:t>
      </w:r>
      <w:r>
        <w:rPr>
          <w:spacing w:val="-3"/>
        </w:rPr>
        <w:t> </w:t>
      </w:r>
      <w:r>
        <w:rPr/>
        <w:t>In</w:t>
      </w:r>
      <w:r>
        <w:rPr>
          <w:spacing w:val="-3"/>
        </w:rPr>
        <w:t> </w:t>
      </w:r>
      <w:r>
        <w:rPr/>
        <w:t>all</w:t>
      </w:r>
      <w:r>
        <w:rPr>
          <w:spacing w:val="-3"/>
        </w:rPr>
        <w:t> </w:t>
      </w:r>
      <w:r>
        <w:rPr/>
        <w:t>but</w:t>
      </w:r>
      <w:r>
        <w:rPr>
          <w:spacing w:val="-3"/>
        </w:rPr>
        <w:t> </w:t>
      </w:r>
      <w:r>
        <w:rPr/>
        <w:t>the</w:t>
      </w:r>
      <w:r>
        <w:rPr>
          <w:spacing w:val="-3"/>
        </w:rPr>
        <w:t> </w:t>
      </w:r>
      <w:r>
        <w:rPr/>
        <w:t>very</w:t>
      </w:r>
      <w:r>
        <w:rPr>
          <w:spacing w:val="-3"/>
        </w:rPr>
        <w:t> </w:t>
      </w:r>
      <w:r>
        <w:rPr/>
        <w:t>top</w:t>
      </w:r>
      <w:r>
        <w:rPr>
          <w:spacing w:val="-3"/>
        </w:rPr>
        <w:t> </w:t>
      </w:r>
      <w:r>
        <w:rPr/>
        <w:t>income</w:t>
      </w:r>
      <w:r>
        <w:rPr>
          <w:spacing w:val="-3"/>
        </w:rPr>
        <w:t> </w:t>
      </w:r>
      <w:r>
        <w:rPr/>
        <w:t>category</w:t>
      </w:r>
      <w:r>
        <w:rPr>
          <w:spacing w:val="-3"/>
        </w:rPr>
        <w:t> </w:t>
      </w:r>
      <w:r>
        <w:rPr/>
        <w:t>(400%</w:t>
      </w:r>
      <w:r>
        <w:rPr>
          <w:spacing w:val="-3"/>
        </w:rPr>
        <w:t> </w:t>
      </w:r>
      <w:r>
        <w:rPr/>
        <w:t>of median), the share of generously housed households declined, especially in the 121–200% of median category, mirroring the pattern for all households in the region.</w:t>
      </w:r>
      <w:r>
        <w:rPr>
          <w:spacing w:val="-13"/>
        </w:rPr>
        <w:t> </w:t>
      </w:r>
      <w:r>
        <w:rPr/>
        <w:t>This</w:t>
      </w:r>
      <w:r>
        <w:rPr>
          <w:spacing w:val="-9"/>
        </w:rPr>
        <w:t> </w:t>
      </w:r>
      <w:r>
        <w:rPr/>
        <w:t>drop</w:t>
      </w:r>
      <w:r>
        <w:rPr>
          <w:spacing w:val="-10"/>
        </w:rPr>
        <w:t> </w:t>
      </w:r>
      <w:r>
        <w:rPr/>
        <w:t>in</w:t>
      </w:r>
      <w:r>
        <w:rPr>
          <w:spacing w:val="-9"/>
        </w:rPr>
        <w:t> </w:t>
      </w:r>
      <w:r>
        <w:rPr/>
        <w:t>affluence</w:t>
      </w:r>
      <w:r>
        <w:rPr>
          <w:spacing w:val="-10"/>
        </w:rPr>
        <w:t> </w:t>
      </w:r>
      <w:r>
        <w:rPr/>
        <w:t>among</w:t>
      </w:r>
      <w:r>
        <w:rPr>
          <w:spacing w:val="-9"/>
        </w:rPr>
        <w:t> </w:t>
      </w:r>
      <w:r>
        <w:rPr/>
        <w:t>the</w:t>
      </w:r>
      <w:r>
        <w:rPr>
          <w:spacing w:val="-9"/>
        </w:rPr>
        <w:t> </w:t>
      </w:r>
      <w:r>
        <w:rPr/>
        <w:t>middle-income</w:t>
      </w:r>
      <w:r>
        <w:rPr>
          <w:spacing w:val="-10"/>
        </w:rPr>
        <w:t> </w:t>
      </w:r>
      <w:r>
        <w:rPr/>
        <w:t>categories</w:t>
      </w:r>
      <w:r>
        <w:rPr>
          <w:spacing w:val="-9"/>
        </w:rPr>
        <w:t> </w:t>
      </w:r>
      <w:r>
        <w:rPr/>
        <w:t>was</w:t>
      </w:r>
      <w:r>
        <w:rPr>
          <w:spacing w:val="-10"/>
        </w:rPr>
        <w:t> </w:t>
      </w:r>
      <w:r>
        <w:rPr/>
        <w:t>driven</w:t>
      </w:r>
      <w:r>
        <w:rPr>
          <w:spacing w:val="-9"/>
        </w:rPr>
        <w:t> </w:t>
      </w:r>
      <w:r>
        <w:rPr/>
        <w:t>by economic restructuring but in addition the demographics of the</w:t>
      </w:r>
      <w:r>
        <w:rPr>
          <w:spacing w:val="20"/>
        </w:rPr>
        <w:t> </w:t>
      </w:r>
      <w:r>
        <w:rPr/>
        <w:t>homeowner population played a role: as the large numbers of postwar homebuyers who purchased cheap housing in the 1950s and 1960s retired, their cash incomes dropped despite their continued ownership (of housing units that were hugely inflated in value), and their very light payment burdens. Second, as a rapid </w:t>
      </w:r>
      <w:r>
        <w:rPr>
          <w:spacing w:val="-3"/>
        </w:rPr>
        <w:t>house </w:t>
      </w:r>
      <w:r>
        <w:rPr/>
        <w:t>price run-up hit the region in the mid to late 1980s, moderate income people stretched to buy into the housing market or upgrade their circumstances, pushing them beyond the 15% payment burden cutoff. For example, the share of homeowners paying less than a quarter of their income for housing fell, while those paying between 25 and 49% rose. And lastly, migration probably played a role; the elderly migrated away from Los Angeles during the 1980s in numbers disproportionate to their population share </w:t>
      </w:r>
      <w:r>
        <w:rPr>
          <w:spacing w:val="-3"/>
        </w:rPr>
        <w:t>(Frey, </w:t>
      </w:r>
      <w:r>
        <w:rPr/>
        <w:t>1995, p. 746). It is reasonable to assume</w:t>
      </w:r>
      <w:r>
        <w:rPr>
          <w:spacing w:val="23"/>
        </w:rPr>
        <w:t> </w:t>
      </w:r>
      <w:r>
        <w:rPr/>
        <w:t>that</w:t>
      </w:r>
      <w:r>
        <w:rPr>
          <w:spacing w:val="24"/>
        </w:rPr>
        <w:t> </w:t>
      </w:r>
      <w:r>
        <w:rPr/>
        <w:t>middle</w:t>
      </w:r>
      <w:r>
        <w:rPr>
          <w:spacing w:val="24"/>
        </w:rPr>
        <w:t> </w:t>
      </w:r>
      <w:r>
        <w:rPr/>
        <w:t>class</w:t>
      </w:r>
      <w:r>
        <w:rPr>
          <w:spacing w:val="24"/>
        </w:rPr>
        <w:t> </w:t>
      </w:r>
      <w:r>
        <w:rPr/>
        <w:t>but</w:t>
      </w:r>
      <w:r>
        <w:rPr>
          <w:spacing w:val="23"/>
        </w:rPr>
        <w:t> </w:t>
      </w:r>
      <w:r>
        <w:rPr/>
        <w:t>generously</w:t>
      </w:r>
      <w:r>
        <w:rPr>
          <w:spacing w:val="24"/>
        </w:rPr>
        <w:t> </w:t>
      </w:r>
      <w:r>
        <w:rPr/>
        <w:t>housed</w:t>
      </w:r>
      <w:r>
        <w:rPr>
          <w:spacing w:val="24"/>
        </w:rPr>
        <w:t> </w:t>
      </w:r>
      <w:r>
        <w:rPr/>
        <w:t>retirees</w:t>
      </w:r>
      <w:r>
        <w:rPr>
          <w:spacing w:val="24"/>
        </w:rPr>
        <w:t> </w:t>
      </w:r>
      <w:r>
        <w:rPr/>
        <w:t>facing</w:t>
      </w:r>
      <w:r>
        <w:rPr>
          <w:spacing w:val="24"/>
        </w:rPr>
        <w:t> </w:t>
      </w:r>
      <w:r>
        <w:rPr/>
        <w:t>declining</w:t>
      </w:r>
      <w:r>
        <w:rPr>
          <w:spacing w:val="23"/>
        </w:rPr>
        <w:t> </w:t>
      </w:r>
      <w:r>
        <w:rPr/>
        <w:t>cash</w:t>
      </w:r>
    </w:p>
    <w:p>
      <w:pPr>
        <w:spacing w:after="0" w:line="259" w:lineRule="auto"/>
        <w:jc w:val="both"/>
        <w:sectPr>
          <w:pgSz w:w="7120" w:h="11820"/>
          <w:pgMar w:header="293" w:footer="0" w:top="500" w:bottom="280" w:left="260" w:right="160"/>
        </w:sectPr>
      </w:pPr>
    </w:p>
    <w:p>
      <w:pPr>
        <w:pStyle w:val="BodyText"/>
        <w:spacing w:before="7"/>
        <w:rPr>
          <w:sz w:val="13"/>
        </w:rPr>
      </w:pPr>
    </w:p>
    <w:p>
      <w:pPr>
        <w:pStyle w:val="BodyText"/>
        <w:spacing w:line="254" w:lineRule="auto" w:before="92"/>
        <w:ind w:left="107" w:right="125"/>
      </w:pPr>
      <w:r>
        <w:rPr/>
        <w:t>incomes sold their homes to younger households and moved away from the high-cost Los Angeles region.</w:t>
      </w:r>
    </w:p>
    <w:p>
      <w:pPr>
        <w:pStyle w:val="BodyText"/>
        <w:spacing w:line="252" w:lineRule="auto"/>
        <w:ind w:left="107" w:right="112" w:firstLine="199"/>
        <w:jc w:val="both"/>
      </w:pPr>
      <w:r>
        <w:rPr/>
        <w:t>In contrast, the </w:t>
      </w:r>
      <w:r>
        <w:rPr>
          <w:spacing w:val="-3"/>
        </w:rPr>
        <w:t>‘‘super-rich’’ </w:t>
      </w:r>
      <w:r>
        <w:rPr/>
        <w:t>element got richer and even more generously housed,</w:t>
      </w:r>
      <w:r>
        <w:rPr>
          <w:spacing w:val="-3"/>
        </w:rPr>
        <w:t> </w:t>
      </w:r>
      <w:r>
        <w:rPr/>
        <w:t>and</w:t>
      </w:r>
      <w:r>
        <w:rPr>
          <w:spacing w:val="-3"/>
        </w:rPr>
        <w:t> </w:t>
      </w:r>
      <w:r>
        <w:rPr/>
        <w:t>the</w:t>
      </w:r>
      <w:r>
        <w:rPr>
          <w:spacing w:val="-3"/>
        </w:rPr>
        <w:t> </w:t>
      </w:r>
      <w:r>
        <w:rPr/>
        <w:t>share</w:t>
      </w:r>
      <w:r>
        <w:rPr>
          <w:spacing w:val="-3"/>
        </w:rPr>
        <w:t> </w:t>
      </w:r>
      <w:r>
        <w:rPr/>
        <w:t>with</w:t>
      </w:r>
      <w:r>
        <w:rPr>
          <w:spacing w:val="-3"/>
        </w:rPr>
        <w:t> </w:t>
      </w:r>
      <w:r>
        <w:rPr/>
        <w:t>the</w:t>
      </w:r>
      <w:r>
        <w:rPr>
          <w:spacing w:val="-3"/>
        </w:rPr>
        <w:t> </w:t>
      </w:r>
      <w:r>
        <w:rPr/>
        <w:t>lightest</w:t>
      </w:r>
      <w:r>
        <w:rPr>
          <w:spacing w:val="-3"/>
        </w:rPr>
        <w:t> </w:t>
      </w:r>
      <w:r>
        <w:rPr/>
        <w:t>payment</w:t>
      </w:r>
      <w:r>
        <w:rPr>
          <w:spacing w:val="-3"/>
        </w:rPr>
        <w:t> </w:t>
      </w:r>
      <w:r>
        <w:rPr/>
        <w:t>burdens</w:t>
      </w:r>
      <w:r>
        <w:rPr>
          <w:spacing w:val="-3"/>
        </w:rPr>
        <w:t> </w:t>
      </w:r>
      <w:r>
        <w:rPr/>
        <w:t>rose.</w:t>
      </w:r>
      <w:r>
        <w:rPr>
          <w:spacing w:val="-7"/>
        </w:rPr>
        <w:t> </w:t>
      </w:r>
      <w:r>
        <w:rPr/>
        <w:t>The</w:t>
      </w:r>
      <w:r>
        <w:rPr>
          <w:spacing w:val="-3"/>
        </w:rPr>
        <w:t> </w:t>
      </w:r>
      <w:r>
        <w:rPr/>
        <w:t>segment</w:t>
      </w:r>
      <w:r>
        <w:rPr>
          <w:spacing w:val="-3"/>
        </w:rPr>
        <w:t> </w:t>
      </w:r>
      <w:r>
        <w:rPr/>
        <w:t>of</w:t>
      </w:r>
      <w:r>
        <w:rPr>
          <w:spacing w:val="-3"/>
        </w:rPr>
        <w:t> </w:t>
      </w:r>
      <w:r>
        <w:rPr/>
        <w:t>the generously housed with incomes 400% of median or more grew from less than 10%</w:t>
      </w:r>
      <w:r>
        <w:rPr>
          <w:spacing w:val="-7"/>
        </w:rPr>
        <w:t> </w:t>
      </w:r>
      <w:r>
        <w:rPr/>
        <w:t>to</w:t>
      </w:r>
      <w:r>
        <w:rPr>
          <w:spacing w:val="-7"/>
        </w:rPr>
        <w:t> </w:t>
      </w:r>
      <w:r>
        <w:rPr/>
        <w:t>more</w:t>
      </w:r>
      <w:r>
        <w:rPr>
          <w:spacing w:val="-7"/>
        </w:rPr>
        <w:t> </w:t>
      </w:r>
      <w:r>
        <w:rPr/>
        <w:t>than</w:t>
      </w:r>
      <w:r>
        <w:rPr>
          <w:spacing w:val="-7"/>
        </w:rPr>
        <w:t> </w:t>
      </w:r>
      <w:r>
        <w:rPr/>
        <w:t>16%.</w:t>
      </w:r>
      <w:r>
        <w:rPr>
          <w:spacing w:val="-7"/>
        </w:rPr>
        <w:t> </w:t>
      </w:r>
      <w:r>
        <w:rPr/>
        <w:t>Generously</w:t>
      </w:r>
      <w:r>
        <w:rPr>
          <w:spacing w:val="-7"/>
        </w:rPr>
        <w:t> </w:t>
      </w:r>
      <w:r>
        <w:rPr/>
        <w:t>housed</w:t>
      </w:r>
      <w:r>
        <w:rPr>
          <w:spacing w:val="-7"/>
        </w:rPr>
        <w:t> </w:t>
      </w:r>
      <w:r>
        <w:rPr/>
        <w:t>owners</w:t>
      </w:r>
      <w:r>
        <w:rPr>
          <w:spacing w:val="-7"/>
        </w:rPr>
        <w:t> </w:t>
      </w:r>
      <w:r>
        <w:rPr/>
        <w:t>with</w:t>
      </w:r>
      <w:r>
        <w:rPr>
          <w:spacing w:val="-7"/>
        </w:rPr>
        <w:t> </w:t>
      </w:r>
      <w:r>
        <w:rPr/>
        <w:t>a</w:t>
      </w:r>
      <w:r>
        <w:rPr>
          <w:spacing w:val="-7"/>
        </w:rPr>
        <w:t> </w:t>
      </w:r>
      <w:r>
        <w:rPr/>
        <w:t>less</w:t>
      </w:r>
      <w:r>
        <w:rPr>
          <w:spacing w:val="-7"/>
        </w:rPr>
        <w:t> </w:t>
      </w:r>
      <w:r>
        <w:rPr/>
        <w:t>than</w:t>
      </w:r>
      <w:r>
        <w:rPr>
          <w:spacing w:val="-7"/>
        </w:rPr>
        <w:t> </w:t>
      </w:r>
      <w:r>
        <w:rPr/>
        <w:t>10%</w:t>
      </w:r>
      <w:r>
        <w:rPr>
          <w:spacing w:val="-7"/>
        </w:rPr>
        <w:t> </w:t>
      </w:r>
      <w:r>
        <w:rPr/>
        <w:t>payment burden</w:t>
      </w:r>
      <w:r>
        <w:rPr>
          <w:spacing w:val="-8"/>
        </w:rPr>
        <w:t> </w:t>
      </w:r>
      <w:r>
        <w:rPr/>
        <w:t>grew</w:t>
      </w:r>
      <w:r>
        <w:rPr>
          <w:spacing w:val="-8"/>
        </w:rPr>
        <w:t> </w:t>
      </w:r>
      <w:r>
        <w:rPr/>
        <w:t>6</w:t>
      </w:r>
      <w:r>
        <w:rPr>
          <w:spacing w:val="-8"/>
        </w:rPr>
        <w:t> </w:t>
      </w:r>
      <w:r>
        <w:rPr/>
        <w:t>percentage</w:t>
      </w:r>
      <w:r>
        <w:rPr>
          <w:spacing w:val="-8"/>
        </w:rPr>
        <w:t> </w:t>
      </w:r>
      <w:r>
        <w:rPr/>
        <w:t>points</w:t>
      </w:r>
      <w:r>
        <w:rPr>
          <w:spacing w:val="-8"/>
        </w:rPr>
        <w:t> </w:t>
      </w:r>
      <w:r>
        <w:rPr/>
        <w:t>(from</w:t>
      </w:r>
      <w:r>
        <w:rPr>
          <w:spacing w:val="-8"/>
        </w:rPr>
        <w:t> </w:t>
      </w:r>
      <w:r>
        <w:rPr/>
        <w:t>61</w:t>
      </w:r>
      <w:r>
        <w:rPr>
          <w:spacing w:val="-8"/>
        </w:rPr>
        <w:t> </w:t>
      </w:r>
      <w:r>
        <w:rPr/>
        <w:t>to</w:t>
      </w:r>
      <w:r>
        <w:rPr>
          <w:spacing w:val="-8"/>
        </w:rPr>
        <w:t> </w:t>
      </w:r>
      <w:r>
        <w:rPr/>
        <w:t>67%);</w:t>
      </w:r>
      <w:r>
        <w:rPr>
          <w:spacing w:val="-8"/>
        </w:rPr>
        <w:t> </w:t>
      </w:r>
      <w:r>
        <w:rPr/>
        <w:t>the</w:t>
      </w:r>
      <w:r>
        <w:rPr>
          <w:spacing w:val="-8"/>
        </w:rPr>
        <w:t> </w:t>
      </w:r>
      <w:r>
        <w:rPr/>
        <w:t>share</w:t>
      </w:r>
      <w:r>
        <w:rPr>
          <w:spacing w:val="-8"/>
        </w:rPr>
        <w:t> </w:t>
      </w:r>
      <w:r>
        <w:rPr/>
        <w:t>with</w:t>
      </w:r>
      <w:r>
        <w:rPr>
          <w:spacing w:val="-8"/>
        </w:rPr>
        <w:t> </w:t>
      </w:r>
      <w:r>
        <w:rPr/>
        <w:t>abundant</w:t>
      </w:r>
      <w:r>
        <w:rPr>
          <w:spacing w:val="-8"/>
        </w:rPr>
        <w:t> </w:t>
      </w:r>
      <w:r>
        <w:rPr/>
        <w:t>space resources also expanded. Households with more than three bedrooms per person more than doubled, and the share with one or fewer persons per bedroom grew from less than 57% in 1980 to over 64% in 1990; and the share of generously housed residing in large housing units (with five or more bedrooms) also </w:t>
      </w:r>
      <w:r>
        <w:rPr>
          <w:spacing w:val="-8"/>
        </w:rPr>
        <w:t>grew, </w:t>
      </w:r>
      <w:r>
        <w:rPr/>
        <w:t>with the share of large units claimed by the generously housed reaching almost twice their representation in the total household population by 1990. Whites, and to</w:t>
      </w:r>
      <w:r>
        <w:rPr>
          <w:spacing w:val="-11"/>
        </w:rPr>
        <w:t> </w:t>
      </w:r>
      <w:r>
        <w:rPr/>
        <w:t>a</w:t>
      </w:r>
      <w:r>
        <w:rPr>
          <w:spacing w:val="-10"/>
        </w:rPr>
        <w:t> </w:t>
      </w:r>
      <w:r>
        <w:rPr/>
        <w:t>lesser</w:t>
      </w:r>
      <w:r>
        <w:rPr>
          <w:spacing w:val="-10"/>
        </w:rPr>
        <w:t> </w:t>
      </w:r>
      <w:r>
        <w:rPr/>
        <w:t>extent</w:t>
      </w:r>
      <w:r>
        <w:rPr>
          <w:spacing w:val="-21"/>
        </w:rPr>
        <w:t> </w:t>
      </w:r>
      <w:r>
        <w:rPr/>
        <w:t>Asians,</w:t>
      </w:r>
      <w:r>
        <w:rPr>
          <w:spacing w:val="-10"/>
        </w:rPr>
        <w:t> </w:t>
      </w:r>
      <w:r>
        <w:rPr/>
        <w:t>were</w:t>
      </w:r>
      <w:r>
        <w:rPr>
          <w:spacing w:val="-10"/>
        </w:rPr>
        <w:t> </w:t>
      </w:r>
      <w:r>
        <w:rPr/>
        <w:t>overrepresented</w:t>
      </w:r>
      <w:r>
        <w:rPr>
          <w:spacing w:val="-11"/>
        </w:rPr>
        <w:t> </w:t>
      </w:r>
      <w:r>
        <w:rPr/>
        <w:t>among</w:t>
      </w:r>
      <w:r>
        <w:rPr>
          <w:spacing w:val="-10"/>
        </w:rPr>
        <w:t> </w:t>
      </w:r>
      <w:r>
        <w:rPr/>
        <w:t>the</w:t>
      </w:r>
      <w:r>
        <w:rPr>
          <w:spacing w:val="-10"/>
        </w:rPr>
        <w:t> </w:t>
      </w:r>
      <w:r>
        <w:rPr/>
        <w:t>generously</w:t>
      </w:r>
      <w:r>
        <w:rPr>
          <w:spacing w:val="-10"/>
        </w:rPr>
        <w:t> </w:t>
      </w:r>
      <w:r>
        <w:rPr/>
        <w:t>housed</w:t>
      </w:r>
      <w:r>
        <w:rPr>
          <w:spacing w:val="-10"/>
        </w:rPr>
        <w:t> </w:t>
      </w:r>
      <w:r>
        <w:rPr/>
        <w:t>with large homes. In the case of Asians, this was apt to be linked to the prevalence of multigenerational living arrangements among more affluent immigrants, since Asian immigrant households living in large housing units in general were far more apt to have multiple families in the household than any other group (especially the more established</w:t>
      </w:r>
      <w:r>
        <w:rPr>
          <w:spacing w:val="-17"/>
        </w:rPr>
        <w:t> </w:t>
      </w:r>
      <w:r>
        <w:rPr/>
        <w:t>immigrants).</w:t>
      </w:r>
    </w:p>
    <w:p>
      <w:pPr>
        <w:pStyle w:val="BodyText"/>
        <w:spacing w:line="252" w:lineRule="auto"/>
        <w:ind w:left="107" w:right="122" w:firstLine="199"/>
        <w:jc w:val="both"/>
      </w:pPr>
      <w:r>
        <w:rPr/>
        <w:t>Thus despite the drop in number and proportion of generously housed house- holds during the 1980s, which would lead to a conclusion that the housing status distribution became less rather than more polarized over the decade, the reality was more complex. The number and proportion of precariously housed </w:t>
      </w:r>
      <w:r>
        <w:rPr>
          <w:spacing w:val="-3"/>
        </w:rPr>
        <w:t>house- </w:t>
      </w:r>
      <w:r>
        <w:rPr/>
        <w:t>holds did indeed become larger, and the economic status of the precariously housed population deteriorated; the position of the least advantaged among </w:t>
      </w:r>
      <w:r>
        <w:rPr>
          <w:spacing w:val="-5"/>
        </w:rPr>
        <w:t>the </w:t>
      </w:r>
      <w:r>
        <w:rPr/>
        <w:t>generously housed also deteriorated, but the most affluent group expanded </w:t>
      </w:r>
      <w:r>
        <w:rPr>
          <w:spacing w:val="-5"/>
        </w:rPr>
        <w:t>and </w:t>
      </w:r>
      <w:r>
        <w:rPr/>
        <w:t>enjoyed even more generous housing circumstances. These dynamics reveal</w:t>
      </w:r>
      <w:r>
        <w:rPr>
          <w:spacing w:val="-26"/>
        </w:rPr>
        <w:t> </w:t>
      </w:r>
      <w:r>
        <w:rPr/>
        <w:t>how economic and demographic shifts worked to differentiate the rich and those who had merely been generously housed in 1980: in the postwar period, many Americans were able to become generously housed, even though their </w:t>
      </w:r>
      <w:r>
        <w:rPr>
          <w:spacing w:val="-3"/>
        </w:rPr>
        <w:t>cash </w:t>
      </w:r>
      <w:r>
        <w:rPr/>
        <w:t>incomes were relatively modest. During the 1980s, however, what Harrison </w:t>
      </w:r>
      <w:r>
        <w:rPr>
          <w:spacing w:val="-4"/>
        </w:rPr>
        <w:t>and </w:t>
      </w:r>
      <w:r>
        <w:rPr/>
        <w:t>Bluestone</w:t>
      </w:r>
      <w:r>
        <w:rPr>
          <w:spacing w:val="-8"/>
        </w:rPr>
        <w:t> </w:t>
      </w:r>
      <w:r>
        <w:rPr/>
        <w:t>(1988)</w:t>
      </w:r>
      <w:r>
        <w:rPr>
          <w:spacing w:val="-7"/>
        </w:rPr>
        <w:t> </w:t>
      </w:r>
      <w:r>
        <w:rPr/>
        <w:t>termed</w:t>
      </w:r>
      <w:r>
        <w:rPr>
          <w:spacing w:val="-7"/>
        </w:rPr>
        <w:t> </w:t>
      </w:r>
      <w:r>
        <w:rPr/>
        <w:t>the</w:t>
      </w:r>
      <w:r>
        <w:rPr>
          <w:spacing w:val="-7"/>
        </w:rPr>
        <w:t> </w:t>
      </w:r>
      <w:r>
        <w:rPr>
          <w:spacing w:val="-3"/>
        </w:rPr>
        <w:t>‘‘great</w:t>
      </w:r>
      <w:r>
        <w:rPr>
          <w:spacing w:val="-7"/>
        </w:rPr>
        <w:t> </w:t>
      </w:r>
      <w:r>
        <w:rPr/>
        <w:t>U-turn’’</w:t>
      </w:r>
      <w:r>
        <w:rPr>
          <w:spacing w:val="-21"/>
        </w:rPr>
        <w:t> </w:t>
      </w:r>
      <w:r>
        <w:rPr/>
        <w:t>had</w:t>
      </w:r>
      <w:r>
        <w:rPr>
          <w:spacing w:val="-7"/>
        </w:rPr>
        <w:t> </w:t>
      </w:r>
      <w:r>
        <w:rPr/>
        <w:t>caught</w:t>
      </w:r>
      <w:r>
        <w:rPr>
          <w:spacing w:val="-7"/>
        </w:rPr>
        <w:t> </w:t>
      </w:r>
      <w:r>
        <w:rPr/>
        <w:t>up</w:t>
      </w:r>
      <w:r>
        <w:rPr>
          <w:spacing w:val="-7"/>
        </w:rPr>
        <w:t> </w:t>
      </w:r>
      <w:r>
        <w:rPr/>
        <w:t>with</w:t>
      </w:r>
      <w:r>
        <w:rPr>
          <w:spacing w:val="-7"/>
        </w:rPr>
        <w:t> </w:t>
      </w:r>
      <w:r>
        <w:rPr/>
        <w:t>these</w:t>
      </w:r>
      <w:r>
        <w:rPr>
          <w:spacing w:val="-7"/>
        </w:rPr>
        <w:t> </w:t>
      </w:r>
      <w:r>
        <w:rPr/>
        <w:t>households and</w:t>
      </w:r>
      <w:r>
        <w:rPr>
          <w:spacing w:val="-7"/>
        </w:rPr>
        <w:t> </w:t>
      </w:r>
      <w:r>
        <w:rPr/>
        <w:t>only</w:t>
      </w:r>
      <w:r>
        <w:rPr>
          <w:spacing w:val="-6"/>
        </w:rPr>
        <w:t> </w:t>
      </w:r>
      <w:r>
        <w:rPr/>
        <w:t>a</w:t>
      </w:r>
      <w:r>
        <w:rPr>
          <w:spacing w:val="-6"/>
        </w:rPr>
        <w:t> </w:t>
      </w:r>
      <w:r>
        <w:rPr/>
        <w:t>share—the</w:t>
      </w:r>
      <w:r>
        <w:rPr>
          <w:spacing w:val="-7"/>
        </w:rPr>
        <w:t> </w:t>
      </w:r>
      <w:r>
        <w:rPr/>
        <w:t>superwealthy—were</w:t>
      </w:r>
      <w:r>
        <w:rPr>
          <w:spacing w:val="-6"/>
        </w:rPr>
        <w:t> </w:t>
      </w:r>
      <w:r>
        <w:rPr/>
        <w:t>able</w:t>
      </w:r>
      <w:r>
        <w:rPr>
          <w:spacing w:val="-6"/>
        </w:rPr>
        <w:t> </w:t>
      </w:r>
      <w:r>
        <w:rPr/>
        <w:t>to</w:t>
      </w:r>
      <w:r>
        <w:rPr>
          <w:spacing w:val="-6"/>
        </w:rPr>
        <w:t> </w:t>
      </w:r>
      <w:r>
        <w:rPr/>
        <w:t>continue</w:t>
      </w:r>
      <w:r>
        <w:rPr>
          <w:spacing w:val="-7"/>
        </w:rPr>
        <w:t> </w:t>
      </w:r>
      <w:r>
        <w:rPr/>
        <w:t>climbing</w:t>
      </w:r>
      <w:r>
        <w:rPr>
          <w:spacing w:val="-6"/>
        </w:rPr>
        <w:t> </w:t>
      </w:r>
      <w:r>
        <w:rPr/>
        <w:t>the</w:t>
      </w:r>
      <w:r>
        <w:rPr>
          <w:spacing w:val="-6"/>
        </w:rPr>
        <w:t> </w:t>
      </w:r>
      <w:r>
        <w:rPr/>
        <w:t>housing ladder.</w:t>
      </w:r>
    </w:p>
    <w:p>
      <w:pPr>
        <w:pStyle w:val="BodyText"/>
        <w:spacing w:line="252" w:lineRule="auto"/>
        <w:ind w:left="107" w:right="124" w:firstLine="199"/>
        <w:jc w:val="both"/>
      </w:pPr>
      <w:r>
        <w:rPr>
          <w:i/>
        </w:rPr>
        <w:t>Composition</w:t>
      </w:r>
      <w:r>
        <w:rPr>
          <w:i/>
          <w:spacing w:val="-5"/>
        </w:rPr>
        <w:t> </w:t>
      </w:r>
      <w:r>
        <w:rPr>
          <w:i/>
        </w:rPr>
        <w:t>of</w:t>
      </w:r>
      <w:r>
        <w:rPr>
          <w:i/>
          <w:spacing w:val="-5"/>
        </w:rPr>
        <w:t> </w:t>
      </w:r>
      <w:r>
        <w:rPr>
          <w:i/>
        </w:rPr>
        <w:t>precariously</w:t>
      </w:r>
      <w:r>
        <w:rPr>
          <w:i/>
          <w:spacing w:val="-5"/>
        </w:rPr>
        <w:t> </w:t>
      </w:r>
      <w:r>
        <w:rPr>
          <w:i/>
        </w:rPr>
        <w:t>and</w:t>
      </w:r>
      <w:r>
        <w:rPr>
          <w:i/>
          <w:spacing w:val="-4"/>
        </w:rPr>
        <w:t> </w:t>
      </w:r>
      <w:r>
        <w:rPr>
          <w:i/>
        </w:rPr>
        <w:t>generously</w:t>
      </w:r>
      <w:r>
        <w:rPr>
          <w:i/>
          <w:spacing w:val="-5"/>
        </w:rPr>
        <w:t> </w:t>
      </w:r>
      <w:r>
        <w:rPr>
          <w:i/>
        </w:rPr>
        <w:t>housed.</w:t>
      </w:r>
      <w:r>
        <w:rPr>
          <w:i/>
          <w:spacing w:val="-5"/>
        </w:rPr>
        <w:t> </w:t>
      </w:r>
      <w:r>
        <w:rPr/>
        <w:t>As</w:t>
      </w:r>
      <w:r>
        <w:rPr>
          <w:spacing w:val="-5"/>
        </w:rPr>
        <w:t> </w:t>
      </w:r>
      <w:r>
        <w:rPr/>
        <w:t>one</w:t>
      </w:r>
      <w:r>
        <w:rPr>
          <w:spacing w:val="-4"/>
        </w:rPr>
        <w:t> </w:t>
      </w:r>
      <w:r>
        <w:rPr/>
        <w:t>might</w:t>
      </w:r>
      <w:r>
        <w:rPr>
          <w:spacing w:val="-5"/>
        </w:rPr>
        <w:t> </w:t>
      </w:r>
      <w:r>
        <w:rPr/>
        <w:t>predict,</w:t>
      </w:r>
      <w:r>
        <w:rPr>
          <w:spacing w:val="-5"/>
        </w:rPr>
        <w:t> </w:t>
      </w:r>
      <w:r>
        <w:rPr>
          <w:spacing w:val="-4"/>
        </w:rPr>
        <w:t>the </w:t>
      </w:r>
      <w:r>
        <w:rPr/>
        <w:t>1990 precariously housed population in Los Angeles was disproportionately composed of younger people, women, nonfamily households and female-headed households, African American and Hispanic households, and immigrants, </w:t>
      </w:r>
      <w:r>
        <w:rPr>
          <w:spacing w:val="-3"/>
        </w:rPr>
        <w:t>espe- </w:t>
      </w:r>
      <w:r>
        <w:rPr/>
        <w:t>cially recent settlers. The proportion receiving public assistance was far greater than average, and they were much more likely to be out of the labor </w:t>
      </w:r>
      <w:r>
        <w:rPr>
          <w:spacing w:val="-3"/>
        </w:rPr>
        <w:t>force. </w:t>
      </w:r>
      <w:r>
        <w:rPr/>
        <w:t>Similarly, the generously housed were disproportionately older, males, </w:t>
      </w:r>
      <w:r>
        <w:rPr>
          <w:spacing w:val="-3"/>
        </w:rPr>
        <w:t>married </w:t>
      </w:r>
      <w:r>
        <w:rPr/>
        <w:t>couple families, Whites, and native-born, with higher rates of employment </w:t>
      </w:r>
      <w:r>
        <w:rPr>
          <w:spacing w:val="-4"/>
        </w:rPr>
        <w:t>than </w:t>
      </w:r>
      <w:r>
        <w:rPr/>
        <w:t>average and negligible rates of public assistance income</w:t>
      </w:r>
      <w:r>
        <w:rPr>
          <w:spacing w:val="-35"/>
        </w:rPr>
        <w:t> </w:t>
      </w:r>
      <w:r>
        <w:rPr>
          <w:spacing w:val="-3"/>
        </w:rPr>
        <w:t>(Table </w:t>
      </w:r>
      <w:r>
        <w:rPr/>
        <w:t>3).</w:t>
      </w:r>
    </w:p>
    <w:p>
      <w:pPr>
        <w:pStyle w:val="BodyText"/>
        <w:ind w:left="306"/>
      </w:pPr>
      <w:r>
        <w:rPr/>
        <w:t>Over the decade, the share of precariously housed householders who were</w:t>
      </w:r>
    </w:p>
    <w:p>
      <w:pPr>
        <w:spacing w:after="0"/>
        <w:sectPr>
          <w:pgSz w:w="7120" w:h="11820"/>
          <w:pgMar w:header="294" w:footer="0" w:top="500" w:bottom="280" w:left="260" w:right="160"/>
        </w:sectPr>
      </w:pPr>
    </w:p>
    <w:p>
      <w:pPr>
        <w:pStyle w:val="BodyText"/>
        <w:spacing w:before="2"/>
        <w:rPr>
          <w:sz w:val="14"/>
        </w:rPr>
      </w:pPr>
    </w:p>
    <w:p>
      <w:pPr>
        <w:spacing w:before="93"/>
        <w:ind w:left="1409" w:right="1426" w:firstLine="0"/>
        <w:jc w:val="center"/>
        <w:rPr>
          <w:sz w:val="16"/>
        </w:rPr>
      </w:pPr>
      <w:r>
        <w:rPr>
          <w:sz w:val="16"/>
        </w:rPr>
        <w:t>TABLE 3</w:t>
      </w:r>
    </w:p>
    <w:p>
      <w:pPr>
        <w:spacing w:before="13"/>
        <w:ind w:left="1409" w:right="1426" w:firstLine="0"/>
        <w:jc w:val="center"/>
        <w:rPr>
          <w:i/>
          <w:sz w:val="11"/>
        </w:rPr>
      </w:pPr>
      <w:r>
        <w:rPr/>
        <w:pict>
          <v:line style="position:absolute;mso-position-horizontal-relative:page;mso-position-vertical-relative:paragraph;z-index:1048" from="72.240997pt,14.55625pt" to="287.758997pt,14.55625pt" stroked="true" strokeweight=".499pt" strokecolor="#000000">
            <v:stroke dashstyle="solid"/>
            <w10:wrap type="none"/>
          </v:line>
        </w:pict>
      </w:r>
      <w:r>
        <w:rPr>
          <w:sz w:val="16"/>
        </w:rPr>
        <w:t>Composition of Precariously and Generously Housed</w:t>
      </w:r>
      <w:r>
        <w:rPr>
          <w:i/>
          <w:position w:val="5"/>
          <w:sz w:val="11"/>
        </w:rPr>
        <w:t>a</w:t>
      </w:r>
    </w:p>
    <w:p>
      <w:pPr>
        <w:spacing w:after="0"/>
        <w:jc w:val="center"/>
        <w:rPr>
          <w:sz w:val="11"/>
        </w:rPr>
        <w:sectPr>
          <w:pgSz w:w="7120" w:h="11820"/>
          <w:pgMar w:header="293" w:footer="0" w:top="500" w:bottom="280" w:left="260" w:right="160"/>
        </w:sectPr>
      </w:pPr>
    </w:p>
    <w:p>
      <w:pPr>
        <w:pStyle w:val="BodyText"/>
        <w:spacing w:before="1"/>
        <w:rPr>
          <w:i/>
          <w:sz w:val="16"/>
        </w:rPr>
      </w:pPr>
    </w:p>
    <w:p>
      <w:pPr>
        <w:spacing w:line="259" w:lineRule="auto" w:before="0"/>
        <w:ind w:left="3214" w:right="0" w:hanging="173"/>
        <w:jc w:val="left"/>
        <w:rPr>
          <w:sz w:val="16"/>
        </w:rPr>
      </w:pPr>
      <w:r>
        <w:rPr>
          <w:w w:val="95"/>
          <w:sz w:val="16"/>
        </w:rPr>
        <w:t>Precariously </w:t>
      </w:r>
      <w:r>
        <w:rPr>
          <w:sz w:val="16"/>
        </w:rPr>
        <w:t>housed</w:t>
      </w:r>
    </w:p>
    <w:p>
      <w:pPr>
        <w:pStyle w:val="BodyText"/>
        <w:spacing w:before="1"/>
        <w:rPr>
          <w:sz w:val="16"/>
        </w:rPr>
      </w:pPr>
      <w:r>
        <w:rPr/>
        <w:br w:type="column"/>
      </w:r>
      <w:r>
        <w:rPr>
          <w:sz w:val="16"/>
        </w:rPr>
      </w:r>
    </w:p>
    <w:p>
      <w:pPr>
        <w:spacing w:line="259" w:lineRule="auto" w:before="0"/>
        <w:ind w:left="60" w:right="0" w:firstLine="196"/>
        <w:jc w:val="left"/>
        <w:rPr>
          <w:sz w:val="16"/>
        </w:rPr>
      </w:pPr>
      <w:r>
        <w:rPr>
          <w:sz w:val="16"/>
        </w:rPr>
        <w:t>Total </w:t>
      </w:r>
      <w:r>
        <w:rPr>
          <w:w w:val="95"/>
          <w:sz w:val="16"/>
        </w:rPr>
        <w:t>households</w:t>
      </w:r>
    </w:p>
    <w:p>
      <w:pPr>
        <w:pStyle w:val="BodyText"/>
        <w:spacing w:before="1"/>
        <w:rPr>
          <w:sz w:val="16"/>
        </w:rPr>
      </w:pPr>
      <w:r>
        <w:rPr/>
        <w:br w:type="column"/>
      </w:r>
      <w:r>
        <w:rPr>
          <w:sz w:val="16"/>
        </w:rPr>
      </w:r>
    </w:p>
    <w:p>
      <w:pPr>
        <w:spacing w:line="259" w:lineRule="auto" w:before="0"/>
        <w:ind w:left="202" w:right="1183" w:hanging="142"/>
        <w:jc w:val="left"/>
        <w:rPr>
          <w:sz w:val="16"/>
        </w:rPr>
      </w:pPr>
      <w:r>
        <w:rPr>
          <w:sz w:val="16"/>
        </w:rPr>
        <w:t>Generously</w:t>
      </w:r>
      <w:r>
        <w:rPr>
          <w:w w:val="99"/>
          <w:sz w:val="16"/>
        </w:rPr>
        <w:t> </w:t>
      </w:r>
      <w:r>
        <w:rPr>
          <w:sz w:val="16"/>
        </w:rPr>
        <w:t>housed</w:t>
      </w:r>
    </w:p>
    <w:p>
      <w:pPr>
        <w:spacing w:after="0" w:line="259" w:lineRule="auto"/>
        <w:jc w:val="left"/>
        <w:rPr>
          <w:sz w:val="16"/>
        </w:rPr>
        <w:sectPr>
          <w:type w:val="continuous"/>
          <w:pgSz w:w="7120" w:h="11820"/>
          <w:pgMar w:top="220" w:bottom="280" w:left="260" w:right="160"/>
          <w:cols w:num="3" w:equalWidth="0">
            <w:col w:w="3840" w:space="40"/>
            <w:col w:w="780" w:space="39"/>
            <w:col w:w="2001"/>
          </w:cols>
        </w:sectPr>
      </w:pPr>
    </w:p>
    <w:p>
      <w:pPr>
        <w:pStyle w:val="BodyText"/>
        <w:spacing w:before="4"/>
        <w:rPr>
          <w:sz w:val="5"/>
        </w:rPr>
      </w:pPr>
    </w:p>
    <w:p>
      <w:pPr>
        <w:pStyle w:val="BodyText"/>
        <w:spacing w:line="20" w:lineRule="exact"/>
        <w:ind w:left="1181"/>
        <w:rPr>
          <w:sz w:val="2"/>
        </w:rPr>
      </w:pPr>
      <w:r>
        <w:rPr>
          <w:sz w:val="2"/>
        </w:rPr>
        <w:pict>
          <v:group style="width:215.55pt;height:.25pt;mso-position-horizontal-relative:char;mso-position-vertical-relative:line" coordorigin="0,0" coordsize="4311,5">
            <v:line style="position:absolute" from="0,2" to="4310,2" stroked="true" strokeweight=".249pt" strokecolor="#00000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7"/>
        </w:rPr>
      </w:pPr>
    </w:p>
    <w:p>
      <w:pPr>
        <w:spacing w:before="93"/>
        <w:ind w:left="1184" w:right="0" w:firstLine="0"/>
        <w:jc w:val="left"/>
        <w:rPr>
          <w:sz w:val="16"/>
        </w:rPr>
      </w:pPr>
      <w:r>
        <w:rPr/>
        <w:pict>
          <v:shape style="position:absolute;margin-left:72.240997pt;margin-top:-74.814125pt;width:215.55pt;height:292.75pt;mso-position-horizontal-relative:page;mso-position-vertical-relative:paragraph;z-index:10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5"/>
                    <w:gridCol w:w="749"/>
                    <w:gridCol w:w="843"/>
                    <w:gridCol w:w="782"/>
                  </w:tblGrid>
                  <w:tr>
                    <w:trPr>
                      <w:trHeight w:val="199" w:hRule="atLeast"/>
                    </w:trPr>
                    <w:tc>
                      <w:tcPr>
                        <w:tcW w:w="1935" w:type="dxa"/>
                      </w:tcPr>
                      <w:p>
                        <w:pPr>
                          <w:pStyle w:val="TableParagraph"/>
                          <w:spacing w:line="177" w:lineRule="exact" w:before="0"/>
                          <w:rPr>
                            <w:sz w:val="16"/>
                          </w:rPr>
                        </w:pPr>
                        <w:r>
                          <w:rPr>
                            <w:sz w:val="16"/>
                          </w:rPr>
                          <w:t>Age</w:t>
                        </w:r>
                      </w:p>
                    </w:tc>
                    <w:tc>
                      <w:tcPr>
                        <w:tcW w:w="2374" w:type="dxa"/>
                        <w:gridSpan w:val="3"/>
                      </w:tcPr>
                      <w:p>
                        <w:pPr>
                          <w:pStyle w:val="TableParagraph"/>
                          <w:spacing w:line="240" w:lineRule="auto" w:before="0"/>
                          <w:rPr>
                            <w:sz w:val="12"/>
                          </w:rPr>
                        </w:pPr>
                      </w:p>
                    </w:tc>
                  </w:tr>
                  <w:tr>
                    <w:trPr>
                      <w:trHeight w:val="188" w:hRule="atLeast"/>
                    </w:trPr>
                    <w:tc>
                      <w:tcPr>
                        <w:tcW w:w="1935" w:type="dxa"/>
                      </w:tcPr>
                      <w:p>
                        <w:pPr>
                          <w:pStyle w:val="TableParagraph"/>
                          <w:spacing w:line="168" w:lineRule="exact" w:before="0"/>
                          <w:ind w:left="159"/>
                          <w:rPr>
                            <w:sz w:val="16"/>
                          </w:rPr>
                        </w:pPr>
                        <w:r>
                          <w:rPr>
                            <w:sz w:val="16"/>
                          </w:rPr>
                          <w:t>Under 25</w:t>
                        </w:r>
                      </w:p>
                    </w:tc>
                    <w:tc>
                      <w:tcPr>
                        <w:tcW w:w="749" w:type="dxa"/>
                      </w:tcPr>
                      <w:p>
                        <w:pPr>
                          <w:pStyle w:val="TableParagraph"/>
                          <w:spacing w:line="168" w:lineRule="exact" w:before="0"/>
                          <w:ind w:left="180"/>
                          <w:rPr>
                            <w:sz w:val="16"/>
                          </w:rPr>
                        </w:pPr>
                        <w:r>
                          <w:rPr>
                            <w:sz w:val="16"/>
                          </w:rPr>
                          <w:t>12.5</w:t>
                        </w:r>
                      </w:p>
                    </w:tc>
                    <w:tc>
                      <w:tcPr>
                        <w:tcW w:w="843" w:type="dxa"/>
                      </w:tcPr>
                      <w:p>
                        <w:pPr>
                          <w:pStyle w:val="TableParagraph"/>
                          <w:spacing w:line="168" w:lineRule="exact" w:before="0"/>
                          <w:ind w:left="270" w:right="173"/>
                          <w:jc w:val="center"/>
                          <w:rPr>
                            <w:sz w:val="16"/>
                          </w:rPr>
                        </w:pPr>
                        <w:r>
                          <w:rPr>
                            <w:sz w:val="16"/>
                          </w:rPr>
                          <w:t>5.2</w:t>
                        </w:r>
                      </w:p>
                    </w:tc>
                    <w:tc>
                      <w:tcPr>
                        <w:tcW w:w="782" w:type="dxa"/>
                      </w:tcPr>
                      <w:p>
                        <w:pPr>
                          <w:pStyle w:val="TableParagraph"/>
                          <w:spacing w:line="168" w:lineRule="exact" w:before="0"/>
                          <w:ind w:right="226"/>
                          <w:jc w:val="right"/>
                          <w:rPr>
                            <w:sz w:val="16"/>
                          </w:rPr>
                        </w:pPr>
                        <w:r>
                          <w:rPr>
                            <w:sz w:val="16"/>
                          </w:rPr>
                          <w:t>1.7</w:t>
                        </w:r>
                      </w:p>
                    </w:tc>
                  </w:tr>
                  <w:tr>
                    <w:trPr>
                      <w:trHeight w:val="199" w:hRule="atLeast"/>
                    </w:trPr>
                    <w:tc>
                      <w:tcPr>
                        <w:tcW w:w="1935" w:type="dxa"/>
                      </w:tcPr>
                      <w:p>
                        <w:pPr>
                          <w:pStyle w:val="TableParagraph"/>
                          <w:ind w:left="159"/>
                          <w:rPr>
                            <w:sz w:val="16"/>
                          </w:rPr>
                        </w:pPr>
                        <w:r>
                          <w:rPr>
                            <w:sz w:val="16"/>
                          </w:rPr>
                          <w:t>25–34</w:t>
                        </w:r>
                      </w:p>
                    </w:tc>
                    <w:tc>
                      <w:tcPr>
                        <w:tcW w:w="749" w:type="dxa"/>
                      </w:tcPr>
                      <w:p>
                        <w:pPr>
                          <w:pStyle w:val="TableParagraph"/>
                          <w:ind w:left="180"/>
                          <w:rPr>
                            <w:sz w:val="16"/>
                          </w:rPr>
                        </w:pPr>
                        <w:r>
                          <w:rPr>
                            <w:sz w:val="16"/>
                          </w:rPr>
                          <w:t>27.8</w:t>
                        </w:r>
                      </w:p>
                    </w:tc>
                    <w:tc>
                      <w:tcPr>
                        <w:tcW w:w="843" w:type="dxa"/>
                      </w:tcPr>
                      <w:p>
                        <w:pPr>
                          <w:pStyle w:val="TableParagraph"/>
                          <w:ind w:left="267" w:right="250"/>
                          <w:jc w:val="center"/>
                          <w:rPr>
                            <w:sz w:val="16"/>
                          </w:rPr>
                        </w:pPr>
                        <w:r>
                          <w:rPr>
                            <w:sz w:val="16"/>
                          </w:rPr>
                          <w:t>24.1</w:t>
                        </w:r>
                      </w:p>
                    </w:tc>
                    <w:tc>
                      <w:tcPr>
                        <w:tcW w:w="782" w:type="dxa"/>
                      </w:tcPr>
                      <w:p>
                        <w:pPr>
                          <w:pStyle w:val="TableParagraph"/>
                          <w:ind w:right="226"/>
                          <w:jc w:val="right"/>
                          <w:rPr>
                            <w:sz w:val="16"/>
                          </w:rPr>
                        </w:pPr>
                        <w:r>
                          <w:rPr>
                            <w:w w:val="95"/>
                            <w:sz w:val="16"/>
                          </w:rPr>
                          <w:t>13.2</w:t>
                        </w:r>
                      </w:p>
                    </w:tc>
                  </w:tr>
                  <w:tr>
                    <w:trPr>
                      <w:trHeight w:val="199" w:hRule="atLeast"/>
                    </w:trPr>
                    <w:tc>
                      <w:tcPr>
                        <w:tcW w:w="1935" w:type="dxa"/>
                      </w:tcPr>
                      <w:p>
                        <w:pPr>
                          <w:pStyle w:val="TableParagraph"/>
                          <w:ind w:left="159"/>
                          <w:rPr>
                            <w:sz w:val="16"/>
                          </w:rPr>
                        </w:pPr>
                        <w:r>
                          <w:rPr>
                            <w:sz w:val="16"/>
                          </w:rPr>
                          <w:t>35–44</w:t>
                        </w:r>
                      </w:p>
                    </w:tc>
                    <w:tc>
                      <w:tcPr>
                        <w:tcW w:w="749" w:type="dxa"/>
                      </w:tcPr>
                      <w:p>
                        <w:pPr>
                          <w:pStyle w:val="TableParagraph"/>
                          <w:ind w:left="180"/>
                          <w:rPr>
                            <w:sz w:val="16"/>
                          </w:rPr>
                        </w:pPr>
                        <w:r>
                          <w:rPr>
                            <w:sz w:val="16"/>
                          </w:rPr>
                          <w:t>20.7</w:t>
                        </w:r>
                      </w:p>
                    </w:tc>
                    <w:tc>
                      <w:tcPr>
                        <w:tcW w:w="843" w:type="dxa"/>
                      </w:tcPr>
                      <w:p>
                        <w:pPr>
                          <w:pStyle w:val="TableParagraph"/>
                          <w:ind w:left="267" w:right="250"/>
                          <w:jc w:val="center"/>
                          <w:rPr>
                            <w:sz w:val="16"/>
                          </w:rPr>
                        </w:pPr>
                        <w:r>
                          <w:rPr>
                            <w:sz w:val="16"/>
                          </w:rPr>
                          <w:t>23.3</w:t>
                        </w:r>
                      </w:p>
                    </w:tc>
                    <w:tc>
                      <w:tcPr>
                        <w:tcW w:w="782" w:type="dxa"/>
                      </w:tcPr>
                      <w:p>
                        <w:pPr>
                          <w:pStyle w:val="TableParagraph"/>
                          <w:ind w:right="226"/>
                          <w:jc w:val="right"/>
                          <w:rPr>
                            <w:sz w:val="16"/>
                          </w:rPr>
                        </w:pPr>
                        <w:r>
                          <w:rPr>
                            <w:w w:val="95"/>
                            <w:sz w:val="16"/>
                          </w:rPr>
                          <w:t>16.8</w:t>
                        </w:r>
                      </w:p>
                    </w:tc>
                  </w:tr>
                  <w:tr>
                    <w:trPr>
                      <w:trHeight w:val="199" w:hRule="atLeast"/>
                    </w:trPr>
                    <w:tc>
                      <w:tcPr>
                        <w:tcW w:w="1935" w:type="dxa"/>
                      </w:tcPr>
                      <w:p>
                        <w:pPr>
                          <w:pStyle w:val="TableParagraph"/>
                          <w:ind w:left="159"/>
                          <w:rPr>
                            <w:sz w:val="16"/>
                          </w:rPr>
                        </w:pPr>
                        <w:r>
                          <w:rPr>
                            <w:sz w:val="16"/>
                          </w:rPr>
                          <w:t>45–54</w:t>
                        </w:r>
                      </w:p>
                    </w:tc>
                    <w:tc>
                      <w:tcPr>
                        <w:tcW w:w="749" w:type="dxa"/>
                      </w:tcPr>
                      <w:p>
                        <w:pPr>
                          <w:pStyle w:val="TableParagraph"/>
                          <w:ind w:left="180"/>
                          <w:rPr>
                            <w:sz w:val="16"/>
                          </w:rPr>
                        </w:pPr>
                        <w:r>
                          <w:rPr>
                            <w:sz w:val="16"/>
                          </w:rPr>
                          <w:t>10.4</w:t>
                        </w:r>
                      </w:p>
                    </w:tc>
                    <w:tc>
                      <w:tcPr>
                        <w:tcW w:w="843" w:type="dxa"/>
                      </w:tcPr>
                      <w:p>
                        <w:pPr>
                          <w:pStyle w:val="TableParagraph"/>
                          <w:ind w:left="267" w:right="250"/>
                          <w:jc w:val="center"/>
                          <w:rPr>
                            <w:sz w:val="16"/>
                          </w:rPr>
                        </w:pPr>
                        <w:r>
                          <w:rPr>
                            <w:sz w:val="16"/>
                          </w:rPr>
                          <w:t>16.3</w:t>
                        </w:r>
                      </w:p>
                    </w:tc>
                    <w:tc>
                      <w:tcPr>
                        <w:tcW w:w="782" w:type="dxa"/>
                      </w:tcPr>
                      <w:p>
                        <w:pPr>
                          <w:pStyle w:val="TableParagraph"/>
                          <w:ind w:right="226"/>
                          <w:jc w:val="right"/>
                          <w:rPr>
                            <w:sz w:val="16"/>
                          </w:rPr>
                        </w:pPr>
                        <w:r>
                          <w:rPr>
                            <w:w w:val="95"/>
                            <w:sz w:val="16"/>
                          </w:rPr>
                          <w:t>21.7</w:t>
                        </w:r>
                      </w:p>
                    </w:tc>
                  </w:tr>
                  <w:tr>
                    <w:trPr>
                      <w:trHeight w:val="199" w:hRule="atLeast"/>
                    </w:trPr>
                    <w:tc>
                      <w:tcPr>
                        <w:tcW w:w="1935" w:type="dxa"/>
                      </w:tcPr>
                      <w:p>
                        <w:pPr>
                          <w:pStyle w:val="TableParagraph"/>
                          <w:ind w:left="159"/>
                          <w:rPr>
                            <w:sz w:val="16"/>
                          </w:rPr>
                        </w:pPr>
                        <w:r>
                          <w:rPr>
                            <w:sz w:val="16"/>
                          </w:rPr>
                          <w:t>55–64</w:t>
                        </w:r>
                      </w:p>
                    </w:tc>
                    <w:tc>
                      <w:tcPr>
                        <w:tcW w:w="749" w:type="dxa"/>
                      </w:tcPr>
                      <w:p>
                        <w:pPr>
                          <w:pStyle w:val="TableParagraph"/>
                          <w:ind w:right="286"/>
                          <w:jc w:val="right"/>
                          <w:rPr>
                            <w:sz w:val="16"/>
                          </w:rPr>
                        </w:pPr>
                        <w:r>
                          <w:rPr>
                            <w:w w:val="95"/>
                            <w:sz w:val="16"/>
                          </w:rPr>
                          <w:t>8.8</w:t>
                        </w:r>
                      </w:p>
                    </w:tc>
                    <w:tc>
                      <w:tcPr>
                        <w:tcW w:w="843" w:type="dxa"/>
                      </w:tcPr>
                      <w:p>
                        <w:pPr>
                          <w:pStyle w:val="TableParagraph"/>
                          <w:ind w:left="267" w:right="250"/>
                          <w:jc w:val="center"/>
                          <w:rPr>
                            <w:sz w:val="16"/>
                          </w:rPr>
                        </w:pPr>
                        <w:r>
                          <w:rPr>
                            <w:sz w:val="16"/>
                          </w:rPr>
                          <w:t>12.9</w:t>
                        </w:r>
                      </w:p>
                    </w:tc>
                    <w:tc>
                      <w:tcPr>
                        <w:tcW w:w="782" w:type="dxa"/>
                      </w:tcPr>
                      <w:p>
                        <w:pPr>
                          <w:pStyle w:val="TableParagraph"/>
                          <w:ind w:right="226"/>
                          <w:jc w:val="right"/>
                          <w:rPr>
                            <w:sz w:val="16"/>
                          </w:rPr>
                        </w:pPr>
                        <w:r>
                          <w:rPr>
                            <w:w w:val="95"/>
                            <w:sz w:val="16"/>
                          </w:rPr>
                          <w:t>23.5</w:t>
                        </w:r>
                      </w:p>
                    </w:tc>
                  </w:tr>
                  <w:tr>
                    <w:trPr>
                      <w:trHeight w:val="199" w:hRule="atLeast"/>
                    </w:trPr>
                    <w:tc>
                      <w:tcPr>
                        <w:tcW w:w="1935" w:type="dxa"/>
                      </w:tcPr>
                      <w:p>
                        <w:pPr>
                          <w:pStyle w:val="TableParagraph"/>
                          <w:ind w:left="159"/>
                          <w:rPr>
                            <w:sz w:val="16"/>
                          </w:rPr>
                        </w:pPr>
                        <w:r>
                          <w:rPr>
                            <w:sz w:val="16"/>
                          </w:rPr>
                          <w:t>65–74</w:t>
                        </w:r>
                      </w:p>
                    </w:tc>
                    <w:tc>
                      <w:tcPr>
                        <w:tcW w:w="749" w:type="dxa"/>
                      </w:tcPr>
                      <w:p>
                        <w:pPr>
                          <w:pStyle w:val="TableParagraph"/>
                          <w:ind w:right="286"/>
                          <w:jc w:val="right"/>
                          <w:rPr>
                            <w:sz w:val="16"/>
                          </w:rPr>
                        </w:pPr>
                        <w:r>
                          <w:rPr>
                            <w:w w:val="95"/>
                            <w:sz w:val="16"/>
                          </w:rPr>
                          <w:t>9.6</w:t>
                        </w:r>
                      </w:p>
                    </w:tc>
                    <w:tc>
                      <w:tcPr>
                        <w:tcW w:w="843" w:type="dxa"/>
                      </w:tcPr>
                      <w:p>
                        <w:pPr>
                          <w:pStyle w:val="TableParagraph"/>
                          <w:ind w:left="267" w:right="250"/>
                          <w:jc w:val="center"/>
                          <w:rPr>
                            <w:sz w:val="16"/>
                          </w:rPr>
                        </w:pPr>
                        <w:r>
                          <w:rPr>
                            <w:sz w:val="16"/>
                          </w:rPr>
                          <w:t>10.7</w:t>
                        </w:r>
                      </w:p>
                    </w:tc>
                    <w:tc>
                      <w:tcPr>
                        <w:tcW w:w="782" w:type="dxa"/>
                      </w:tcPr>
                      <w:p>
                        <w:pPr>
                          <w:pStyle w:val="TableParagraph"/>
                          <w:ind w:right="226"/>
                          <w:jc w:val="right"/>
                          <w:rPr>
                            <w:sz w:val="16"/>
                          </w:rPr>
                        </w:pPr>
                        <w:r>
                          <w:rPr>
                            <w:w w:val="95"/>
                            <w:sz w:val="16"/>
                          </w:rPr>
                          <w:t>15.8</w:t>
                        </w:r>
                      </w:p>
                    </w:tc>
                  </w:tr>
                  <w:tr>
                    <w:trPr>
                      <w:trHeight w:val="299" w:hRule="atLeast"/>
                    </w:trPr>
                    <w:tc>
                      <w:tcPr>
                        <w:tcW w:w="1935" w:type="dxa"/>
                      </w:tcPr>
                      <w:p>
                        <w:pPr>
                          <w:pStyle w:val="TableParagraph"/>
                          <w:spacing w:line="240" w:lineRule="auto"/>
                          <w:ind w:left="159"/>
                          <w:rPr>
                            <w:sz w:val="16"/>
                          </w:rPr>
                        </w:pPr>
                        <w:r>
                          <w:rPr>
                            <w:w w:val="120"/>
                            <w:sz w:val="16"/>
                          </w:rPr>
                          <w:t>751</w:t>
                        </w:r>
                      </w:p>
                    </w:tc>
                    <w:tc>
                      <w:tcPr>
                        <w:tcW w:w="749" w:type="dxa"/>
                      </w:tcPr>
                      <w:p>
                        <w:pPr>
                          <w:pStyle w:val="TableParagraph"/>
                          <w:spacing w:line="240" w:lineRule="auto"/>
                          <w:ind w:left="180"/>
                          <w:rPr>
                            <w:sz w:val="16"/>
                          </w:rPr>
                        </w:pPr>
                        <w:r>
                          <w:rPr>
                            <w:sz w:val="16"/>
                          </w:rPr>
                          <w:t>10.1</w:t>
                        </w:r>
                      </w:p>
                    </w:tc>
                    <w:tc>
                      <w:tcPr>
                        <w:tcW w:w="843" w:type="dxa"/>
                      </w:tcPr>
                      <w:p>
                        <w:pPr>
                          <w:pStyle w:val="TableParagraph"/>
                          <w:spacing w:line="240" w:lineRule="auto"/>
                          <w:ind w:left="270" w:right="173"/>
                          <w:jc w:val="center"/>
                          <w:rPr>
                            <w:sz w:val="16"/>
                          </w:rPr>
                        </w:pPr>
                        <w:r>
                          <w:rPr>
                            <w:sz w:val="16"/>
                          </w:rPr>
                          <w:t>7.5</w:t>
                        </w:r>
                      </w:p>
                    </w:tc>
                    <w:tc>
                      <w:tcPr>
                        <w:tcW w:w="782" w:type="dxa"/>
                      </w:tcPr>
                      <w:p>
                        <w:pPr>
                          <w:pStyle w:val="TableParagraph"/>
                          <w:spacing w:line="240" w:lineRule="auto"/>
                          <w:ind w:right="226"/>
                          <w:jc w:val="right"/>
                          <w:rPr>
                            <w:sz w:val="16"/>
                          </w:rPr>
                        </w:pPr>
                        <w:r>
                          <w:rPr>
                            <w:sz w:val="16"/>
                          </w:rPr>
                          <w:t>7.2</w:t>
                        </w:r>
                      </w:p>
                    </w:tc>
                  </w:tr>
                  <w:tr>
                    <w:trPr>
                      <w:trHeight w:val="287" w:hRule="atLeast"/>
                    </w:trPr>
                    <w:tc>
                      <w:tcPr>
                        <w:tcW w:w="1935" w:type="dxa"/>
                      </w:tcPr>
                      <w:p>
                        <w:pPr>
                          <w:pStyle w:val="TableParagraph"/>
                          <w:spacing w:line="164" w:lineRule="exact" w:before="104"/>
                          <w:ind w:left="159"/>
                          <w:rPr>
                            <w:sz w:val="16"/>
                          </w:rPr>
                        </w:pPr>
                        <w:r>
                          <w:rPr>
                            <w:sz w:val="16"/>
                          </w:rPr>
                          <w:t>Female</w:t>
                        </w:r>
                      </w:p>
                    </w:tc>
                    <w:tc>
                      <w:tcPr>
                        <w:tcW w:w="749" w:type="dxa"/>
                      </w:tcPr>
                      <w:p>
                        <w:pPr>
                          <w:pStyle w:val="TableParagraph"/>
                          <w:spacing w:line="164" w:lineRule="exact" w:before="104"/>
                          <w:ind w:left="180"/>
                          <w:rPr>
                            <w:sz w:val="16"/>
                          </w:rPr>
                        </w:pPr>
                        <w:r>
                          <w:rPr>
                            <w:sz w:val="16"/>
                          </w:rPr>
                          <w:t>54.2</w:t>
                        </w:r>
                      </w:p>
                    </w:tc>
                    <w:tc>
                      <w:tcPr>
                        <w:tcW w:w="843" w:type="dxa"/>
                      </w:tcPr>
                      <w:p>
                        <w:pPr>
                          <w:pStyle w:val="TableParagraph"/>
                          <w:spacing w:line="164" w:lineRule="exact" w:before="104"/>
                          <w:ind w:left="267" w:right="250"/>
                          <w:jc w:val="center"/>
                          <w:rPr>
                            <w:sz w:val="16"/>
                          </w:rPr>
                        </w:pPr>
                        <w:r>
                          <w:rPr>
                            <w:sz w:val="16"/>
                          </w:rPr>
                          <w:t>33.8</w:t>
                        </w:r>
                      </w:p>
                    </w:tc>
                    <w:tc>
                      <w:tcPr>
                        <w:tcW w:w="782" w:type="dxa"/>
                      </w:tcPr>
                      <w:p>
                        <w:pPr>
                          <w:pStyle w:val="TableParagraph"/>
                          <w:spacing w:line="164" w:lineRule="exact" w:before="104"/>
                          <w:ind w:right="225"/>
                          <w:jc w:val="right"/>
                          <w:rPr>
                            <w:sz w:val="16"/>
                          </w:rPr>
                        </w:pPr>
                        <w:r>
                          <w:rPr>
                            <w:w w:val="95"/>
                            <w:sz w:val="16"/>
                          </w:rPr>
                          <w:t>22.7</w:t>
                        </w:r>
                      </w:p>
                    </w:tc>
                  </w:tr>
                  <w:tr>
                    <w:trPr>
                      <w:trHeight w:val="210" w:hRule="atLeast"/>
                    </w:trPr>
                    <w:tc>
                      <w:tcPr>
                        <w:tcW w:w="1935" w:type="dxa"/>
                      </w:tcPr>
                      <w:p>
                        <w:pPr>
                          <w:pStyle w:val="TableParagraph"/>
                          <w:spacing w:before="15"/>
                          <w:rPr>
                            <w:sz w:val="16"/>
                          </w:rPr>
                        </w:pPr>
                        <w:r>
                          <w:rPr>
                            <w:sz w:val="16"/>
                          </w:rPr>
                          <w:t>Household type</w:t>
                        </w:r>
                      </w:p>
                    </w:tc>
                    <w:tc>
                      <w:tcPr>
                        <w:tcW w:w="749" w:type="dxa"/>
                      </w:tcPr>
                      <w:p>
                        <w:pPr>
                          <w:pStyle w:val="TableParagraph"/>
                          <w:spacing w:line="240" w:lineRule="auto" w:before="0"/>
                          <w:rPr>
                            <w:sz w:val="14"/>
                          </w:rPr>
                        </w:pPr>
                      </w:p>
                    </w:tc>
                    <w:tc>
                      <w:tcPr>
                        <w:tcW w:w="843" w:type="dxa"/>
                      </w:tcPr>
                      <w:p>
                        <w:pPr>
                          <w:pStyle w:val="TableParagraph"/>
                          <w:spacing w:line="240" w:lineRule="auto" w:before="0"/>
                          <w:rPr>
                            <w:sz w:val="14"/>
                          </w:rPr>
                        </w:pPr>
                      </w:p>
                    </w:tc>
                    <w:tc>
                      <w:tcPr>
                        <w:tcW w:w="782" w:type="dxa"/>
                      </w:tcPr>
                      <w:p>
                        <w:pPr>
                          <w:pStyle w:val="TableParagraph"/>
                          <w:spacing w:line="240" w:lineRule="auto" w:before="0"/>
                          <w:rPr>
                            <w:sz w:val="14"/>
                          </w:rPr>
                        </w:pPr>
                      </w:p>
                    </w:tc>
                  </w:tr>
                  <w:tr>
                    <w:trPr>
                      <w:trHeight w:val="199" w:hRule="atLeast"/>
                    </w:trPr>
                    <w:tc>
                      <w:tcPr>
                        <w:tcW w:w="1935" w:type="dxa"/>
                      </w:tcPr>
                      <w:p>
                        <w:pPr>
                          <w:pStyle w:val="TableParagraph"/>
                          <w:spacing w:line="168" w:lineRule="exact" w:before="0"/>
                          <w:ind w:left="159"/>
                          <w:rPr>
                            <w:sz w:val="16"/>
                          </w:rPr>
                        </w:pPr>
                        <w:r>
                          <w:rPr>
                            <w:sz w:val="16"/>
                          </w:rPr>
                          <w:t>Married couple</w:t>
                        </w:r>
                      </w:p>
                    </w:tc>
                    <w:tc>
                      <w:tcPr>
                        <w:tcW w:w="749" w:type="dxa"/>
                      </w:tcPr>
                      <w:p>
                        <w:pPr>
                          <w:pStyle w:val="TableParagraph"/>
                          <w:spacing w:line="168" w:lineRule="exact" w:before="0"/>
                          <w:ind w:left="180"/>
                          <w:rPr>
                            <w:sz w:val="16"/>
                          </w:rPr>
                        </w:pPr>
                        <w:r>
                          <w:rPr>
                            <w:sz w:val="16"/>
                          </w:rPr>
                          <w:t>25.8</w:t>
                        </w:r>
                      </w:p>
                    </w:tc>
                    <w:tc>
                      <w:tcPr>
                        <w:tcW w:w="843" w:type="dxa"/>
                      </w:tcPr>
                      <w:p>
                        <w:pPr>
                          <w:pStyle w:val="TableParagraph"/>
                          <w:spacing w:line="168" w:lineRule="exact" w:before="0"/>
                          <w:ind w:left="267" w:right="250"/>
                          <w:jc w:val="center"/>
                          <w:rPr>
                            <w:sz w:val="16"/>
                          </w:rPr>
                        </w:pPr>
                        <w:r>
                          <w:rPr>
                            <w:sz w:val="16"/>
                          </w:rPr>
                          <w:t>49.4</w:t>
                        </w:r>
                      </w:p>
                    </w:tc>
                    <w:tc>
                      <w:tcPr>
                        <w:tcW w:w="782" w:type="dxa"/>
                      </w:tcPr>
                      <w:p>
                        <w:pPr>
                          <w:pStyle w:val="TableParagraph"/>
                          <w:spacing w:line="168" w:lineRule="exact" w:before="0"/>
                          <w:ind w:right="225"/>
                          <w:jc w:val="right"/>
                          <w:rPr>
                            <w:sz w:val="16"/>
                          </w:rPr>
                        </w:pPr>
                        <w:r>
                          <w:rPr>
                            <w:w w:val="95"/>
                            <w:sz w:val="16"/>
                          </w:rPr>
                          <w:t>64.4</w:t>
                        </w:r>
                      </w:p>
                    </w:tc>
                  </w:tr>
                  <w:tr>
                    <w:trPr>
                      <w:trHeight w:val="199" w:hRule="atLeast"/>
                    </w:trPr>
                    <w:tc>
                      <w:tcPr>
                        <w:tcW w:w="1935" w:type="dxa"/>
                      </w:tcPr>
                      <w:p>
                        <w:pPr>
                          <w:pStyle w:val="TableParagraph"/>
                          <w:ind w:left="159"/>
                          <w:rPr>
                            <w:sz w:val="16"/>
                          </w:rPr>
                        </w:pPr>
                        <w:r>
                          <w:rPr>
                            <w:sz w:val="16"/>
                          </w:rPr>
                          <w:t>Male-headed</w:t>
                        </w:r>
                      </w:p>
                    </w:tc>
                    <w:tc>
                      <w:tcPr>
                        <w:tcW w:w="749" w:type="dxa"/>
                      </w:tcPr>
                      <w:p>
                        <w:pPr>
                          <w:pStyle w:val="TableParagraph"/>
                          <w:ind w:left="180"/>
                          <w:rPr>
                            <w:sz w:val="16"/>
                          </w:rPr>
                        </w:pPr>
                        <w:r>
                          <w:rPr>
                            <w:sz w:val="16"/>
                          </w:rPr>
                          <w:t>23</w:t>
                        </w:r>
                      </w:p>
                    </w:tc>
                    <w:tc>
                      <w:tcPr>
                        <w:tcW w:w="843" w:type="dxa"/>
                      </w:tcPr>
                      <w:p>
                        <w:pPr>
                          <w:pStyle w:val="TableParagraph"/>
                          <w:ind w:left="267" w:right="250"/>
                          <w:jc w:val="center"/>
                          <w:rPr>
                            <w:sz w:val="16"/>
                          </w:rPr>
                        </w:pPr>
                        <w:r>
                          <w:rPr>
                            <w:sz w:val="16"/>
                          </w:rPr>
                          <w:t>20.7</w:t>
                        </w:r>
                      </w:p>
                    </w:tc>
                    <w:tc>
                      <w:tcPr>
                        <w:tcW w:w="782" w:type="dxa"/>
                      </w:tcPr>
                      <w:p>
                        <w:pPr>
                          <w:pStyle w:val="TableParagraph"/>
                          <w:ind w:left="256" w:right="325"/>
                          <w:jc w:val="center"/>
                          <w:rPr>
                            <w:sz w:val="16"/>
                          </w:rPr>
                        </w:pPr>
                        <w:r>
                          <w:rPr>
                            <w:sz w:val="16"/>
                          </w:rPr>
                          <w:t>18</w:t>
                        </w:r>
                      </w:p>
                    </w:tc>
                  </w:tr>
                  <w:tr>
                    <w:trPr>
                      <w:trHeight w:val="188" w:hRule="atLeast"/>
                    </w:trPr>
                    <w:tc>
                      <w:tcPr>
                        <w:tcW w:w="1935" w:type="dxa"/>
                      </w:tcPr>
                      <w:p>
                        <w:pPr>
                          <w:pStyle w:val="TableParagraph"/>
                          <w:spacing w:line="164" w:lineRule="exact"/>
                          <w:ind w:left="159"/>
                          <w:rPr>
                            <w:sz w:val="16"/>
                          </w:rPr>
                        </w:pPr>
                        <w:r>
                          <w:rPr>
                            <w:sz w:val="16"/>
                          </w:rPr>
                          <w:t>Female-headed</w:t>
                        </w:r>
                      </w:p>
                    </w:tc>
                    <w:tc>
                      <w:tcPr>
                        <w:tcW w:w="749" w:type="dxa"/>
                      </w:tcPr>
                      <w:p>
                        <w:pPr>
                          <w:pStyle w:val="TableParagraph"/>
                          <w:spacing w:line="164" w:lineRule="exact"/>
                          <w:ind w:left="180"/>
                          <w:rPr>
                            <w:sz w:val="16"/>
                          </w:rPr>
                        </w:pPr>
                        <w:r>
                          <w:rPr>
                            <w:sz w:val="16"/>
                          </w:rPr>
                          <w:t>51.2</w:t>
                        </w:r>
                      </w:p>
                    </w:tc>
                    <w:tc>
                      <w:tcPr>
                        <w:tcW w:w="843" w:type="dxa"/>
                      </w:tcPr>
                      <w:p>
                        <w:pPr>
                          <w:pStyle w:val="TableParagraph"/>
                          <w:spacing w:line="164" w:lineRule="exact"/>
                          <w:ind w:left="267" w:right="250"/>
                          <w:jc w:val="center"/>
                          <w:rPr>
                            <w:sz w:val="16"/>
                          </w:rPr>
                        </w:pPr>
                        <w:r>
                          <w:rPr>
                            <w:sz w:val="16"/>
                          </w:rPr>
                          <w:t>29.8</w:t>
                        </w:r>
                      </w:p>
                    </w:tc>
                    <w:tc>
                      <w:tcPr>
                        <w:tcW w:w="782" w:type="dxa"/>
                      </w:tcPr>
                      <w:p>
                        <w:pPr>
                          <w:pStyle w:val="TableParagraph"/>
                          <w:spacing w:line="164" w:lineRule="exact"/>
                          <w:ind w:right="225"/>
                          <w:jc w:val="right"/>
                          <w:rPr>
                            <w:sz w:val="16"/>
                          </w:rPr>
                        </w:pPr>
                        <w:r>
                          <w:rPr>
                            <w:w w:val="95"/>
                            <w:sz w:val="16"/>
                          </w:rPr>
                          <w:t>17.7</w:t>
                        </w:r>
                      </w:p>
                    </w:tc>
                  </w:tr>
                  <w:tr>
                    <w:trPr>
                      <w:trHeight w:val="210" w:hRule="atLeast"/>
                    </w:trPr>
                    <w:tc>
                      <w:tcPr>
                        <w:tcW w:w="1935" w:type="dxa"/>
                      </w:tcPr>
                      <w:p>
                        <w:pPr>
                          <w:pStyle w:val="TableParagraph"/>
                          <w:spacing w:before="15"/>
                          <w:rPr>
                            <w:sz w:val="16"/>
                          </w:rPr>
                        </w:pPr>
                        <w:r>
                          <w:rPr>
                            <w:sz w:val="16"/>
                          </w:rPr>
                          <w:t>Race/ethnicity</w:t>
                        </w:r>
                      </w:p>
                    </w:tc>
                    <w:tc>
                      <w:tcPr>
                        <w:tcW w:w="749" w:type="dxa"/>
                      </w:tcPr>
                      <w:p>
                        <w:pPr>
                          <w:pStyle w:val="TableParagraph"/>
                          <w:spacing w:line="240" w:lineRule="auto" w:before="0"/>
                          <w:rPr>
                            <w:sz w:val="14"/>
                          </w:rPr>
                        </w:pPr>
                      </w:p>
                    </w:tc>
                    <w:tc>
                      <w:tcPr>
                        <w:tcW w:w="843" w:type="dxa"/>
                      </w:tcPr>
                      <w:p>
                        <w:pPr>
                          <w:pStyle w:val="TableParagraph"/>
                          <w:spacing w:line="240" w:lineRule="auto" w:before="0"/>
                          <w:rPr>
                            <w:sz w:val="14"/>
                          </w:rPr>
                        </w:pPr>
                      </w:p>
                    </w:tc>
                    <w:tc>
                      <w:tcPr>
                        <w:tcW w:w="782" w:type="dxa"/>
                      </w:tcPr>
                      <w:p>
                        <w:pPr>
                          <w:pStyle w:val="TableParagraph"/>
                          <w:spacing w:line="240" w:lineRule="auto" w:before="0"/>
                          <w:rPr>
                            <w:sz w:val="14"/>
                          </w:rPr>
                        </w:pPr>
                      </w:p>
                    </w:tc>
                  </w:tr>
                  <w:tr>
                    <w:trPr>
                      <w:trHeight w:val="199" w:hRule="atLeast"/>
                    </w:trPr>
                    <w:tc>
                      <w:tcPr>
                        <w:tcW w:w="1935" w:type="dxa"/>
                      </w:tcPr>
                      <w:p>
                        <w:pPr>
                          <w:pStyle w:val="TableParagraph"/>
                          <w:spacing w:line="168" w:lineRule="exact" w:before="0"/>
                          <w:ind w:left="159"/>
                          <w:rPr>
                            <w:sz w:val="16"/>
                          </w:rPr>
                        </w:pPr>
                        <w:r>
                          <w:rPr>
                            <w:sz w:val="16"/>
                          </w:rPr>
                          <w:t>White</w:t>
                        </w:r>
                      </w:p>
                    </w:tc>
                    <w:tc>
                      <w:tcPr>
                        <w:tcW w:w="749" w:type="dxa"/>
                      </w:tcPr>
                      <w:p>
                        <w:pPr>
                          <w:pStyle w:val="TableParagraph"/>
                          <w:spacing w:line="168" w:lineRule="exact" w:before="0"/>
                          <w:ind w:left="180"/>
                          <w:rPr>
                            <w:sz w:val="16"/>
                          </w:rPr>
                        </w:pPr>
                        <w:r>
                          <w:rPr>
                            <w:sz w:val="16"/>
                          </w:rPr>
                          <w:t>36.1</w:t>
                        </w:r>
                      </w:p>
                    </w:tc>
                    <w:tc>
                      <w:tcPr>
                        <w:tcW w:w="843" w:type="dxa"/>
                      </w:tcPr>
                      <w:p>
                        <w:pPr>
                          <w:pStyle w:val="TableParagraph"/>
                          <w:spacing w:line="168" w:lineRule="exact" w:before="0"/>
                          <w:ind w:left="267" w:right="250"/>
                          <w:jc w:val="center"/>
                          <w:rPr>
                            <w:sz w:val="16"/>
                          </w:rPr>
                        </w:pPr>
                        <w:r>
                          <w:rPr>
                            <w:sz w:val="16"/>
                          </w:rPr>
                          <w:t>53.4</w:t>
                        </w:r>
                      </w:p>
                    </w:tc>
                    <w:tc>
                      <w:tcPr>
                        <w:tcW w:w="782" w:type="dxa"/>
                      </w:tcPr>
                      <w:p>
                        <w:pPr>
                          <w:pStyle w:val="TableParagraph"/>
                          <w:spacing w:line="168" w:lineRule="exact" w:before="0"/>
                          <w:ind w:right="225"/>
                          <w:jc w:val="right"/>
                          <w:rPr>
                            <w:sz w:val="16"/>
                          </w:rPr>
                        </w:pPr>
                        <w:r>
                          <w:rPr>
                            <w:w w:val="95"/>
                            <w:sz w:val="16"/>
                          </w:rPr>
                          <w:t>66.1</w:t>
                        </w:r>
                      </w:p>
                    </w:tc>
                  </w:tr>
                  <w:tr>
                    <w:trPr>
                      <w:trHeight w:val="199" w:hRule="atLeast"/>
                    </w:trPr>
                    <w:tc>
                      <w:tcPr>
                        <w:tcW w:w="1935" w:type="dxa"/>
                      </w:tcPr>
                      <w:p>
                        <w:pPr>
                          <w:pStyle w:val="TableParagraph"/>
                          <w:ind w:left="159"/>
                          <w:rPr>
                            <w:sz w:val="16"/>
                          </w:rPr>
                        </w:pPr>
                        <w:r>
                          <w:rPr>
                            <w:sz w:val="16"/>
                          </w:rPr>
                          <w:t>Black</w:t>
                        </w:r>
                      </w:p>
                    </w:tc>
                    <w:tc>
                      <w:tcPr>
                        <w:tcW w:w="749" w:type="dxa"/>
                      </w:tcPr>
                      <w:p>
                        <w:pPr>
                          <w:pStyle w:val="TableParagraph"/>
                          <w:ind w:left="180"/>
                          <w:rPr>
                            <w:sz w:val="16"/>
                          </w:rPr>
                        </w:pPr>
                        <w:r>
                          <w:rPr>
                            <w:sz w:val="16"/>
                          </w:rPr>
                          <w:t>18.7</w:t>
                        </w:r>
                      </w:p>
                    </w:tc>
                    <w:tc>
                      <w:tcPr>
                        <w:tcW w:w="843" w:type="dxa"/>
                      </w:tcPr>
                      <w:p>
                        <w:pPr>
                          <w:pStyle w:val="TableParagraph"/>
                          <w:ind w:left="270" w:right="247"/>
                          <w:jc w:val="center"/>
                          <w:rPr>
                            <w:sz w:val="16"/>
                          </w:rPr>
                        </w:pPr>
                        <w:r>
                          <w:rPr>
                            <w:sz w:val="16"/>
                          </w:rPr>
                          <w:t>11.4</w:t>
                        </w:r>
                      </w:p>
                    </w:tc>
                    <w:tc>
                      <w:tcPr>
                        <w:tcW w:w="782" w:type="dxa"/>
                      </w:tcPr>
                      <w:p>
                        <w:pPr>
                          <w:pStyle w:val="TableParagraph"/>
                          <w:ind w:right="225"/>
                          <w:jc w:val="right"/>
                          <w:rPr>
                            <w:sz w:val="16"/>
                          </w:rPr>
                        </w:pPr>
                        <w:r>
                          <w:rPr>
                            <w:w w:val="95"/>
                            <w:sz w:val="16"/>
                          </w:rPr>
                          <w:t>8.4</w:t>
                        </w:r>
                      </w:p>
                    </w:tc>
                  </w:tr>
                  <w:tr>
                    <w:trPr>
                      <w:trHeight w:val="199" w:hRule="atLeast"/>
                    </w:trPr>
                    <w:tc>
                      <w:tcPr>
                        <w:tcW w:w="1935" w:type="dxa"/>
                      </w:tcPr>
                      <w:p>
                        <w:pPr>
                          <w:pStyle w:val="TableParagraph"/>
                          <w:ind w:left="159"/>
                          <w:rPr>
                            <w:sz w:val="16"/>
                          </w:rPr>
                        </w:pPr>
                        <w:r>
                          <w:rPr>
                            <w:sz w:val="16"/>
                          </w:rPr>
                          <w:t>Asian</w:t>
                        </w:r>
                      </w:p>
                    </w:tc>
                    <w:tc>
                      <w:tcPr>
                        <w:tcW w:w="749" w:type="dxa"/>
                      </w:tcPr>
                      <w:p>
                        <w:pPr>
                          <w:pStyle w:val="TableParagraph"/>
                          <w:ind w:right="286"/>
                          <w:jc w:val="right"/>
                          <w:rPr>
                            <w:sz w:val="16"/>
                          </w:rPr>
                        </w:pPr>
                        <w:r>
                          <w:rPr>
                            <w:w w:val="95"/>
                            <w:sz w:val="16"/>
                          </w:rPr>
                          <w:t>8.4</w:t>
                        </w:r>
                      </w:p>
                    </w:tc>
                    <w:tc>
                      <w:tcPr>
                        <w:tcW w:w="843" w:type="dxa"/>
                      </w:tcPr>
                      <w:p>
                        <w:pPr>
                          <w:pStyle w:val="TableParagraph"/>
                          <w:ind w:right="20"/>
                          <w:jc w:val="center"/>
                          <w:rPr>
                            <w:sz w:val="16"/>
                          </w:rPr>
                        </w:pPr>
                        <w:r>
                          <w:rPr>
                            <w:w w:val="99"/>
                            <w:sz w:val="16"/>
                          </w:rPr>
                          <w:t>9</w:t>
                        </w:r>
                      </w:p>
                    </w:tc>
                    <w:tc>
                      <w:tcPr>
                        <w:tcW w:w="782" w:type="dxa"/>
                      </w:tcPr>
                      <w:p>
                        <w:pPr>
                          <w:pStyle w:val="TableParagraph"/>
                          <w:ind w:right="226"/>
                          <w:jc w:val="right"/>
                          <w:rPr>
                            <w:sz w:val="16"/>
                          </w:rPr>
                        </w:pPr>
                        <w:r>
                          <w:rPr>
                            <w:sz w:val="16"/>
                          </w:rPr>
                          <w:t>8.3</w:t>
                        </w:r>
                      </w:p>
                    </w:tc>
                  </w:tr>
                  <w:tr>
                    <w:trPr>
                      <w:trHeight w:val="188" w:hRule="atLeast"/>
                    </w:trPr>
                    <w:tc>
                      <w:tcPr>
                        <w:tcW w:w="1935" w:type="dxa"/>
                      </w:tcPr>
                      <w:p>
                        <w:pPr>
                          <w:pStyle w:val="TableParagraph"/>
                          <w:spacing w:line="164" w:lineRule="exact"/>
                          <w:ind w:left="159"/>
                          <w:rPr>
                            <w:sz w:val="16"/>
                          </w:rPr>
                        </w:pPr>
                        <w:r>
                          <w:rPr>
                            <w:sz w:val="16"/>
                          </w:rPr>
                          <w:t>Hispanic</w:t>
                        </w:r>
                      </w:p>
                    </w:tc>
                    <w:tc>
                      <w:tcPr>
                        <w:tcW w:w="749" w:type="dxa"/>
                      </w:tcPr>
                      <w:p>
                        <w:pPr>
                          <w:pStyle w:val="TableParagraph"/>
                          <w:spacing w:line="164" w:lineRule="exact"/>
                          <w:ind w:left="180"/>
                          <w:rPr>
                            <w:sz w:val="16"/>
                          </w:rPr>
                        </w:pPr>
                        <w:r>
                          <w:rPr>
                            <w:sz w:val="16"/>
                          </w:rPr>
                          <w:t>15.9</w:t>
                        </w:r>
                      </w:p>
                    </w:tc>
                    <w:tc>
                      <w:tcPr>
                        <w:tcW w:w="843" w:type="dxa"/>
                      </w:tcPr>
                      <w:p>
                        <w:pPr>
                          <w:pStyle w:val="TableParagraph"/>
                          <w:spacing w:line="164" w:lineRule="exact"/>
                          <w:ind w:left="267" w:right="250"/>
                          <w:jc w:val="center"/>
                          <w:rPr>
                            <w:sz w:val="16"/>
                          </w:rPr>
                        </w:pPr>
                        <w:r>
                          <w:rPr>
                            <w:sz w:val="16"/>
                          </w:rPr>
                          <w:t>12.2</w:t>
                        </w:r>
                      </w:p>
                    </w:tc>
                    <w:tc>
                      <w:tcPr>
                        <w:tcW w:w="782" w:type="dxa"/>
                      </w:tcPr>
                      <w:p>
                        <w:pPr>
                          <w:pStyle w:val="TableParagraph"/>
                          <w:spacing w:line="164" w:lineRule="exact"/>
                          <w:ind w:right="225"/>
                          <w:jc w:val="right"/>
                          <w:rPr>
                            <w:sz w:val="16"/>
                          </w:rPr>
                        </w:pPr>
                        <w:r>
                          <w:rPr>
                            <w:w w:val="95"/>
                            <w:sz w:val="16"/>
                          </w:rPr>
                          <w:t>9.2</w:t>
                        </w:r>
                      </w:p>
                    </w:tc>
                  </w:tr>
                  <w:tr>
                    <w:trPr>
                      <w:trHeight w:val="210" w:hRule="atLeast"/>
                    </w:trPr>
                    <w:tc>
                      <w:tcPr>
                        <w:tcW w:w="1935" w:type="dxa"/>
                      </w:tcPr>
                      <w:p>
                        <w:pPr>
                          <w:pStyle w:val="TableParagraph"/>
                          <w:spacing w:before="15"/>
                          <w:rPr>
                            <w:sz w:val="16"/>
                          </w:rPr>
                        </w:pPr>
                        <w:r>
                          <w:rPr>
                            <w:sz w:val="16"/>
                          </w:rPr>
                          <w:t>Nativity</w:t>
                        </w:r>
                      </w:p>
                    </w:tc>
                    <w:tc>
                      <w:tcPr>
                        <w:tcW w:w="749" w:type="dxa"/>
                      </w:tcPr>
                      <w:p>
                        <w:pPr>
                          <w:pStyle w:val="TableParagraph"/>
                          <w:spacing w:line="240" w:lineRule="auto" w:before="0"/>
                          <w:rPr>
                            <w:sz w:val="14"/>
                          </w:rPr>
                        </w:pPr>
                      </w:p>
                    </w:tc>
                    <w:tc>
                      <w:tcPr>
                        <w:tcW w:w="843" w:type="dxa"/>
                      </w:tcPr>
                      <w:p>
                        <w:pPr>
                          <w:pStyle w:val="TableParagraph"/>
                          <w:spacing w:line="240" w:lineRule="auto" w:before="0"/>
                          <w:rPr>
                            <w:sz w:val="14"/>
                          </w:rPr>
                        </w:pPr>
                      </w:p>
                    </w:tc>
                    <w:tc>
                      <w:tcPr>
                        <w:tcW w:w="782" w:type="dxa"/>
                      </w:tcPr>
                      <w:p>
                        <w:pPr>
                          <w:pStyle w:val="TableParagraph"/>
                          <w:spacing w:line="240" w:lineRule="auto" w:before="0"/>
                          <w:rPr>
                            <w:sz w:val="14"/>
                          </w:rPr>
                        </w:pPr>
                      </w:p>
                    </w:tc>
                  </w:tr>
                  <w:tr>
                    <w:trPr>
                      <w:trHeight w:val="199" w:hRule="atLeast"/>
                    </w:trPr>
                    <w:tc>
                      <w:tcPr>
                        <w:tcW w:w="1935" w:type="dxa"/>
                      </w:tcPr>
                      <w:p>
                        <w:pPr>
                          <w:pStyle w:val="TableParagraph"/>
                          <w:spacing w:line="168" w:lineRule="exact" w:before="0"/>
                          <w:ind w:left="159"/>
                          <w:rPr>
                            <w:sz w:val="16"/>
                          </w:rPr>
                        </w:pPr>
                        <w:r>
                          <w:rPr>
                            <w:sz w:val="16"/>
                          </w:rPr>
                          <w:t>Not foreign born</w:t>
                        </w:r>
                      </w:p>
                    </w:tc>
                    <w:tc>
                      <w:tcPr>
                        <w:tcW w:w="749" w:type="dxa"/>
                      </w:tcPr>
                      <w:p>
                        <w:pPr>
                          <w:pStyle w:val="TableParagraph"/>
                          <w:spacing w:line="168" w:lineRule="exact" w:before="0"/>
                          <w:ind w:left="180"/>
                          <w:rPr>
                            <w:sz w:val="16"/>
                          </w:rPr>
                        </w:pPr>
                        <w:r>
                          <w:rPr>
                            <w:sz w:val="16"/>
                          </w:rPr>
                          <w:t>54.7</w:t>
                        </w:r>
                      </w:p>
                    </w:tc>
                    <w:tc>
                      <w:tcPr>
                        <w:tcW w:w="843" w:type="dxa"/>
                      </w:tcPr>
                      <w:p>
                        <w:pPr>
                          <w:pStyle w:val="TableParagraph"/>
                          <w:spacing w:line="168" w:lineRule="exact" w:before="0"/>
                          <w:ind w:left="267" w:right="250"/>
                          <w:jc w:val="center"/>
                          <w:rPr>
                            <w:sz w:val="16"/>
                          </w:rPr>
                        </w:pPr>
                        <w:r>
                          <w:rPr>
                            <w:sz w:val="16"/>
                          </w:rPr>
                          <w:t>66.7</w:t>
                        </w:r>
                      </w:p>
                    </w:tc>
                    <w:tc>
                      <w:tcPr>
                        <w:tcW w:w="782" w:type="dxa"/>
                      </w:tcPr>
                      <w:p>
                        <w:pPr>
                          <w:pStyle w:val="TableParagraph"/>
                          <w:spacing w:line="168" w:lineRule="exact" w:before="0"/>
                          <w:ind w:right="225"/>
                          <w:jc w:val="right"/>
                          <w:rPr>
                            <w:sz w:val="16"/>
                          </w:rPr>
                        </w:pPr>
                        <w:r>
                          <w:rPr>
                            <w:w w:val="95"/>
                            <w:sz w:val="16"/>
                          </w:rPr>
                          <w:t>77.8</w:t>
                        </w:r>
                      </w:p>
                    </w:tc>
                  </w:tr>
                  <w:tr>
                    <w:trPr>
                      <w:trHeight w:val="199" w:hRule="atLeast"/>
                    </w:trPr>
                    <w:tc>
                      <w:tcPr>
                        <w:tcW w:w="1935" w:type="dxa"/>
                      </w:tcPr>
                      <w:p>
                        <w:pPr>
                          <w:pStyle w:val="TableParagraph"/>
                          <w:ind w:left="159"/>
                          <w:rPr>
                            <w:sz w:val="16"/>
                          </w:rPr>
                        </w:pPr>
                        <w:r>
                          <w:rPr>
                            <w:sz w:val="16"/>
                          </w:rPr>
                          <w:t>Arrived 1980 or after</w:t>
                        </w:r>
                      </w:p>
                    </w:tc>
                    <w:tc>
                      <w:tcPr>
                        <w:tcW w:w="749" w:type="dxa"/>
                      </w:tcPr>
                      <w:p>
                        <w:pPr>
                          <w:pStyle w:val="TableParagraph"/>
                          <w:ind w:left="180"/>
                          <w:rPr>
                            <w:sz w:val="16"/>
                          </w:rPr>
                        </w:pPr>
                        <w:r>
                          <w:rPr>
                            <w:sz w:val="16"/>
                          </w:rPr>
                          <w:t>23.1</w:t>
                        </w:r>
                      </w:p>
                    </w:tc>
                    <w:tc>
                      <w:tcPr>
                        <w:tcW w:w="843" w:type="dxa"/>
                      </w:tcPr>
                      <w:p>
                        <w:pPr>
                          <w:pStyle w:val="TableParagraph"/>
                          <w:ind w:left="270" w:right="247"/>
                          <w:jc w:val="center"/>
                          <w:rPr>
                            <w:sz w:val="16"/>
                          </w:rPr>
                        </w:pPr>
                        <w:r>
                          <w:rPr>
                            <w:sz w:val="16"/>
                          </w:rPr>
                          <w:t>11.9</w:t>
                        </w:r>
                      </w:p>
                    </w:tc>
                    <w:tc>
                      <w:tcPr>
                        <w:tcW w:w="782" w:type="dxa"/>
                      </w:tcPr>
                      <w:p>
                        <w:pPr>
                          <w:pStyle w:val="TableParagraph"/>
                          <w:ind w:right="225"/>
                          <w:jc w:val="right"/>
                          <w:rPr>
                            <w:sz w:val="16"/>
                          </w:rPr>
                        </w:pPr>
                        <w:r>
                          <w:rPr>
                            <w:w w:val="95"/>
                            <w:sz w:val="16"/>
                          </w:rPr>
                          <w:t>4.8</w:t>
                        </w:r>
                      </w:p>
                    </w:tc>
                  </w:tr>
                  <w:tr>
                    <w:trPr>
                      <w:trHeight w:val="188" w:hRule="atLeast"/>
                    </w:trPr>
                    <w:tc>
                      <w:tcPr>
                        <w:tcW w:w="1935" w:type="dxa"/>
                      </w:tcPr>
                      <w:p>
                        <w:pPr>
                          <w:pStyle w:val="TableParagraph"/>
                          <w:spacing w:line="164" w:lineRule="exact"/>
                          <w:ind w:left="159"/>
                          <w:rPr>
                            <w:sz w:val="16"/>
                          </w:rPr>
                        </w:pPr>
                        <w:r>
                          <w:rPr>
                            <w:sz w:val="16"/>
                          </w:rPr>
                          <w:t>Arrived before 1980</w:t>
                        </w:r>
                      </w:p>
                    </w:tc>
                    <w:tc>
                      <w:tcPr>
                        <w:tcW w:w="749" w:type="dxa"/>
                      </w:tcPr>
                      <w:p>
                        <w:pPr>
                          <w:pStyle w:val="TableParagraph"/>
                          <w:spacing w:line="164" w:lineRule="exact"/>
                          <w:ind w:left="180"/>
                          <w:rPr>
                            <w:sz w:val="16"/>
                          </w:rPr>
                        </w:pPr>
                        <w:r>
                          <w:rPr>
                            <w:sz w:val="16"/>
                          </w:rPr>
                          <w:t>22.2</w:t>
                        </w:r>
                      </w:p>
                    </w:tc>
                    <w:tc>
                      <w:tcPr>
                        <w:tcW w:w="843" w:type="dxa"/>
                      </w:tcPr>
                      <w:p>
                        <w:pPr>
                          <w:pStyle w:val="TableParagraph"/>
                          <w:spacing w:line="164" w:lineRule="exact"/>
                          <w:ind w:left="267" w:right="250"/>
                          <w:jc w:val="center"/>
                          <w:rPr>
                            <w:sz w:val="16"/>
                          </w:rPr>
                        </w:pPr>
                        <w:r>
                          <w:rPr>
                            <w:sz w:val="16"/>
                          </w:rPr>
                          <w:t>21.3</w:t>
                        </w:r>
                      </w:p>
                    </w:tc>
                    <w:tc>
                      <w:tcPr>
                        <w:tcW w:w="782" w:type="dxa"/>
                      </w:tcPr>
                      <w:p>
                        <w:pPr>
                          <w:pStyle w:val="TableParagraph"/>
                          <w:spacing w:line="164" w:lineRule="exact"/>
                          <w:ind w:right="225"/>
                          <w:jc w:val="right"/>
                          <w:rPr>
                            <w:sz w:val="16"/>
                          </w:rPr>
                        </w:pPr>
                        <w:r>
                          <w:rPr>
                            <w:w w:val="95"/>
                            <w:sz w:val="16"/>
                          </w:rPr>
                          <w:t>17.4</w:t>
                        </w:r>
                      </w:p>
                    </w:tc>
                  </w:tr>
                  <w:tr>
                    <w:trPr>
                      <w:trHeight w:val="210" w:hRule="atLeast"/>
                    </w:trPr>
                    <w:tc>
                      <w:tcPr>
                        <w:tcW w:w="1935" w:type="dxa"/>
                      </w:tcPr>
                      <w:p>
                        <w:pPr>
                          <w:pStyle w:val="TableParagraph"/>
                          <w:spacing w:before="15"/>
                          <w:rPr>
                            <w:sz w:val="16"/>
                          </w:rPr>
                        </w:pPr>
                        <w:r>
                          <w:rPr>
                            <w:sz w:val="16"/>
                          </w:rPr>
                          <w:t>Income</w:t>
                        </w:r>
                      </w:p>
                    </w:tc>
                    <w:tc>
                      <w:tcPr>
                        <w:tcW w:w="749" w:type="dxa"/>
                      </w:tcPr>
                      <w:p>
                        <w:pPr>
                          <w:pStyle w:val="TableParagraph"/>
                          <w:spacing w:line="240" w:lineRule="auto" w:before="0"/>
                          <w:rPr>
                            <w:sz w:val="14"/>
                          </w:rPr>
                        </w:pPr>
                      </w:p>
                    </w:tc>
                    <w:tc>
                      <w:tcPr>
                        <w:tcW w:w="843" w:type="dxa"/>
                      </w:tcPr>
                      <w:p>
                        <w:pPr>
                          <w:pStyle w:val="TableParagraph"/>
                          <w:spacing w:line="240" w:lineRule="auto" w:before="0"/>
                          <w:rPr>
                            <w:sz w:val="14"/>
                          </w:rPr>
                        </w:pPr>
                      </w:p>
                    </w:tc>
                    <w:tc>
                      <w:tcPr>
                        <w:tcW w:w="782" w:type="dxa"/>
                      </w:tcPr>
                      <w:p>
                        <w:pPr>
                          <w:pStyle w:val="TableParagraph"/>
                          <w:spacing w:line="240" w:lineRule="auto" w:before="0"/>
                          <w:rPr>
                            <w:sz w:val="14"/>
                          </w:rPr>
                        </w:pPr>
                      </w:p>
                    </w:tc>
                  </w:tr>
                  <w:tr>
                    <w:trPr>
                      <w:trHeight w:val="188" w:hRule="atLeast"/>
                    </w:trPr>
                    <w:tc>
                      <w:tcPr>
                        <w:tcW w:w="1935" w:type="dxa"/>
                      </w:tcPr>
                      <w:p>
                        <w:pPr>
                          <w:pStyle w:val="TableParagraph"/>
                          <w:spacing w:line="157" w:lineRule="exact" w:before="0"/>
                          <w:ind w:left="159"/>
                          <w:rPr>
                            <w:sz w:val="16"/>
                          </w:rPr>
                        </w:pPr>
                        <w:r>
                          <w:rPr>
                            <w:sz w:val="16"/>
                          </w:rPr>
                          <w:t>Public assistance income</w:t>
                        </w:r>
                      </w:p>
                    </w:tc>
                    <w:tc>
                      <w:tcPr>
                        <w:tcW w:w="749" w:type="dxa"/>
                      </w:tcPr>
                      <w:p>
                        <w:pPr>
                          <w:pStyle w:val="TableParagraph"/>
                          <w:spacing w:line="157" w:lineRule="exact" w:before="0"/>
                          <w:ind w:left="180"/>
                          <w:rPr>
                            <w:sz w:val="16"/>
                          </w:rPr>
                        </w:pPr>
                        <w:r>
                          <w:rPr>
                            <w:sz w:val="16"/>
                          </w:rPr>
                          <w:t>26.2</w:t>
                        </w:r>
                      </w:p>
                    </w:tc>
                    <w:tc>
                      <w:tcPr>
                        <w:tcW w:w="843" w:type="dxa"/>
                      </w:tcPr>
                      <w:p>
                        <w:pPr>
                          <w:pStyle w:val="TableParagraph"/>
                          <w:spacing w:line="157" w:lineRule="exact" w:before="0"/>
                          <w:ind w:left="270" w:right="173"/>
                          <w:jc w:val="center"/>
                          <w:rPr>
                            <w:sz w:val="16"/>
                          </w:rPr>
                        </w:pPr>
                        <w:r>
                          <w:rPr>
                            <w:sz w:val="16"/>
                          </w:rPr>
                          <w:t>6.6</w:t>
                        </w:r>
                      </w:p>
                    </w:tc>
                    <w:tc>
                      <w:tcPr>
                        <w:tcW w:w="782" w:type="dxa"/>
                      </w:tcPr>
                      <w:p>
                        <w:pPr>
                          <w:pStyle w:val="TableParagraph"/>
                          <w:spacing w:line="157" w:lineRule="exact" w:before="0"/>
                          <w:ind w:right="225"/>
                          <w:jc w:val="right"/>
                          <w:rPr>
                            <w:sz w:val="16"/>
                          </w:rPr>
                        </w:pPr>
                        <w:r>
                          <w:rPr>
                            <w:w w:val="95"/>
                            <w:sz w:val="16"/>
                          </w:rPr>
                          <w:t>1.7</w:t>
                        </w:r>
                      </w:p>
                    </w:tc>
                  </w:tr>
                  <w:tr>
                    <w:trPr>
                      <w:trHeight w:val="210" w:hRule="atLeast"/>
                    </w:trPr>
                    <w:tc>
                      <w:tcPr>
                        <w:tcW w:w="1935" w:type="dxa"/>
                      </w:tcPr>
                      <w:p>
                        <w:pPr>
                          <w:pStyle w:val="TableParagraph"/>
                          <w:spacing w:before="15"/>
                          <w:rPr>
                            <w:sz w:val="16"/>
                          </w:rPr>
                        </w:pPr>
                        <w:r>
                          <w:rPr>
                            <w:sz w:val="16"/>
                          </w:rPr>
                          <w:t>Labor force status</w:t>
                        </w:r>
                      </w:p>
                    </w:tc>
                    <w:tc>
                      <w:tcPr>
                        <w:tcW w:w="749" w:type="dxa"/>
                      </w:tcPr>
                      <w:p>
                        <w:pPr>
                          <w:pStyle w:val="TableParagraph"/>
                          <w:spacing w:line="240" w:lineRule="auto" w:before="0"/>
                          <w:rPr>
                            <w:sz w:val="14"/>
                          </w:rPr>
                        </w:pPr>
                      </w:p>
                    </w:tc>
                    <w:tc>
                      <w:tcPr>
                        <w:tcW w:w="843" w:type="dxa"/>
                      </w:tcPr>
                      <w:p>
                        <w:pPr>
                          <w:pStyle w:val="TableParagraph"/>
                          <w:spacing w:line="240" w:lineRule="auto" w:before="0"/>
                          <w:rPr>
                            <w:sz w:val="14"/>
                          </w:rPr>
                        </w:pPr>
                      </w:p>
                    </w:tc>
                    <w:tc>
                      <w:tcPr>
                        <w:tcW w:w="782" w:type="dxa"/>
                      </w:tcPr>
                      <w:p>
                        <w:pPr>
                          <w:pStyle w:val="TableParagraph"/>
                          <w:spacing w:line="240" w:lineRule="auto" w:before="0"/>
                          <w:rPr>
                            <w:sz w:val="14"/>
                          </w:rPr>
                        </w:pPr>
                      </w:p>
                    </w:tc>
                  </w:tr>
                  <w:tr>
                    <w:trPr>
                      <w:trHeight w:val="199" w:hRule="atLeast"/>
                    </w:trPr>
                    <w:tc>
                      <w:tcPr>
                        <w:tcW w:w="1935" w:type="dxa"/>
                      </w:tcPr>
                      <w:p>
                        <w:pPr>
                          <w:pStyle w:val="TableParagraph"/>
                          <w:spacing w:line="168" w:lineRule="exact" w:before="0"/>
                          <w:ind w:left="159"/>
                          <w:rPr>
                            <w:sz w:val="16"/>
                          </w:rPr>
                        </w:pPr>
                        <w:r>
                          <w:rPr>
                            <w:sz w:val="16"/>
                          </w:rPr>
                          <w:t>Not in labor force</w:t>
                        </w:r>
                      </w:p>
                    </w:tc>
                    <w:tc>
                      <w:tcPr>
                        <w:tcW w:w="749" w:type="dxa"/>
                      </w:tcPr>
                      <w:p>
                        <w:pPr>
                          <w:pStyle w:val="TableParagraph"/>
                          <w:spacing w:line="168" w:lineRule="exact" w:before="0"/>
                          <w:ind w:left="180"/>
                          <w:rPr>
                            <w:sz w:val="16"/>
                          </w:rPr>
                        </w:pPr>
                        <w:r>
                          <w:rPr>
                            <w:sz w:val="16"/>
                          </w:rPr>
                          <w:t>46.6</w:t>
                        </w:r>
                      </w:p>
                    </w:tc>
                    <w:tc>
                      <w:tcPr>
                        <w:tcW w:w="843" w:type="dxa"/>
                      </w:tcPr>
                      <w:p>
                        <w:pPr>
                          <w:pStyle w:val="TableParagraph"/>
                          <w:spacing w:line="168" w:lineRule="exact" w:before="0"/>
                          <w:ind w:left="267" w:right="250"/>
                          <w:jc w:val="center"/>
                          <w:rPr>
                            <w:sz w:val="16"/>
                          </w:rPr>
                        </w:pPr>
                        <w:r>
                          <w:rPr>
                            <w:sz w:val="16"/>
                          </w:rPr>
                          <w:t>25.6</w:t>
                        </w:r>
                      </w:p>
                    </w:tc>
                    <w:tc>
                      <w:tcPr>
                        <w:tcW w:w="782" w:type="dxa"/>
                      </w:tcPr>
                      <w:p>
                        <w:pPr>
                          <w:pStyle w:val="TableParagraph"/>
                          <w:spacing w:line="168" w:lineRule="exact" w:before="0"/>
                          <w:ind w:right="225"/>
                          <w:jc w:val="right"/>
                          <w:rPr>
                            <w:sz w:val="16"/>
                          </w:rPr>
                        </w:pPr>
                        <w:r>
                          <w:rPr>
                            <w:w w:val="95"/>
                            <w:sz w:val="16"/>
                          </w:rPr>
                          <w:t>23.6</w:t>
                        </w:r>
                      </w:p>
                    </w:tc>
                  </w:tr>
                  <w:tr>
                    <w:trPr>
                      <w:trHeight w:val="199" w:hRule="atLeast"/>
                    </w:trPr>
                    <w:tc>
                      <w:tcPr>
                        <w:tcW w:w="1935" w:type="dxa"/>
                      </w:tcPr>
                      <w:p>
                        <w:pPr>
                          <w:pStyle w:val="TableParagraph"/>
                          <w:ind w:left="159"/>
                          <w:rPr>
                            <w:sz w:val="16"/>
                          </w:rPr>
                        </w:pPr>
                        <w:r>
                          <w:rPr>
                            <w:sz w:val="16"/>
                          </w:rPr>
                          <w:t>Employed</w:t>
                        </w:r>
                      </w:p>
                    </w:tc>
                    <w:tc>
                      <w:tcPr>
                        <w:tcW w:w="749" w:type="dxa"/>
                      </w:tcPr>
                      <w:p>
                        <w:pPr>
                          <w:pStyle w:val="TableParagraph"/>
                          <w:ind w:left="180"/>
                          <w:rPr>
                            <w:sz w:val="16"/>
                          </w:rPr>
                        </w:pPr>
                        <w:r>
                          <w:rPr>
                            <w:sz w:val="16"/>
                          </w:rPr>
                          <w:t>45.4</w:t>
                        </w:r>
                      </w:p>
                    </w:tc>
                    <w:tc>
                      <w:tcPr>
                        <w:tcW w:w="843" w:type="dxa"/>
                      </w:tcPr>
                      <w:p>
                        <w:pPr>
                          <w:pStyle w:val="TableParagraph"/>
                          <w:ind w:left="267" w:right="250"/>
                          <w:jc w:val="center"/>
                          <w:rPr>
                            <w:sz w:val="16"/>
                          </w:rPr>
                        </w:pPr>
                        <w:r>
                          <w:rPr>
                            <w:sz w:val="16"/>
                          </w:rPr>
                          <w:t>70.8</w:t>
                        </w:r>
                      </w:p>
                    </w:tc>
                    <w:tc>
                      <w:tcPr>
                        <w:tcW w:w="782" w:type="dxa"/>
                      </w:tcPr>
                      <w:p>
                        <w:pPr>
                          <w:pStyle w:val="TableParagraph"/>
                          <w:ind w:right="225"/>
                          <w:jc w:val="right"/>
                          <w:rPr>
                            <w:sz w:val="16"/>
                          </w:rPr>
                        </w:pPr>
                        <w:r>
                          <w:rPr>
                            <w:w w:val="95"/>
                            <w:sz w:val="16"/>
                          </w:rPr>
                          <w:t>74.5</w:t>
                        </w:r>
                      </w:p>
                    </w:tc>
                  </w:tr>
                  <w:tr>
                    <w:trPr>
                      <w:trHeight w:val="263" w:hRule="atLeast"/>
                    </w:trPr>
                    <w:tc>
                      <w:tcPr>
                        <w:tcW w:w="1935" w:type="dxa"/>
                        <w:tcBorders>
                          <w:bottom w:val="single" w:sz="4" w:space="0" w:color="000000"/>
                        </w:tcBorders>
                      </w:tcPr>
                      <w:p>
                        <w:pPr>
                          <w:pStyle w:val="TableParagraph"/>
                          <w:spacing w:line="240" w:lineRule="auto"/>
                          <w:ind w:left="159"/>
                          <w:rPr>
                            <w:sz w:val="16"/>
                          </w:rPr>
                        </w:pPr>
                        <w:r>
                          <w:rPr>
                            <w:sz w:val="16"/>
                          </w:rPr>
                          <w:t>Unemployed</w:t>
                        </w:r>
                      </w:p>
                    </w:tc>
                    <w:tc>
                      <w:tcPr>
                        <w:tcW w:w="749" w:type="dxa"/>
                        <w:tcBorders>
                          <w:bottom w:val="single" w:sz="4" w:space="0" w:color="000000"/>
                        </w:tcBorders>
                      </w:tcPr>
                      <w:p>
                        <w:pPr>
                          <w:pStyle w:val="TableParagraph"/>
                          <w:spacing w:line="240" w:lineRule="auto"/>
                          <w:ind w:right="146"/>
                          <w:jc w:val="center"/>
                          <w:rPr>
                            <w:sz w:val="16"/>
                          </w:rPr>
                        </w:pPr>
                        <w:r>
                          <w:rPr>
                            <w:w w:val="99"/>
                            <w:sz w:val="16"/>
                          </w:rPr>
                          <w:t>8</w:t>
                        </w:r>
                      </w:p>
                    </w:tc>
                    <w:tc>
                      <w:tcPr>
                        <w:tcW w:w="843" w:type="dxa"/>
                        <w:tcBorders>
                          <w:bottom w:val="single" w:sz="4" w:space="0" w:color="000000"/>
                        </w:tcBorders>
                      </w:tcPr>
                      <w:p>
                        <w:pPr>
                          <w:pStyle w:val="TableParagraph"/>
                          <w:spacing w:line="240" w:lineRule="auto"/>
                          <w:ind w:left="270" w:right="173"/>
                          <w:jc w:val="center"/>
                          <w:rPr>
                            <w:sz w:val="16"/>
                          </w:rPr>
                        </w:pPr>
                        <w:r>
                          <w:rPr>
                            <w:sz w:val="16"/>
                          </w:rPr>
                          <w:t>3.5</w:t>
                        </w:r>
                      </w:p>
                    </w:tc>
                    <w:tc>
                      <w:tcPr>
                        <w:tcW w:w="782" w:type="dxa"/>
                        <w:tcBorders>
                          <w:bottom w:val="single" w:sz="4" w:space="0" w:color="000000"/>
                        </w:tcBorders>
                      </w:tcPr>
                      <w:p>
                        <w:pPr>
                          <w:pStyle w:val="TableParagraph"/>
                          <w:spacing w:line="240" w:lineRule="auto"/>
                          <w:ind w:right="225"/>
                          <w:jc w:val="right"/>
                          <w:rPr>
                            <w:sz w:val="16"/>
                          </w:rPr>
                        </w:pPr>
                        <w:r>
                          <w:rPr>
                            <w:w w:val="95"/>
                            <w:sz w:val="16"/>
                          </w:rPr>
                          <w:t>1.9</w:t>
                        </w:r>
                      </w:p>
                    </w:tc>
                  </w:tr>
                </w:tbl>
                <w:p>
                  <w:pPr>
                    <w:pStyle w:val="BodyText"/>
                  </w:pPr>
                </w:p>
              </w:txbxContent>
            </v:textbox>
            <w10:wrap type="none"/>
          </v:shape>
        </w:pict>
      </w:r>
      <w:r>
        <w:rPr>
          <w:sz w:val="16"/>
        </w:rPr>
        <w:t>Sex</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pPr>
    </w:p>
    <w:p>
      <w:pPr>
        <w:spacing w:before="0"/>
        <w:ind w:left="1344" w:right="0" w:firstLine="0"/>
        <w:jc w:val="left"/>
        <w:rPr>
          <w:sz w:val="16"/>
        </w:rPr>
      </w:pPr>
      <w:r>
        <w:rPr>
          <w:i/>
          <w:position w:val="5"/>
          <w:sz w:val="11"/>
        </w:rPr>
        <w:t>a </w:t>
      </w:r>
      <w:r>
        <w:rPr>
          <w:i/>
          <w:sz w:val="16"/>
        </w:rPr>
        <w:t>Source. </w:t>
      </w:r>
      <w:r>
        <w:rPr>
          <w:sz w:val="16"/>
        </w:rPr>
        <w:t>U.S. Census, PUMS, 1990.</w:t>
      </w:r>
    </w:p>
    <w:p>
      <w:pPr>
        <w:pStyle w:val="BodyText"/>
      </w:pPr>
    </w:p>
    <w:p>
      <w:pPr>
        <w:pStyle w:val="BodyText"/>
        <w:spacing w:before="5"/>
        <w:rPr>
          <w:sz w:val="22"/>
        </w:rPr>
      </w:pPr>
    </w:p>
    <w:p>
      <w:pPr>
        <w:pStyle w:val="BodyText"/>
        <w:spacing w:line="249" w:lineRule="auto"/>
        <w:ind w:left="107" w:right="124"/>
        <w:jc w:val="both"/>
      </w:pPr>
      <w:r>
        <w:rPr/>
        <w:t>women declined disproportionately, as did the share of older people, nonfamily households, Whites, and native-born householders. The share of married couple families, which declined overall, became greater for the precariously housed, as did the share of precariously housed who were in the labor force, which grew to over 53%. Women grew as a share of the generously housed, as did older people and non-labor force participants, single parent households, Asians, and more established immigrants.</w:t>
      </w:r>
    </w:p>
    <w:p>
      <w:pPr>
        <w:pStyle w:val="BodyText"/>
        <w:spacing w:line="249" w:lineRule="auto" w:before="2"/>
        <w:ind w:left="107" w:right="121" w:firstLine="199"/>
        <w:jc w:val="both"/>
      </w:pPr>
      <w:r>
        <w:rPr>
          <w:i/>
        </w:rPr>
        <w:t>Shifting risks of becoming precariously or generously housed. </w:t>
      </w:r>
      <w:r>
        <w:rPr/>
        <w:t>The composi- tional data tell us about the shifting characteristics of the margins of the housing status distribution, but a rates analysis indicates the differential risks of </w:t>
      </w:r>
      <w:r>
        <w:rPr>
          <w:spacing w:val="-3"/>
        </w:rPr>
        <w:t>being  </w:t>
      </w:r>
      <w:r>
        <w:rPr/>
        <w:t>precariously housed faced by various subgroups within the population, and how those</w:t>
      </w:r>
      <w:r>
        <w:rPr>
          <w:spacing w:val="-4"/>
        </w:rPr>
        <w:t> </w:t>
      </w:r>
      <w:r>
        <w:rPr/>
        <w:t>risks</w:t>
      </w:r>
      <w:r>
        <w:rPr>
          <w:spacing w:val="-3"/>
        </w:rPr>
        <w:t> </w:t>
      </w:r>
      <w:r>
        <w:rPr/>
        <w:t>shifted</w:t>
      </w:r>
      <w:r>
        <w:rPr>
          <w:spacing w:val="-3"/>
        </w:rPr>
        <w:t> </w:t>
      </w:r>
      <w:r>
        <w:rPr/>
        <w:t>as</w:t>
      </w:r>
      <w:r>
        <w:rPr>
          <w:spacing w:val="-4"/>
        </w:rPr>
        <w:t> </w:t>
      </w:r>
      <w:r>
        <w:rPr/>
        <w:t>the</w:t>
      </w:r>
      <w:r>
        <w:rPr>
          <w:spacing w:val="-3"/>
        </w:rPr>
        <w:t> </w:t>
      </w:r>
      <w:r>
        <w:rPr/>
        <w:t>decade</w:t>
      </w:r>
      <w:r>
        <w:rPr>
          <w:spacing w:val="-3"/>
        </w:rPr>
        <w:t> </w:t>
      </w:r>
      <w:r>
        <w:rPr/>
        <w:t>progressed.</w:t>
      </w:r>
      <w:r>
        <w:rPr>
          <w:spacing w:val="-4"/>
        </w:rPr>
        <w:t> </w:t>
      </w:r>
      <w:r>
        <w:rPr/>
        <w:t>Similarly,</w:t>
      </w:r>
      <w:r>
        <w:rPr>
          <w:spacing w:val="-3"/>
        </w:rPr>
        <w:t> </w:t>
      </w:r>
      <w:r>
        <w:rPr/>
        <w:t>such</w:t>
      </w:r>
      <w:r>
        <w:rPr>
          <w:spacing w:val="-3"/>
        </w:rPr>
        <w:t> </w:t>
      </w:r>
      <w:r>
        <w:rPr/>
        <w:t>analysis</w:t>
      </w:r>
      <w:r>
        <w:rPr>
          <w:spacing w:val="-3"/>
        </w:rPr>
        <w:t> </w:t>
      </w:r>
      <w:r>
        <w:rPr/>
        <w:t>can</w:t>
      </w:r>
      <w:r>
        <w:rPr>
          <w:spacing w:val="-4"/>
        </w:rPr>
        <w:t> </w:t>
      </w:r>
      <w:r>
        <w:rPr/>
        <w:t>indicate</w:t>
      </w:r>
    </w:p>
    <w:p>
      <w:pPr>
        <w:spacing w:after="0" w:line="249" w:lineRule="auto"/>
        <w:jc w:val="both"/>
        <w:sectPr>
          <w:type w:val="continuous"/>
          <w:pgSz w:w="7120" w:h="11820"/>
          <w:pgMar w:top="220" w:bottom="280" w:left="260" w:right="160"/>
        </w:sectPr>
      </w:pPr>
    </w:p>
    <w:p>
      <w:pPr>
        <w:pStyle w:val="BodyText"/>
        <w:spacing w:before="2"/>
        <w:rPr>
          <w:sz w:val="14"/>
        </w:rPr>
      </w:pPr>
    </w:p>
    <w:p>
      <w:pPr>
        <w:spacing w:before="93"/>
        <w:ind w:left="1409" w:right="1426" w:firstLine="0"/>
        <w:jc w:val="center"/>
        <w:rPr>
          <w:sz w:val="16"/>
        </w:rPr>
      </w:pPr>
      <w:r>
        <w:rPr>
          <w:sz w:val="16"/>
        </w:rPr>
        <w:t>TABLE 4</w:t>
      </w:r>
    </w:p>
    <w:p>
      <w:pPr>
        <w:spacing w:before="13"/>
        <w:ind w:left="1158" w:right="1175" w:firstLine="0"/>
        <w:jc w:val="center"/>
        <w:rPr>
          <w:i/>
          <w:sz w:val="11"/>
        </w:rPr>
      </w:pPr>
      <w:r>
        <w:rPr/>
        <w:pict>
          <v:line style="position:absolute;mso-position-horizontal-relative:page;mso-position-vertical-relative:paragraph;z-index:-952;mso-wrap-distance-left:0;mso-wrap-distance-right:0" from="48.291pt,14.55625pt" to="311.706pt,14.55625pt" stroked="true" strokeweight=".499pt" strokecolor="#000000">
            <v:stroke dashstyle="solid"/>
            <w10:wrap type="topAndBottom"/>
          </v:line>
        </w:pict>
      </w:r>
      <w:r>
        <w:rPr>
          <w:sz w:val="16"/>
        </w:rPr>
        <w:t>Changing Rates of Precarious and Generous Housing Status</w:t>
      </w:r>
      <w:r>
        <w:rPr>
          <w:i/>
          <w:position w:val="5"/>
          <w:sz w:val="11"/>
        </w:rPr>
        <w:t>a</w:t>
      </w:r>
    </w:p>
    <w:p>
      <w:pPr>
        <w:tabs>
          <w:tab w:pos="4410" w:val="left" w:leader="none"/>
        </w:tabs>
        <w:spacing w:line="468" w:lineRule="auto" w:before="61" w:after="8"/>
        <w:ind w:left="2551" w:right="727" w:firstLine="40"/>
        <w:jc w:val="left"/>
        <w:rPr>
          <w:sz w:val="16"/>
        </w:rPr>
      </w:pPr>
      <w:r>
        <w:rPr>
          <w:sz w:val="16"/>
        </w:rPr>
        <w:t>Precariously</w:t>
      </w:r>
      <w:r>
        <w:rPr>
          <w:spacing w:val="-2"/>
          <w:sz w:val="16"/>
        </w:rPr>
        <w:t> </w:t>
      </w:r>
      <w:r>
        <w:rPr>
          <w:sz w:val="16"/>
        </w:rPr>
        <w:t>housed</w:t>
      </w:r>
      <w:r>
        <w:rPr>
          <w:spacing w:val="-2"/>
          <w:sz w:val="16"/>
        </w:rPr>
        <w:t> </w:t>
      </w:r>
      <w:r>
        <w:rPr>
          <w:sz w:val="16"/>
        </w:rPr>
        <w:t>rate</w:t>
        <w:tab/>
        <w:t>Generously housed rate 1980 1990 Difference 1980 1990</w:t>
      </w:r>
      <w:r>
        <w:rPr>
          <w:spacing w:val="24"/>
          <w:sz w:val="16"/>
        </w:rPr>
        <w:t> </w:t>
      </w:r>
      <w:r>
        <w:rPr>
          <w:spacing w:val="-3"/>
          <w:sz w:val="16"/>
        </w:rPr>
        <w:t>Difference</w:t>
      </w:r>
    </w:p>
    <w:tbl>
      <w:tblPr>
        <w:tblW w:w="0" w:type="auto"/>
        <w:jc w:val="left"/>
        <w:tblInd w:w="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9"/>
        <w:gridCol w:w="470"/>
        <w:gridCol w:w="564"/>
        <w:gridCol w:w="687"/>
        <w:gridCol w:w="548"/>
        <w:gridCol w:w="523"/>
        <w:gridCol w:w="699"/>
      </w:tblGrid>
      <w:tr>
        <w:trPr>
          <w:trHeight w:val="199" w:hRule="atLeast"/>
        </w:trPr>
        <w:tc>
          <w:tcPr>
            <w:tcW w:w="1829" w:type="dxa"/>
          </w:tcPr>
          <w:p>
            <w:pPr>
              <w:pStyle w:val="TableParagraph"/>
              <w:spacing w:line="177" w:lineRule="exact" w:before="0"/>
              <w:ind w:left="49"/>
              <w:rPr>
                <w:sz w:val="16"/>
              </w:rPr>
            </w:pPr>
            <w:r>
              <w:rPr>
                <w:sz w:val="16"/>
              </w:rPr>
              <w:t>Age</w:t>
            </w:r>
          </w:p>
        </w:tc>
        <w:tc>
          <w:tcPr>
            <w:tcW w:w="3491" w:type="dxa"/>
            <w:gridSpan w:val="6"/>
          </w:tcPr>
          <w:p>
            <w:pPr>
              <w:pStyle w:val="TableParagraph"/>
              <w:spacing w:line="240" w:lineRule="auto" w:before="0"/>
              <w:rPr>
                <w:sz w:val="12"/>
              </w:rPr>
            </w:pPr>
          </w:p>
        </w:tc>
      </w:tr>
      <w:tr>
        <w:trPr>
          <w:trHeight w:val="188" w:hRule="atLeast"/>
        </w:trPr>
        <w:tc>
          <w:tcPr>
            <w:tcW w:w="1829" w:type="dxa"/>
          </w:tcPr>
          <w:p>
            <w:pPr>
              <w:pStyle w:val="TableParagraph"/>
              <w:spacing w:line="168" w:lineRule="exact" w:before="0"/>
              <w:ind w:left="209"/>
              <w:rPr>
                <w:sz w:val="16"/>
              </w:rPr>
            </w:pPr>
            <w:r>
              <w:rPr>
                <w:sz w:val="16"/>
              </w:rPr>
              <w:t>Under 25</w:t>
            </w:r>
          </w:p>
        </w:tc>
        <w:tc>
          <w:tcPr>
            <w:tcW w:w="470" w:type="dxa"/>
          </w:tcPr>
          <w:p>
            <w:pPr>
              <w:pStyle w:val="TableParagraph"/>
              <w:spacing w:line="168" w:lineRule="exact" w:before="0"/>
              <w:ind w:right="102"/>
              <w:jc w:val="right"/>
              <w:rPr>
                <w:sz w:val="16"/>
              </w:rPr>
            </w:pPr>
            <w:r>
              <w:rPr>
                <w:w w:val="95"/>
                <w:sz w:val="16"/>
              </w:rPr>
              <w:t>18.4</w:t>
            </w:r>
          </w:p>
        </w:tc>
        <w:tc>
          <w:tcPr>
            <w:tcW w:w="564" w:type="dxa"/>
          </w:tcPr>
          <w:p>
            <w:pPr>
              <w:pStyle w:val="TableParagraph"/>
              <w:spacing w:line="168" w:lineRule="exact" w:before="0"/>
              <w:ind w:left="103"/>
              <w:rPr>
                <w:sz w:val="16"/>
              </w:rPr>
            </w:pPr>
            <w:r>
              <w:rPr>
                <w:sz w:val="16"/>
              </w:rPr>
              <w:t>23.3</w:t>
            </w:r>
          </w:p>
        </w:tc>
        <w:tc>
          <w:tcPr>
            <w:tcW w:w="687" w:type="dxa"/>
          </w:tcPr>
          <w:p>
            <w:pPr>
              <w:pStyle w:val="TableParagraph"/>
              <w:spacing w:line="168" w:lineRule="exact" w:before="0"/>
              <w:ind w:left="164" w:right="28"/>
              <w:jc w:val="center"/>
              <w:rPr>
                <w:sz w:val="16"/>
              </w:rPr>
            </w:pPr>
            <w:r>
              <w:rPr>
                <w:sz w:val="16"/>
              </w:rPr>
              <w:t>4.9</w:t>
            </w:r>
          </w:p>
        </w:tc>
        <w:tc>
          <w:tcPr>
            <w:tcW w:w="548" w:type="dxa"/>
          </w:tcPr>
          <w:p>
            <w:pPr>
              <w:pStyle w:val="TableParagraph"/>
              <w:spacing w:line="168" w:lineRule="exact" w:before="0"/>
              <w:ind w:right="93"/>
              <w:jc w:val="right"/>
              <w:rPr>
                <w:sz w:val="16"/>
              </w:rPr>
            </w:pPr>
            <w:r>
              <w:rPr>
                <w:w w:val="95"/>
                <w:sz w:val="16"/>
              </w:rPr>
              <w:t>7.6</w:t>
            </w:r>
          </w:p>
        </w:tc>
        <w:tc>
          <w:tcPr>
            <w:tcW w:w="523" w:type="dxa"/>
          </w:tcPr>
          <w:p>
            <w:pPr>
              <w:pStyle w:val="TableParagraph"/>
              <w:spacing w:line="168" w:lineRule="exact" w:before="0"/>
              <w:ind w:left="172"/>
              <w:rPr>
                <w:sz w:val="16"/>
              </w:rPr>
            </w:pPr>
            <w:r>
              <w:rPr>
                <w:w w:val="99"/>
                <w:sz w:val="16"/>
              </w:rPr>
              <w:t>5</w:t>
            </w:r>
          </w:p>
        </w:tc>
        <w:tc>
          <w:tcPr>
            <w:tcW w:w="699" w:type="dxa"/>
          </w:tcPr>
          <w:p>
            <w:pPr>
              <w:pStyle w:val="TableParagraph"/>
              <w:spacing w:line="168" w:lineRule="exact" w:before="0"/>
              <w:ind w:right="136"/>
              <w:jc w:val="right"/>
              <w:rPr>
                <w:sz w:val="16"/>
              </w:rPr>
            </w:pPr>
            <w:r>
              <w:rPr>
                <w:w w:val="115"/>
                <w:sz w:val="16"/>
              </w:rPr>
              <w:t>22.6</w:t>
            </w:r>
          </w:p>
        </w:tc>
      </w:tr>
      <w:tr>
        <w:trPr>
          <w:trHeight w:val="199" w:hRule="atLeast"/>
        </w:trPr>
        <w:tc>
          <w:tcPr>
            <w:tcW w:w="1829" w:type="dxa"/>
          </w:tcPr>
          <w:p>
            <w:pPr>
              <w:pStyle w:val="TableParagraph"/>
              <w:ind w:left="209"/>
              <w:rPr>
                <w:sz w:val="16"/>
              </w:rPr>
            </w:pPr>
            <w:r>
              <w:rPr>
                <w:sz w:val="16"/>
              </w:rPr>
              <w:t>25–34</w:t>
            </w:r>
          </w:p>
        </w:tc>
        <w:tc>
          <w:tcPr>
            <w:tcW w:w="470" w:type="dxa"/>
          </w:tcPr>
          <w:p>
            <w:pPr>
              <w:pStyle w:val="TableParagraph"/>
              <w:ind w:right="56"/>
              <w:jc w:val="center"/>
              <w:rPr>
                <w:sz w:val="16"/>
              </w:rPr>
            </w:pPr>
            <w:r>
              <w:rPr>
                <w:w w:val="99"/>
                <w:sz w:val="16"/>
              </w:rPr>
              <w:t>9</w:t>
            </w:r>
          </w:p>
        </w:tc>
        <w:tc>
          <w:tcPr>
            <w:tcW w:w="564" w:type="dxa"/>
          </w:tcPr>
          <w:p>
            <w:pPr>
              <w:pStyle w:val="TableParagraph"/>
              <w:ind w:left="110"/>
              <w:rPr>
                <w:sz w:val="16"/>
              </w:rPr>
            </w:pPr>
            <w:r>
              <w:rPr>
                <w:sz w:val="16"/>
              </w:rPr>
              <w:t>11.2</w:t>
            </w:r>
          </w:p>
        </w:tc>
        <w:tc>
          <w:tcPr>
            <w:tcW w:w="687" w:type="dxa"/>
          </w:tcPr>
          <w:p>
            <w:pPr>
              <w:pStyle w:val="TableParagraph"/>
              <w:ind w:left="164" w:right="28"/>
              <w:jc w:val="center"/>
              <w:rPr>
                <w:sz w:val="16"/>
              </w:rPr>
            </w:pPr>
            <w:r>
              <w:rPr>
                <w:sz w:val="16"/>
              </w:rPr>
              <w:t>2.2</w:t>
            </w:r>
          </w:p>
        </w:tc>
        <w:tc>
          <w:tcPr>
            <w:tcW w:w="548" w:type="dxa"/>
          </w:tcPr>
          <w:p>
            <w:pPr>
              <w:pStyle w:val="TableParagraph"/>
              <w:ind w:right="94"/>
              <w:jc w:val="right"/>
              <w:rPr>
                <w:sz w:val="16"/>
              </w:rPr>
            </w:pPr>
            <w:r>
              <w:rPr>
                <w:w w:val="95"/>
                <w:sz w:val="16"/>
              </w:rPr>
              <w:t>12.1</w:t>
            </w:r>
          </w:p>
        </w:tc>
        <w:tc>
          <w:tcPr>
            <w:tcW w:w="523" w:type="dxa"/>
          </w:tcPr>
          <w:p>
            <w:pPr>
              <w:pStyle w:val="TableParagraph"/>
              <w:ind w:right="148"/>
              <w:jc w:val="right"/>
              <w:rPr>
                <w:sz w:val="16"/>
              </w:rPr>
            </w:pPr>
            <w:r>
              <w:rPr>
                <w:w w:val="95"/>
                <w:sz w:val="16"/>
              </w:rPr>
              <w:t>8.3</w:t>
            </w:r>
          </w:p>
        </w:tc>
        <w:tc>
          <w:tcPr>
            <w:tcW w:w="699" w:type="dxa"/>
          </w:tcPr>
          <w:p>
            <w:pPr>
              <w:pStyle w:val="TableParagraph"/>
              <w:ind w:right="136"/>
              <w:jc w:val="right"/>
              <w:rPr>
                <w:sz w:val="16"/>
              </w:rPr>
            </w:pPr>
            <w:r>
              <w:rPr>
                <w:w w:val="115"/>
                <w:sz w:val="16"/>
              </w:rPr>
              <w:t>23.8</w:t>
            </w:r>
          </w:p>
        </w:tc>
      </w:tr>
      <w:tr>
        <w:trPr>
          <w:trHeight w:val="199" w:hRule="atLeast"/>
        </w:trPr>
        <w:tc>
          <w:tcPr>
            <w:tcW w:w="1829" w:type="dxa"/>
          </w:tcPr>
          <w:p>
            <w:pPr>
              <w:pStyle w:val="TableParagraph"/>
              <w:ind w:left="209"/>
              <w:rPr>
                <w:sz w:val="16"/>
              </w:rPr>
            </w:pPr>
            <w:r>
              <w:rPr>
                <w:sz w:val="16"/>
              </w:rPr>
              <w:t>35–44</w:t>
            </w:r>
          </w:p>
        </w:tc>
        <w:tc>
          <w:tcPr>
            <w:tcW w:w="470" w:type="dxa"/>
          </w:tcPr>
          <w:p>
            <w:pPr>
              <w:pStyle w:val="TableParagraph"/>
              <w:ind w:right="102"/>
              <w:jc w:val="right"/>
              <w:rPr>
                <w:sz w:val="16"/>
              </w:rPr>
            </w:pPr>
            <w:r>
              <w:rPr>
                <w:w w:val="95"/>
                <w:sz w:val="16"/>
              </w:rPr>
              <w:t>6.1</w:t>
            </w:r>
          </w:p>
        </w:tc>
        <w:tc>
          <w:tcPr>
            <w:tcW w:w="564" w:type="dxa"/>
          </w:tcPr>
          <w:p>
            <w:pPr>
              <w:pStyle w:val="TableParagraph"/>
              <w:ind w:left="183"/>
              <w:rPr>
                <w:sz w:val="16"/>
              </w:rPr>
            </w:pPr>
            <w:r>
              <w:rPr>
                <w:sz w:val="16"/>
              </w:rPr>
              <w:t>8.6</w:t>
            </w:r>
          </w:p>
        </w:tc>
        <w:tc>
          <w:tcPr>
            <w:tcW w:w="687" w:type="dxa"/>
          </w:tcPr>
          <w:p>
            <w:pPr>
              <w:pStyle w:val="TableParagraph"/>
              <w:ind w:left="164" w:right="28"/>
              <w:jc w:val="center"/>
              <w:rPr>
                <w:sz w:val="16"/>
              </w:rPr>
            </w:pPr>
            <w:r>
              <w:rPr>
                <w:sz w:val="16"/>
              </w:rPr>
              <w:t>2.5</w:t>
            </w:r>
          </w:p>
        </w:tc>
        <w:tc>
          <w:tcPr>
            <w:tcW w:w="548" w:type="dxa"/>
          </w:tcPr>
          <w:p>
            <w:pPr>
              <w:pStyle w:val="TableParagraph"/>
              <w:ind w:right="94"/>
              <w:jc w:val="right"/>
              <w:rPr>
                <w:sz w:val="16"/>
              </w:rPr>
            </w:pPr>
            <w:r>
              <w:rPr>
                <w:w w:val="95"/>
                <w:sz w:val="16"/>
              </w:rPr>
              <w:t>20.2</w:t>
            </w:r>
          </w:p>
        </w:tc>
        <w:tc>
          <w:tcPr>
            <w:tcW w:w="523" w:type="dxa"/>
          </w:tcPr>
          <w:p>
            <w:pPr>
              <w:pStyle w:val="TableParagraph"/>
              <w:ind w:left="92"/>
              <w:rPr>
                <w:sz w:val="16"/>
              </w:rPr>
            </w:pPr>
            <w:r>
              <w:rPr>
                <w:sz w:val="16"/>
              </w:rPr>
              <w:t>10.9</w:t>
            </w:r>
          </w:p>
        </w:tc>
        <w:tc>
          <w:tcPr>
            <w:tcW w:w="699" w:type="dxa"/>
          </w:tcPr>
          <w:p>
            <w:pPr>
              <w:pStyle w:val="TableParagraph"/>
              <w:ind w:right="136"/>
              <w:jc w:val="right"/>
              <w:rPr>
                <w:sz w:val="16"/>
              </w:rPr>
            </w:pPr>
            <w:r>
              <w:rPr>
                <w:w w:val="115"/>
                <w:sz w:val="16"/>
              </w:rPr>
              <w:t>29.3</w:t>
            </w:r>
          </w:p>
        </w:tc>
      </w:tr>
      <w:tr>
        <w:trPr>
          <w:trHeight w:val="199" w:hRule="atLeast"/>
        </w:trPr>
        <w:tc>
          <w:tcPr>
            <w:tcW w:w="1829" w:type="dxa"/>
          </w:tcPr>
          <w:p>
            <w:pPr>
              <w:pStyle w:val="TableParagraph"/>
              <w:ind w:left="209"/>
              <w:rPr>
                <w:sz w:val="16"/>
              </w:rPr>
            </w:pPr>
            <w:r>
              <w:rPr>
                <w:sz w:val="16"/>
              </w:rPr>
              <w:t>45–54</w:t>
            </w:r>
          </w:p>
        </w:tc>
        <w:tc>
          <w:tcPr>
            <w:tcW w:w="470" w:type="dxa"/>
          </w:tcPr>
          <w:p>
            <w:pPr>
              <w:pStyle w:val="TableParagraph"/>
              <w:ind w:right="102"/>
              <w:jc w:val="right"/>
              <w:rPr>
                <w:sz w:val="16"/>
              </w:rPr>
            </w:pPr>
            <w:r>
              <w:rPr>
                <w:w w:val="95"/>
                <w:sz w:val="16"/>
              </w:rPr>
              <w:t>4.8</w:t>
            </w:r>
          </w:p>
        </w:tc>
        <w:tc>
          <w:tcPr>
            <w:tcW w:w="564" w:type="dxa"/>
          </w:tcPr>
          <w:p>
            <w:pPr>
              <w:pStyle w:val="TableParagraph"/>
              <w:ind w:left="183"/>
              <w:rPr>
                <w:sz w:val="16"/>
              </w:rPr>
            </w:pPr>
            <w:r>
              <w:rPr>
                <w:sz w:val="16"/>
              </w:rPr>
              <w:t>6.2</w:t>
            </w:r>
          </w:p>
        </w:tc>
        <w:tc>
          <w:tcPr>
            <w:tcW w:w="687" w:type="dxa"/>
          </w:tcPr>
          <w:p>
            <w:pPr>
              <w:pStyle w:val="TableParagraph"/>
              <w:ind w:left="164" w:right="28"/>
              <w:jc w:val="center"/>
              <w:rPr>
                <w:sz w:val="16"/>
              </w:rPr>
            </w:pPr>
            <w:r>
              <w:rPr>
                <w:sz w:val="16"/>
              </w:rPr>
              <w:t>1.4</w:t>
            </w:r>
          </w:p>
        </w:tc>
        <w:tc>
          <w:tcPr>
            <w:tcW w:w="548" w:type="dxa"/>
          </w:tcPr>
          <w:p>
            <w:pPr>
              <w:pStyle w:val="TableParagraph"/>
              <w:ind w:right="94"/>
              <w:jc w:val="right"/>
              <w:rPr>
                <w:sz w:val="16"/>
              </w:rPr>
            </w:pPr>
            <w:r>
              <w:rPr>
                <w:w w:val="95"/>
                <w:sz w:val="16"/>
              </w:rPr>
              <w:t>32.5</w:t>
            </w:r>
          </w:p>
        </w:tc>
        <w:tc>
          <w:tcPr>
            <w:tcW w:w="523" w:type="dxa"/>
          </w:tcPr>
          <w:p>
            <w:pPr>
              <w:pStyle w:val="TableParagraph"/>
              <w:ind w:left="92"/>
              <w:rPr>
                <w:sz w:val="16"/>
              </w:rPr>
            </w:pPr>
            <w:r>
              <w:rPr>
                <w:sz w:val="16"/>
              </w:rPr>
              <w:t>20.1</w:t>
            </w:r>
          </w:p>
        </w:tc>
        <w:tc>
          <w:tcPr>
            <w:tcW w:w="699" w:type="dxa"/>
          </w:tcPr>
          <w:p>
            <w:pPr>
              <w:pStyle w:val="TableParagraph"/>
              <w:ind w:right="136"/>
              <w:jc w:val="right"/>
              <w:rPr>
                <w:sz w:val="16"/>
              </w:rPr>
            </w:pPr>
            <w:r>
              <w:rPr>
                <w:w w:val="110"/>
                <w:sz w:val="16"/>
              </w:rPr>
              <w:t>212.4</w:t>
            </w:r>
          </w:p>
        </w:tc>
      </w:tr>
      <w:tr>
        <w:trPr>
          <w:trHeight w:val="199" w:hRule="atLeast"/>
        </w:trPr>
        <w:tc>
          <w:tcPr>
            <w:tcW w:w="1829" w:type="dxa"/>
          </w:tcPr>
          <w:p>
            <w:pPr>
              <w:pStyle w:val="TableParagraph"/>
              <w:ind w:left="209"/>
              <w:rPr>
                <w:sz w:val="16"/>
              </w:rPr>
            </w:pPr>
            <w:r>
              <w:rPr>
                <w:sz w:val="16"/>
              </w:rPr>
              <w:t>55–64</w:t>
            </w:r>
          </w:p>
        </w:tc>
        <w:tc>
          <w:tcPr>
            <w:tcW w:w="470" w:type="dxa"/>
          </w:tcPr>
          <w:p>
            <w:pPr>
              <w:pStyle w:val="TableParagraph"/>
              <w:ind w:right="56"/>
              <w:jc w:val="center"/>
              <w:rPr>
                <w:sz w:val="16"/>
              </w:rPr>
            </w:pPr>
            <w:r>
              <w:rPr>
                <w:w w:val="99"/>
                <w:sz w:val="16"/>
              </w:rPr>
              <w:t>5</w:t>
            </w:r>
          </w:p>
        </w:tc>
        <w:tc>
          <w:tcPr>
            <w:tcW w:w="564" w:type="dxa"/>
          </w:tcPr>
          <w:p>
            <w:pPr>
              <w:pStyle w:val="TableParagraph"/>
              <w:ind w:left="183"/>
              <w:rPr>
                <w:sz w:val="16"/>
              </w:rPr>
            </w:pPr>
            <w:r>
              <w:rPr>
                <w:sz w:val="16"/>
              </w:rPr>
              <w:t>6.6</w:t>
            </w:r>
          </w:p>
        </w:tc>
        <w:tc>
          <w:tcPr>
            <w:tcW w:w="687" w:type="dxa"/>
          </w:tcPr>
          <w:p>
            <w:pPr>
              <w:pStyle w:val="TableParagraph"/>
              <w:ind w:left="164" w:right="28"/>
              <w:jc w:val="center"/>
              <w:rPr>
                <w:sz w:val="16"/>
              </w:rPr>
            </w:pPr>
            <w:r>
              <w:rPr>
                <w:sz w:val="16"/>
              </w:rPr>
              <w:t>1.6</w:t>
            </w:r>
          </w:p>
        </w:tc>
        <w:tc>
          <w:tcPr>
            <w:tcW w:w="548" w:type="dxa"/>
          </w:tcPr>
          <w:p>
            <w:pPr>
              <w:pStyle w:val="TableParagraph"/>
              <w:ind w:left="173"/>
              <w:rPr>
                <w:sz w:val="16"/>
              </w:rPr>
            </w:pPr>
            <w:r>
              <w:rPr>
                <w:sz w:val="16"/>
              </w:rPr>
              <w:t>34</w:t>
            </w:r>
          </w:p>
        </w:tc>
        <w:tc>
          <w:tcPr>
            <w:tcW w:w="523" w:type="dxa"/>
          </w:tcPr>
          <w:p>
            <w:pPr>
              <w:pStyle w:val="TableParagraph"/>
              <w:ind w:left="92"/>
              <w:rPr>
                <w:sz w:val="16"/>
              </w:rPr>
            </w:pPr>
            <w:r>
              <w:rPr>
                <w:sz w:val="16"/>
              </w:rPr>
              <w:t>27.6</w:t>
            </w:r>
          </w:p>
        </w:tc>
        <w:tc>
          <w:tcPr>
            <w:tcW w:w="699" w:type="dxa"/>
          </w:tcPr>
          <w:p>
            <w:pPr>
              <w:pStyle w:val="TableParagraph"/>
              <w:ind w:right="136"/>
              <w:jc w:val="right"/>
              <w:rPr>
                <w:sz w:val="16"/>
              </w:rPr>
            </w:pPr>
            <w:r>
              <w:rPr>
                <w:w w:val="115"/>
                <w:sz w:val="16"/>
              </w:rPr>
              <w:t>26.4</w:t>
            </w:r>
          </w:p>
        </w:tc>
      </w:tr>
      <w:tr>
        <w:trPr>
          <w:trHeight w:val="199" w:hRule="atLeast"/>
        </w:trPr>
        <w:tc>
          <w:tcPr>
            <w:tcW w:w="1829" w:type="dxa"/>
          </w:tcPr>
          <w:p>
            <w:pPr>
              <w:pStyle w:val="TableParagraph"/>
              <w:ind w:left="209"/>
              <w:rPr>
                <w:sz w:val="16"/>
              </w:rPr>
            </w:pPr>
            <w:r>
              <w:rPr>
                <w:sz w:val="16"/>
              </w:rPr>
              <w:t>65–74</w:t>
            </w:r>
          </w:p>
        </w:tc>
        <w:tc>
          <w:tcPr>
            <w:tcW w:w="470" w:type="dxa"/>
          </w:tcPr>
          <w:p>
            <w:pPr>
              <w:pStyle w:val="TableParagraph"/>
              <w:ind w:right="102"/>
              <w:jc w:val="right"/>
              <w:rPr>
                <w:sz w:val="16"/>
              </w:rPr>
            </w:pPr>
            <w:r>
              <w:rPr>
                <w:w w:val="95"/>
                <w:sz w:val="16"/>
              </w:rPr>
              <w:t>8.9</w:t>
            </w:r>
          </w:p>
        </w:tc>
        <w:tc>
          <w:tcPr>
            <w:tcW w:w="564" w:type="dxa"/>
          </w:tcPr>
          <w:p>
            <w:pPr>
              <w:pStyle w:val="TableParagraph"/>
              <w:ind w:left="183"/>
              <w:rPr>
                <w:sz w:val="16"/>
              </w:rPr>
            </w:pPr>
            <w:r>
              <w:rPr>
                <w:sz w:val="16"/>
              </w:rPr>
              <w:t>8.7</w:t>
            </w:r>
          </w:p>
        </w:tc>
        <w:tc>
          <w:tcPr>
            <w:tcW w:w="687" w:type="dxa"/>
          </w:tcPr>
          <w:p>
            <w:pPr>
              <w:pStyle w:val="TableParagraph"/>
              <w:ind w:left="158" w:right="155"/>
              <w:jc w:val="center"/>
              <w:rPr>
                <w:sz w:val="16"/>
              </w:rPr>
            </w:pPr>
            <w:r>
              <w:rPr>
                <w:w w:val="115"/>
                <w:sz w:val="16"/>
              </w:rPr>
              <w:t>20.2</w:t>
            </w:r>
          </w:p>
        </w:tc>
        <w:tc>
          <w:tcPr>
            <w:tcW w:w="548" w:type="dxa"/>
          </w:tcPr>
          <w:p>
            <w:pPr>
              <w:pStyle w:val="TableParagraph"/>
              <w:ind w:right="94"/>
              <w:jc w:val="right"/>
              <w:rPr>
                <w:sz w:val="16"/>
              </w:rPr>
            </w:pPr>
            <w:r>
              <w:rPr>
                <w:w w:val="95"/>
                <w:sz w:val="16"/>
              </w:rPr>
              <w:t>18.5</w:t>
            </w:r>
          </w:p>
        </w:tc>
        <w:tc>
          <w:tcPr>
            <w:tcW w:w="523" w:type="dxa"/>
          </w:tcPr>
          <w:p>
            <w:pPr>
              <w:pStyle w:val="TableParagraph"/>
              <w:ind w:left="92"/>
              <w:rPr>
                <w:sz w:val="16"/>
              </w:rPr>
            </w:pPr>
            <w:r>
              <w:rPr>
                <w:sz w:val="16"/>
              </w:rPr>
              <w:t>22.2</w:t>
            </w:r>
          </w:p>
        </w:tc>
        <w:tc>
          <w:tcPr>
            <w:tcW w:w="699" w:type="dxa"/>
          </w:tcPr>
          <w:p>
            <w:pPr>
              <w:pStyle w:val="TableParagraph"/>
              <w:ind w:right="136"/>
              <w:jc w:val="right"/>
              <w:rPr>
                <w:sz w:val="16"/>
              </w:rPr>
            </w:pPr>
            <w:r>
              <w:rPr>
                <w:sz w:val="16"/>
              </w:rPr>
              <w:t>3.7</w:t>
            </w:r>
          </w:p>
        </w:tc>
      </w:tr>
      <w:tr>
        <w:trPr>
          <w:trHeight w:val="188" w:hRule="atLeast"/>
        </w:trPr>
        <w:tc>
          <w:tcPr>
            <w:tcW w:w="1829" w:type="dxa"/>
          </w:tcPr>
          <w:p>
            <w:pPr>
              <w:pStyle w:val="TableParagraph"/>
              <w:spacing w:line="164" w:lineRule="exact"/>
              <w:ind w:left="209"/>
              <w:rPr>
                <w:sz w:val="16"/>
              </w:rPr>
            </w:pPr>
            <w:r>
              <w:rPr>
                <w:w w:val="120"/>
                <w:sz w:val="16"/>
              </w:rPr>
              <w:t>751</w:t>
            </w:r>
          </w:p>
        </w:tc>
        <w:tc>
          <w:tcPr>
            <w:tcW w:w="470" w:type="dxa"/>
          </w:tcPr>
          <w:p>
            <w:pPr>
              <w:pStyle w:val="TableParagraph"/>
              <w:spacing w:line="164" w:lineRule="exact"/>
              <w:ind w:right="102"/>
              <w:jc w:val="right"/>
              <w:rPr>
                <w:sz w:val="16"/>
              </w:rPr>
            </w:pPr>
            <w:r>
              <w:rPr>
                <w:w w:val="95"/>
                <w:sz w:val="16"/>
              </w:rPr>
              <w:t>13.7</w:t>
            </w:r>
          </w:p>
        </w:tc>
        <w:tc>
          <w:tcPr>
            <w:tcW w:w="564" w:type="dxa"/>
          </w:tcPr>
          <w:p>
            <w:pPr>
              <w:pStyle w:val="TableParagraph"/>
              <w:spacing w:line="164" w:lineRule="exact"/>
              <w:ind w:left="104"/>
              <w:rPr>
                <w:sz w:val="16"/>
              </w:rPr>
            </w:pPr>
            <w:r>
              <w:rPr>
                <w:sz w:val="16"/>
              </w:rPr>
              <w:t>13</w:t>
            </w:r>
          </w:p>
        </w:tc>
        <w:tc>
          <w:tcPr>
            <w:tcW w:w="687" w:type="dxa"/>
          </w:tcPr>
          <w:p>
            <w:pPr>
              <w:pStyle w:val="TableParagraph"/>
              <w:spacing w:line="164" w:lineRule="exact"/>
              <w:ind w:left="158" w:right="155"/>
              <w:jc w:val="center"/>
              <w:rPr>
                <w:sz w:val="16"/>
              </w:rPr>
            </w:pPr>
            <w:r>
              <w:rPr>
                <w:w w:val="115"/>
                <w:sz w:val="16"/>
              </w:rPr>
              <w:t>20.7</w:t>
            </w:r>
          </w:p>
        </w:tc>
        <w:tc>
          <w:tcPr>
            <w:tcW w:w="548" w:type="dxa"/>
          </w:tcPr>
          <w:p>
            <w:pPr>
              <w:pStyle w:val="TableParagraph"/>
              <w:spacing w:line="164" w:lineRule="exact"/>
              <w:ind w:right="94"/>
              <w:jc w:val="right"/>
              <w:rPr>
                <w:sz w:val="16"/>
              </w:rPr>
            </w:pPr>
            <w:r>
              <w:rPr>
                <w:w w:val="95"/>
                <w:sz w:val="16"/>
              </w:rPr>
              <w:t>10.6</w:t>
            </w:r>
          </w:p>
        </w:tc>
        <w:tc>
          <w:tcPr>
            <w:tcW w:w="523" w:type="dxa"/>
          </w:tcPr>
          <w:p>
            <w:pPr>
              <w:pStyle w:val="TableParagraph"/>
              <w:spacing w:line="164" w:lineRule="exact"/>
              <w:ind w:left="92"/>
              <w:rPr>
                <w:sz w:val="16"/>
              </w:rPr>
            </w:pPr>
            <w:r>
              <w:rPr>
                <w:sz w:val="16"/>
              </w:rPr>
              <w:t>14.5</w:t>
            </w:r>
          </w:p>
        </w:tc>
        <w:tc>
          <w:tcPr>
            <w:tcW w:w="699" w:type="dxa"/>
          </w:tcPr>
          <w:p>
            <w:pPr>
              <w:pStyle w:val="TableParagraph"/>
              <w:spacing w:line="164" w:lineRule="exact"/>
              <w:ind w:right="136"/>
              <w:jc w:val="right"/>
              <w:rPr>
                <w:sz w:val="16"/>
              </w:rPr>
            </w:pPr>
            <w:r>
              <w:rPr>
                <w:sz w:val="16"/>
              </w:rPr>
              <w:t>3.9</w:t>
            </w:r>
          </w:p>
        </w:tc>
      </w:tr>
      <w:tr>
        <w:trPr>
          <w:trHeight w:val="210" w:hRule="atLeast"/>
        </w:trPr>
        <w:tc>
          <w:tcPr>
            <w:tcW w:w="1829" w:type="dxa"/>
          </w:tcPr>
          <w:p>
            <w:pPr>
              <w:pStyle w:val="TableParagraph"/>
              <w:spacing w:before="15"/>
              <w:ind w:left="49"/>
              <w:rPr>
                <w:sz w:val="16"/>
              </w:rPr>
            </w:pPr>
            <w:r>
              <w:rPr>
                <w:sz w:val="16"/>
              </w:rPr>
              <w:t>Household type</w:t>
            </w:r>
          </w:p>
        </w:tc>
        <w:tc>
          <w:tcPr>
            <w:tcW w:w="470" w:type="dxa"/>
          </w:tcPr>
          <w:p>
            <w:pPr>
              <w:pStyle w:val="TableParagraph"/>
              <w:spacing w:line="240" w:lineRule="auto" w:before="0"/>
              <w:rPr>
                <w:sz w:val="14"/>
              </w:rPr>
            </w:pPr>
          </w:p>
        </w:tc>
        <w:tc>
          <w:tcPr>
            <w:tcW w:w="564" w:type="dxa"/>
          </w:tcPr>
          <w:p>
            <w:pPr>
              <w:pStyle w:val="TableParagraph"/>
              <w:spacing w:line="240" w:lineRule="auto" w:before="0"/>
              <w:rPr>
                <w:sz w:val="14"/>
              </w:rPr>
            </w:pPr>
          </w:p>
        </w:tc>
        <w:tc>
          <w:tcPr>
            <w:tcW w:w="687" w:type="dxa"/>
          </w:tcPr>
          <w:p>
            <w:pPr>
              <w:pStyle w:val="TableParagraph"/>
              <w:spacing w:line="240" w:lineRule="auto" w:before="0"/>
              <w:rPr>
                <w:sz w:val="14"/>
              </w:rPr>
            </w:pPr>
          </w:p>
        </w:tc>
        <w:tc>
          <w:tcPr>
            <w:tcW w:w="548" w:type="dxa"/>
          </w:tcPr>
          <w:p>
            <w:pPr>
              <w:pStyle w:val="TableParagraph"/>
              <w:spacing w:line="240" w:lineRule="auto" w:before="0"/>
              <w:rPr>
                <w:sz w:val="14"/>
              </w:rPr>
            </w:pPr>
          </w:p>
        </w:tc>
        <w:tc>
          <w:tcPr>
            <w:tcW w:w="523" w:type="dxa"/>
          </w:tcPr>
          <w:p>
            <w:pPr>
              <w:pStyle w:val="TableParagraph"/>
              <w:spacing w:line="240" w:lineRule="auto" w:before="0"/>
              <w:rPr>
                <w:sz w:val="14"/>
              </w:rPr>
            </w:pPr>
          </w:p>
        </w:tc>
        <w:tc>
          <w:tcPr>
            <w:tcW w:w="699" w:type="dxa"/>
          </w:tcPr>
          <w:p>
            <w:pPr>
              <w:pStyle w:val="TableParagraph"/>
              <w:spacing w:line="240" w:lineRule="auto" w:before="0"/>
              <w:rPr>
                <w:sz w:val="14"/>
              </w:rPr>
            </w:pPr>
          </w:p>
        </w:tc>
      </w:tr>
      <w:tr>
        <w:trPr>
          <w:trHeight w:val="199" w:hRule="atLeast"/>
        </w:trPr>
        <w:tc>
          <w:tcPr>
            <w:tcW w:w="1829" w:type="dxa"/>
          </w:tcPr>
          <w:p>
            <w:pPr>
              <w:pStyle w:val="TableParagraph"/>
              <w:spacing w:line="168" w:lineRule="exact" w:before="0"/>
              <w:ind w:left="209"/>
              <w:rPr>
                <w:sz w:val="16"/>
              </w:rPr>
            </w:pPr>
            <w:r>
              <w:rPr>
                <w:sz w:val="16"/>
              </w:rPr>
              <w:t>Married couple</w:t>
            </w:r>
          </w:p>
        </w:tc>
        <w:tc>
          <w:tcPr>
            <w:tcW w:w="470" w:type="dxa"/>
          </w:tcPr>
          <w:p>
            <w:pPr>
              <w:pStyle w:val="TableParagraph"/>
              <w:spacing w:line="168" w:lineRule="exact" w:before="0"/>
              <w:ind w:right="102"/>
              <w:jc w:val="right"/>
              <w:rPr>
                <w:sz w:val="16"/>
              </w:rPr>
            </w:pPr>
            <w:r>
              <w:rPr>
                <w:w w:val="95"/>
                <w:sz w:val="16"/>
              </w:rPr>
              <w:t>3.2</w:t>
            </w:r>
          </w:p>
        </w:tc>
        <w:tc>
          <w:tcPr>
            <w:tcW w:w="564" w:type="dxa"/>
          </w:tcPr>
          <w:p>
            <w:pPr>
              <w:pStyle w:val="TableParagraph"/>
              <w:spacing w:line="168" w:lineRule="exact" w:before="0"/>
              <w:ind w:left="183"/>
              <w:rPr>
                <w:sz w:val="16"/>
              </w:rPr>
            </w:pPr>
            <w:r>
              <w:rPr>
                <w:w w:val="99"/>
                <w:sz w:val="16"/>
              </w:rPr>
              <w:t>5</w:t>
            </w:r>
          </w:p>
        </w:tc>
        <w:tc>
          <w:tcPr>
            <w:tcW w:w="687" w:type="dxa"/>
          </w:tcPr>
          <w:p>
            <w:pPr>
              <w:pStyle w:val="TableParagraph"/>
              <w:spacing w:line="168" w:lineRule="exact" w:before="0"/>
              <w:ind w:left="164" w:right="28"/>
              <w:jc w:val="center"/>
              <w:rPr>
                <w:sz w:val="16"/>
              </w:rPr>
            </w:pPr>
            <w:r>
              <w:rPr>
                <w:sz w:val="16"/>
              </w:rPr>
              <w:t>1.8</w:t>
            </w:r>
          </w:p>
        </w:tc>
        <w:tc>
          <w:tcPr>
            <w:tcW w:w="548" w:type="dxa"/>
          </w:tcPr>
          <w:p>
            <w:pPr>
              <w:pStyle w:val="TableParagraph"/>
              <w:spacing w:line="168" w:lineRule="exact" w:before="0"/>
              <w:ind w:right="93"/>
              <w:jc w:val="right"/>
              <w:rPr>
                <w:sz w:val="16"/>
              </w:rPr>
            </w:pPr>
            <w:r>
              <w:rPr>
                <w:w w:val="95"/>
                <w:sz w:val="16"/>
              </w:rPr>
              <w:t>27.9</w:t>
            </w:r>
          </w:p>
        </w:tc>
        <w:tc>
          <w:tcPr>
            <w:tcW w:w="523" w:type="dxa"/>
          </w:tcPr>
          <w:p>
            <w:pPr>
              <w:pStyle w:val="TableParagraph"/>
              <w:spacing w:line="168" w:lineRule="exact" w:before="0"/>
              <w:ind w:left="92"/>
              <w:rPr>
                <w:sz w:val="16"/>
              </w:rPr>
            </w:pPr>
            <w:r>
              <w:rPr>
                <w:sz w:val="16"/>
              </w:rPr>
              <w:t>19.6</w:t>
            </w:r>
          </w:p>
        </w:tc>
        <w:tc>
          <w:tcPr>
            <w:tcW w:w="699" w:type="dxa"/>
          </w:tcPr>
          <w:p>
            <w:pPr>
              <w:pStyle w:val="TableParagraph"/>
              <w:spacing w:line="168" w:lineRule="exact" w:before="0"/>
              <w:ind w:right="136"/>
              <w:jc w:val="right"/>
              <w:rPr>
                <w:sz w:val="16"/>
              </w:rPr>
            </w:pPr>
            <w:r>
              <w:rPr>
                <w:sz w:val="16"/>
              </w:rPr>
              <w:t>8.3</w:t>
            </w:r>
          </w:p>
        </w:tc>
      </w:tr>
      <w:tr>
        <w:trPr>
          <w:trHeight w:val="199" w:hRule="atLeast"/>
        </w:trPr>
        <w:tc>
          <w:tcPr>
            <w:tcW w:w="1829" w:type="dxa"/>
          </w:tcPr>
          <w:p>
            <w:pPr>
              <w:pStyle w:val="TableParagraph"/>
              <w:ind w:left="209"/>
              <w:rPr>
                <w:sz w:val="16"/>
              </w:rPr>
            </w:pPr>
            <w:r>
              <w:rPr>
                <w:sz w:val="16"/>
              </w:rPr>
              <w:t>Male-headed</w:t>
            </w:r>
          </w:p>
        </w:tc>
        <w:tc>
          <w:tcPr>
            <w:tcW w:w="470" w:type="dxa"/>
          </w:tcPr>
          <w:p>
            <w:pPr>
              <w:pStyle w:val="TableParagraph"/>
              <w:ind w:right="102"/>
              <w:jc w:val="right"/>
              <w:rPr>
                <w:sz w:val="16"/>
              </w:rPr>
            </w:pPr>
            <w:r>
              <w:rPr>
                <w:w w:val="95"/>
                <w:sz w:val="16"/>
              </w:rPr>
              <w:t>6.4</w:t>
            </w:r>
          </w:p>
        </w:tc>
        <w:tc>
          <w:tcPr>
            <w:tcW w:w="564" w:type="dxa"/>
          </w:tcPr>
          <w:p>
            <w:pPr>
              <w:pStyle w:val="TableParagraph"/>
              <w:ind w:left="110"/>
              <w:rPr>
                <w:sz w:val="16"/>
              </w:rPr>
            </w:pPr>
            <w:r>
              <w:rPr>
                <w:sz w:val="16"/>
              </w:rPr>
              <w:t>11</w:t>
            </w:r>
          </w:p>
        </w:tc>
        <w:tc>
          <w:tcPr>
            <w:tcW w:w="687" w:type="dxa"/>
          </w:tcPr>
          <w:p>
            <w:pPr>
              <w:pStyle w:val="TableParagraph"/>
              <w:ind w:left="164" w:right="28"/>
              <w:jc w:val="center"/>
              <w:rPr>
                <w:sz w:val="16"/>
              </w:rPr>
            </w:pPr>
            <w:r>
              <w:rPr>
                <w:sz w:val="16"/>
              </w:rPr>
              <w:t>4.6</w:t>
            </w:r>
          </w:p>
        </w:tc>
        <w:tc>
          <w:tcPr>
            <w:tcW w:w="548" w:type="dxa"/>
          </w:tcPr>
          <w:p>
            <w:pPr>
              <w:pStyle w:val="TableParagraph"/>
              <w:ind w:right="94"/>
              <w:jc w:val="right"/>
              <w:rPr>
                <w:sz w:val="16"/>
              </w:rPr>
            </w:pPr>
            <w:r>
              <w:rPr>
                <w:w w:val="95"/>
                <w:sz w:val="16"/>
              </w:rPr>
              <w:t>23.7</w:t>
            </w:r>
          </w:p>
        </w:tc>
        <w:tc>
          <w:tcPr>
            <w:tcW w:w="523" w:type="dxa"/>
          </w:tcPr>
          <w:p>
            <w:pPr>
              <w:pStyle w:val="TableParagraph"/>
              <w:ind w:left="92"/>
              <w:rPr>
                <w:sz w:val="16"/>
              </w:rPr>
            </w:pPr>
            <w:r>
              <w:rPr>
                <w:sz w:val="16"/>
              </w:rPr>
              <w:t>14.3</w:t>
            </w:r>
          </w:p>
        </w:tc>
        <w:tc>
          <w:tcPr>
            <w:tcW w:w="699" w:type="dxa"/>
          </w:tcPr>
          <w:p>
            <w:pPr>
              <w:pStyle w:val="TableParagraph"/>
              <w:ind w:right="136"/>
              <w:jc w:val="right"/>
              <w:rPr>
                <w:sz w:val="16"/>
              </w:rPr>
            </w:pPr>
            <w:r>
              <w:rPr>
                <w:w w:val="115"/>
                <w:sz w:val="16"/>
              </w:rPr>
              <w:t>29.4</w:t>
            </w:r>
          </w:p>
        </w:tc>
      </w:tr>
      <w:tr>
        <w:trPr>
          <w:trHeight w:val="199" w:hRule="atLeast"/>
        </w:trPr>
        <w:tc>
          <w:tcPr>
            <w:tcW w:w="1829" w:type="dxa"/>
          </w:tcPr>
          <w:p>
            <w:pPr>
              <w:pStyle w:val="TableParagraph"/>
              <w:ind w:left="209"/>
              <w:rPr>
                <w:sz w:val="16"/>
              </w:rPr>
            </w:pPr>
            <w:r>
              <w:rPr>
                <w:sz w:val="16"/>
              </w:rPr>
              <w:t>Female-headed</w:t>
            </w:r>
          </w:p>
        </w:tc>
        <w:tc>
          <w:tcPr>
            <w:tcW w:w="470" w:type="dxa"/>
          </w:tcPr>
          <w:p>
            <w:pPr>
              <w:pStyle w:val="TableParagraph"/>
              <w:ind w:right="102"/>
              <w:jc w:val="right"/>
              <w:rPr>
                <w:sz w:val="16"/>
              </w:rPr>
            </w:pPr>
            <w:r>
              <w:rPr>
                <w:w w:val="95"/>
                <w:sz w:val="16"/>
              </w:rPr>
              <w:t>15.9</w:t>
            </w:r>
          </w:p>
        </w:tc>
        <w:tc>
          <w:tcPr>
            <w:tcW w:w="564" w:type="dxa"/>
          </w:tcPr>
          <w:p>
            <w:pPr>
              <w:pStyle w:val="TableParagraph"/>
              <w:ind w:left="103"/>
              <w:rPr>
                <w:sz w:val="16"/>
              </w:rPr>
            </w:pPr>
            <w:r>
              <w:rPr>
                <w:sz w:val="16"/>
              </w:rPr>
              <w:t>19.3</w:t>
            </w:r>
          </w:p>
        </w:tc>
        <w:tc>
          <w:tcPr>
            <w:tcW w:w="687" w:type="dxa"/>
          </w:tcPr>
          <w:p>
            <w:pPr>
              <w:pStyle w:val="TableParagraph"/>
              <w:ind w:left="164" w:right="28"/>
              <w:jc w:val="center"/>
              <w:rPr>
                <w:sz w:val="16"/>
              </w:rPr>
            </w:pPr>
            <w:r>
              <w:rPr>
                <w:sz w:val="16"/>
              </w:rPr>
              <w:t>3.4</w:t>
            </w:r>
          </w:p>
        </w:tc>
        <w:tc>
          <w:tcPr>
            <w:tcW w:w="548" w:type="dxa"/>
          </w:tcPr>
          <w:p>
            <w:pPr>
              <w:pStyle w:val="TableParagraph"/>
              <w:ind w:right="93"/>
              <w:jc w:val="right"/>
              <w:rPr>
                <w:sz w:val="16"/>
              </w:rPr>
            </w:pPr>
            <w:r>
              <w:rPr>
                <w:sz w:val="16"/>
              </w:rPr>
              <w:t>11.7</w:t>
            </w:r>
          </w:p>
        </w:tc>
        <w:tc>
          <w:tcPr>
            <w:tcW w:w="523" w:type="dxa"/>
          </w:tcPr>
          <w:p>
            <w:pPr>
              <w:pStyle w:val="TableParagraph"/>
              <w:ind w:left="92"/>
              <w:rPr>
                <w:sz w:val="16"/>
              </w:rPr>
            </w:pPr>
            <w:r>
              <w:rPr>
                <w:sz w:val="16"/>
              </w:rPr>
              <w:t>10.6</w:t>
            </w:r>
          </w:p>
        </w:tc>
        <w:tc>
          <w:tcPr>
            <w:tcW w:w="699" w:type="dxa"/>
          </w:tcPr>
          <w:p>
            <w:pPr>
              <w:pStyle w:val="TableParagraph"/>
              <w:ind w:right="136"/>
              <w:jc w:val="right"/>
              <w:rPr>
                <w:sz w:val="16"/>
              </w:rPr>
            </w:pPr>
            <w:r>
              <w:rPr>
                <w:w w:val="115"/>
                <w:sz w:val="16"/>
              </w:rPr>
              <w:t>21.1</w:t>
            </w:r>
          </w:p>
        </w:tc>
      </w:tr>
      <w:tr>
        <w:trPr>
          <w:trHeight w:val="199" w:hRule="atLeast"/>
        </w:trPr>
        <w:tc>
          <w:tcPr>
            <w:tcW w:w="1829" w:type="dxa"/>
          </w:tcPr>
          <w:p>
            <w:pPr>
              <w:pStyle w:val="TableParagraph"/>
              <w:ind w:left="209"/>
              <w:rPr>
                <w:sz w:val="16"/>
              </w:rPr>
            </w:pPr>
            <w:r>
              <w:rPr>
                <w:sz w:val="16"/>
              </w:rPr>
              <w:t>Nonfamily</w:t>
            </w:r>
          </w:p>
        </w:tc>
        <w:tc>
          <w:tcPr>
            <w:tcW w:w="470" w:type="dxa"/>
          </w:tcPr>
          <w:p>
            <w:pPr>
              <w:pStyle w:val="TableParagraph"/>
              <w:ind w:right="102"/>
              <w:jc w:val="right"/>
              <w:rPr>
                <w:sz w:val="16"/>
              </w:rPr>
            </w:pPr>
            <w:r>
              <w:rPr>
                <w:w w:val="95"/>
                <w:sz w:val="16"/>
              </w:rPr>
              <w:t>13.4</w:t>
            </w:r>
          </w:p>
        </w:tc>
        <w:tc>
          <w:tcPr>
            <w:tcW w:w="564" w:type="dxa"/>
          </w:tcPr>
          <w:p>
            <w:pPr>
              <w:pStyle w:val="TableParagraph"/>
              <w:ind w:left="104"/>
              <w:rPr>
                <w:sz w:val="16"/>
              </w:rPr>
            </w:pPr>
            <w:r>
              <w:rPr>
                <w:sz w:val="16"/>
              </w:rPr>
              <w:t>12.7</w:t>
            </w:r>
          </w:p>
        </w:tc>
        <w:tc>
          <w:tcPr>
            <w:tcW w:w="687" w:type="dxa"/>
          </w:tcPr>
          <w:p>
            <w:pPr>
              <w:pStyle w:val="TableParagraph"/>
              <w:ind w:left="158" w:right="155"/>
              <w:jc w:val="center"/>
              <w:rPr>
                <w:sz w:val="16"/>
              </w:rPr>
            </w:pPr>
            <w:r>
              <w:rPr>
                <w:w w:val="115"/>
                <w:sz w:val="16"/>
              </w:rPr>
              <w:t>20.7</w:t>
            </w:r>
          </w:p>
        </w:tc>
        <w:tc>
          <w:tcPr>
            <w:tcW w:w="548" w:type="dxa"/>
          </w:tcPr>
          <w:p>
            <w:pPr>
              <w:pStyle w:val="TableParagraph"/>
              <w:ind w:right="93"/>
              <w:jc w:val="right"/>
              <w:rPr>
                <w:sz w:val="16"/>
              </w:rPr>
            </w:pPr>
            <w:r>
              <w:rPr>
                <w:sz w:val="16"/>
              </w:rPr>
              <w:t>11.8</w:t>
            </w:r>
          </w:p>
        </w:tc>
        <w:tc>
          <w:tcPr>
            <w:tcW w:w="523" w:type="dxa"/>
          </w:tcPr>
          <w:p>
            <w:pPr>
              <w:pStyle w:val="TableParagraph"/>
              <w:ind w:left="92"/>
              <w:rPr>
                <w:sz w:val="16"/>
              </w:rPr>
            </w:pPr>
            <w:r>
              <w:rPr>
                <w:sz w:val="16"/>
              </w:rPr>
              <w:t>10</w:t>
            </w:r>
          </w:p>
        </w:tc>
        <w:tc>
          <w:tcPr>
            <w:tcW w:w="699" w:type="dxa"/>
          </w:tcPr>
          <w:p>
            <w:pPr>
              <w:pStyle w:val="TableParagraph"/>
              <w:ind w:right="136"/>
              <w:jc w:val="right"/>
              <w:rPr>
                <w:sz w:val="16"/>
              </w:rPr>
            </w:pPr>
            <w:r>
              <w:rPr>
                <w:w w:val="115"/>
                <w:sz w:val="16"/>
              </w:rPr>
              <w:t>21.8</w:t>
            </w:r>
          </w:p>
        </w:tc>
      </w:tr>
      <w:tr>
        <w:trPr>
          <w:trHeight w:val="199" w:hRule="atLeast"/>
        </w:trPr>
        <w:tc>
          <w:tcPr>
            <w:tcW w:w="1829" w:type="dxa"/>
          </w:tcPr>
          <w:p>
            <w:pPr>
              <w:pStyle w:val="TableParagraph"/>
              <w:ind w:left="50"/>
              <w:rPr>
                <w:sz w:val="16"/>
              </w:rPr>
            </w:pPr>
            <w:r>
              <w:rPr>
                <w:sz w:val="16"/>
              </w:rPr>
              <w:t>Race/ethnicity</w:t>
            </w:r>
          </w:p>
        </w:tc>
        <w:tc>
          <w:tcPr>
            <w:tcW w:w="470" w:type="dxa"/>
          </w:tcPr>
          <w:p>
            <w:pPr>
              <w:pStyle w:val="TableParagraph"/>
              <w:spacing w:line="240" w:lineRule="auto" w:before="0"/>
              <w:rPr>
                <w:sz w:val="12"/>
              </w:rPr>
            </w:pPr>
          </w:p>
        </w:tc>
        <w:tc>
          <w:tcPr>
            <w:tcW w:w="564" w:type="dxa"/>
          </w:tcPr>
          <w:p>
            <w:pPr>
              <w:pStyle w:val="TableParagraph"/>
              <w:spacing w:line="240" w:lineRule="auto" w:before="0"/>
              <w:rPr>
                <w:sz w:val="12"/>
              </w:rPr>
            </w:pPr>
          </w:p>
        </w:tc>
        <w:tc>
          <w:tcPr>
            <w:tcW w:w="687" w:type="dxa"/>
          </w:tcPr>
          <w:p>
            <w:pPr>
              <w:pStyle w:val="TableParagraph"/>
              <w:spacing w:line="240" w:lineRule="auto" w:before="0"/>
              <w:rPr>
                <w:sz w:val="12"/>
              </w:rPr>
            </w:pPr>
          </w:p>
        </w:tc>
        <w:tc>
          <w:tcPr>
            <w:tcW w:w="548" w:type="dxa"/>
          </w:tcPr>
          <w:p>
            <w:pPr>
              <w:pStyle w:val="TableParagraph"/>
              <w:spacing w:line="240" w:lineRule="auto" w:before="0"/>
              <w:rPr>
                <w:sz w:val="12"/>
              </w:rPr>
            </w:pPr>
          </w:p>
        </w:tc>
        <w:tc>
          <w:tcPr>
            <w:tcW w:w="523" w:type="dxa"/>
          </w:tcPr>
          <w:p>
            <w:pPr>
              <w:pStyle w:val="TableParagraph"/>
              <w:spacing w:line="240" w:lineRule="auto" w:before="0"/>
              <w:rPr>
                <w:sz w:val="12"/>
              </w:rPr>
            </w:pPr>
          </w:p>
        </w:tc>
        <w:tc>
          <w:tcPr>
            <w:tcW w:w="699" w:type="dxa"/>
          </w:tcPr>
          <w:p>
            <w:pPr>
              <w:pStyle w:val="TableParagraph"/>
              <w:spacing w:line="240" w:lineRule="auto" w:before="0"/>
              <w:rPr>
                <w:sz w:val="12"/>
              </w:rPr>
            </w:pPr>
          </w:p>
        </w:tc>
      </w:tr>
      <w:tr>
        <w:trPr>
          <w:trHeight w:val="199" w:hRule="atLeast"/>
        </w:trPr>
        <w:tc>
          <w:tcPr>
            <w:tcW w:w="1829" w:type="dxa"/>
          </w:tcPr>
          <w:p>
            <w:pPr>
              <w:pStyle w:val="TableParagraph"/>
              <w:ind w:left="209"/>
              <w:rPr>
                <w:sz w:val="16"/>
              </w:rPr>
            </w:pPr>
            <w:r>
              <w:rPr>
                <w:sz w:val="16"/>
              </w:rPr>
              <w:t>White</w:t>
            </w:r>
          </w:p>
        </w:tc>
        <w:tc>
          <w:tcPr>
            <w:tcW w:w="470" w:type="dxa"/>
          </w:tcPr>
          <w:p>
            <w:pPr>
              <w:pStyle w:val="TableParagraph"/>
              <w:ind w:right="102"/>
              <w:jc w:val="right"/>
              <w:rPr>
                <w:sz w:val="16"/>
              </w:rPr>
            </w:pPr>
            <w:r>
              <w:rPr>
                <w:w w:val="95"/>
                <w:sz w:val="16"/>
              </w:rPr>
              <w:t>6.7</w:t>
            </w:r>
          </w:p>
        </w:tc>
        <w:tc>
          <w:tcPr>
            <w:tcW w:w="564" w:type="dxa"/>
          </w:tcPr>
          <w:p>
            <w:pPr>
              <w:pStyle w:val="TableParagraph"/>
              <w:ind w:left="184"/>
              <w:rPr>
                <w:sz w:val="16"/>
              </w:rPr>
            </w:pPr>
            <w:r>
              <w:rPr>
                <w:sz w:val="16"/>
              </w:rPr>
              <w:t>6.5</w:t>
            </w:r>
          </w:p>
        </w:tc>
        <w:tc>
          <w:tcPr>
            <w:tcW w:w="687" w:type="dxa"/>
          </w:tcPr>
          <w:p>
            <w:pPr>
              <w:pStyle w:val="TableParagraph"/>
              <w:ind w:left="158" w:right="155"/>
              <w:jc w:val="center"/>
              <w:rPr>
                <w:sz w:val="16"/>
              </w:rPr>
            </w:pPr>
            <w:r>
              <w:rPr>
                <w:w w:val="115"/>
                <w:sz w:val="16"/>
              </w:rPr>
              <w:t>20.2</w:t>
            </w:r>
          </w:p>
        </w:tc>
        <w:tc>
          <w:tcPr>
            <w:tcW w:w="548" w:type="dxa"/>
          </w:tcPr>
          <w:p>
            <w:pPr>
              <w:pStyle w:val="TableParagraph"/>
              <w:ind w:right="92"/>
              <w:jc w:val="right"/>
              <w:rPr>
                <w:sz w:val="16"/>
              </w:rPr>
            </w:pPr>
            <w:r>
              <w:rPr>
                <w:w w:val="95"/>
                <w:sz w:val="16"/>
              </w:rPr>
              <w:t>23.3</w:t>
            </w:r>
          </w:p>
        </w:tc>
        <w:tc>
          <w:tcPr>
            <w:tcW w:w="523" w:type="dxa"/>
          </w:tcPr>
          <w:p>
            <w:pPr>
              <w:pStyle w:val="TableParagraph"/>
              <w:ind w:left="92"/>
              <w:rPr>
                <w:sz w:val="16"/>
              </w:rPr>
            </w:pPr>
            <w:r>
              <w:rPr>
                <w:sz w:val="16"/>
              </w:rPr>
              <w:t>18.6</w:t>
            </w:r>
          </w:p>
        </w:tc>
        <w:tc>
          <w:tcPr>
            <w:tcW w:w="699" w:type="dxa"/>
          </w:tcPr>
          <w:p>
            <w:pPr>
              <w:pStyle w:val="TableParagraph"/>
              <w:ind w:right="136"/>
              <w:jc w:val="right"/>
              <w:rPr>
                <w:sz w:val="16"/>
              </w:rPr>
            </w:pPr>
            <w:r>
              <w:rPr>
                <w:w w:val="115"/>
                <w:sz w:val="16"/>
              </w:rPr>
              <w:t>24.7</w:t>
            </w:r>
          </w:p>
        </w:tc>
      </w:tr>
      <w:tr>
        <w:trPr>
          <w:trHeight w:val="199" w:hRule="atLeast"/>
        </w:trPr>
        <w:tc>
          <w:tcPr>
            <w:tcW w:w="1829" w:type="dxa"/>
          </w:tcPr>
          <w:p>
            <w:pPr>
              <w:pStyle w:val="TableParagraph"/>
              <w:ind w:left="209"/>
              <w:rPr>
                <w:sz w:val="16"/>
              </w:rPr>
            </w:pPr>
            <w:r>
              <w:rPr>
                <w:sz w:val="16"/>
              </w:rPr>
              <w:t>Black</w:t>
            </w:r>
          </w:p>
        </w:tc>
        <w:tc>
          <w:tcPr>
            <w:tcW w:w="470" w:type="dxa"/>
          </w:tcPr>
          <w:p>
            <w:pPr>
              <w:pStyle w:val="TableParagraph"/>
              <w:ind w:right="102"/>
              <w:jc w:val="right"/>
              <w:rPr>
                <w:sz w:val="16"/>
              </w:rPr>
            </w:pPr>
            <w:r>
              <w:rPr>
                <w:w w:val="95"/>
                <w:sz w:val="16"/>
              </w:rPr>
              <w:t>13.3</w:t>
            </w:r>
          </w:p>
        </w:tc>
        <w:tc>
          <w:tcPr>
            <w:tcW w:w="564" w:type="dxa"/>
          </w:tcPr>
          <w:p>
            <w:pPr>
              <w:pStyle w:val="TableParagraph"/>
              <w:ind w:left="104"/>
              <w:rPr>
                <w:sz w:val="16"/>
              </w:rPr>
            </w:pPr>
            <w:r>
              <w:rPr>
                <w:sz w:val="16"/>
              </w:rPr>
              <w:t>15.9</w:t>
            </w:r>
          </w:p>
        </w:tc>
        <w:tc>
          <w:tcPr>
            <w:tcW w:w="687" w:type="dxa"/>
          </w:tcPr>
          <w:p>
            <w:pPr>
              <w:pStyle w:val="TableParagraph"/>
              <w:ind w:left="164" w:right="27"/>
              <w:jc w:val="center"/>
              <w:rPr>
                <w:sz w:val="16"/>
              </w:rPr>
            </w:pPr>
            <w:r>
              <w:rPr>
                <w:sz w:val="16"/>
              </w:rPr>
              <w:t>2.6</w:t>
            </w:r>
          </w:p>
        </w:tc>
        <w:tc>
          <w:tcPr>
            <w:tcW w:w="548" w:type="dxa"/>
          </w:tcPr>
          <w:p>
            <w:pPr>
              <w:pStyle w:val="TableParagraph"/>
              <w:ind w:right="92"/>
              <w:jc w:val="right"/>
              <w:rPr>
                <w:sz w:val="16"/>
              </w:rPr>
            </w:pPr>
            <w:r>
              <w:rPr>
                <w:w w:val="95"/>
                <w:sz w:val="16"/>
              </w:rPr>
              <w:t>14.6</w:t>
            </w:r>
          </w:p>
        </w:tc>
        <w:tc>
          <w:tcPr>
            <w:tcW w:w="523" w:type="dxa"/>
          </w:tcPr>
          <w:p>
            <w:pPr>
              <w:pStyle w:val="TableParagraph"/>
              <w:ind w:left="98"/>
              <w:rPr>
                <w:sz w:val="16"/>
              </w:rPr>
            </w:pPr>
            <w:r>
              <w:rPr>
                <w:sz w:val="16"/>
              </w:rPr>
              <w:t>11</w:t>
            </w:r>
          </w:p>
        </w:tc>
        <w:tc>
          <w:tcPr>
            <w:tcW w:w="699" w:type="dxa"/>
          </w:tcPr>
          <w:p>
            <w:pPr>
              <w:pStyle w:val="TableParagraph"/>
              <w:ind w:right="136"/>
              <w:jc w:val="right"/>
              <w:rPr>
                <w:sz w:val="16"/>
              </w:rPr>
            </w:pPr>
            <w:r>
              <w:rPr>
                <w:w w:val="115"/>
                <w:sz w:val="16"/>
              </w:rPr>
              <w:t>23.6</w:t>
            </w:r>
          </w:p>
        </w:tc>
      </w:tr>
      <w:tr>
        <w:trPr>
          <w:trHeight w:val="199" w:hRule="atLeast"/>
        </w:trPr>
        <w:tc>
          <w:tcPr>
            <w:tcW w:w="1829" w:type="dxa"/>
          </w:tcPr>
          <w:p>
            <w:pPr>
              <w:pStyle w:val="TableParagraph"/>
              <w:ind w:left="209"/>
              <w:rPr>
                <w:sz w:val="16"/>
              </w:rPr>
            </w:pPr>
            <w:r>
              <w:rPr>
                <w:sz w:val="16"/>
              </w:rPr>
              <w:t>Asian</w:t>
            </w:r>
          </w:p>
        </w:tc>
        <w:tc>
          <w:tcPr>
            <w:tcW w:w="470" w:type="dxa"/>
          </w:tcPr>
          <w:p>
            <w:pPr>
              <w:pStyle w:val="TableParagraph"/>
              <w:ind w:right="102"/>
              <w:jc w:val="right"/>
              <w:rPr>
                <w:sz w:val="16"/>
              </w:rPr>
            </w:pPr>
            <w:r>
              <w:rPr>
                <w:w w:val="95"/>
                <w:sz w:val="16"/>
              </w:rPr>
              <w:t>7.6</w:t>
            </w:r>
          </w:p>
        </w:tc>
        <w:tc>
          <w:tcPr>
            <w:tcW w:w="564" w:type="dxa"/>
          </w:tcPr>
          <w:p>
            <w:pPr>
              <w:pStyle w:val="TableParagraph"/>
              <w:ind w:left="184"/>
              <w:rPr>
                <w:sz w:val="16"/>
              </w:rPr>
            </w:pPr>
            <w:r>
              <w:rPr>
                <w:sz w:val="16"/>
              </w:rPr>
              <w:t>9.1</w:t>
            </w:r>
          </w:p>
        </w:tc>
        <w:tc>
          <w:tcPr>
            <w:tcW w:w="687" w:type="dxa"/>
          </w:tcPr>
          <w:p>
            <w:pPr>
              <w:pStyle w:val="TableParagraph"/>
              <w:ind w:left="164" w:right="27"/>
              <w:jc w:val="center"/>
              <w:rPr>
                <w:sz w:val="16"/>
              </w:rPr>
            </w:pPr>
            <w:r>
              <w:rPr>
                <w:sz w:val="16"/>
              </w:rPr>
              <w:t>1.5</w:t>
            </w:r>
          </w:p>
        </w:tc>
        <w:tc>
          <w:tcPr>
            <w:tcW w:w="548" w:type="dxa"/>
          </w:tcPr>
          <w:p>
            <w:pPr>
              <w:pStyle w:val="TableParagraph"/>
              <w:ind w:right="92"/>
              <w:jc w:val="right"/>
              <w:rPr>
                <w:sz w:val="16"/>
              </w:rPr>
            </w:pPr>
            <w:r>
              <w:rPr>
                <w:w w:val="95"/>
                <w:sz w:val="16"/>
              </w:rPr>
              <w:t>21.2</w:t>
            </w:r>
          </w:p>
        </w:tc>
        <w:tc>
          <w:tcPr>
            <w:tcW w:w="523" w:type="dxa"/>
          </w:tcPr>
          <w:p>
            <w:pPr>
              <w:pStyle w:val="TableParagraph"/>
              <w:ind w:left="93"/>
              <w:rPr>
                <w:sz w:val="16"/>
              </w:rPr>
            </w:pPr>
            <w:r>
              <w:rPr>
                <w:sz w:val="16"/>
              </w:rPr>
              <w:t>13.8</w:t>
            </w:r>
          </w:p>
        </w:tc>
        <w:tc>
          <w:tcPr>
            <w:tcW w:w="699" w:type="dxa"/>
          </w:tcPr>
          <w:p>
            <w:pPr>
              <w:pStyle w:val="TableParagraph"/>
              <w:ind w:right="136"/>
              <w:jc w:val="right"/>
              <w:rPr>
                <w:sz w:val="16"/>
              </w:rPr>
            </w:pPr>
            <w:r>
              <w:rPr>
                <w:w w:val="115"/>
                <w:sz w:val="16"/>
              </w:rPr>
              <w:t>27.4</w:t>
            </w:r>
          </w:p>
        </w:tc>
      </w:tr>
      <w:tr>
        <w:trPr>
          <w:trHeight w:val="188" w:hRule="atLeast"/>
        </w:trPr>
        <w:tc>
          <w:tcPr>
            <w:tcW w:w="1829" w:type="dxa"/>
          </w:tcPr>
          <w:p>
            <w:pPr>
              <w:pStyle w:val="TableParagraph"/>
              <w:spacing w:line="164" w:lineRule="exact"/>
              <w:ind w:left="209"/>
              <w:rPr>
                <w:sz w:val="16"/>
              </w:rPr>
            </w:pPr>
            <w:r>
              <w:rPr>
                <w:sz w:val="16"/>
              </w:rPr>
              <w:t>Hispanic</w:t>
            </w:r>
          </w:p>
        </w:tc>
        <w:tc>
          <w:tcPr>
            <w:tcW w:w="470" w:type="dxa"/>
          </w:tcPr>
          <w:p>
            <w:pPr>
              <w:pStyle w:val="TableParagraph"/>
              <w:spacing w:line="164" w:lineRule="exact"/>
              <w:ind w:right="102"/>
              <w:jc w:val="right"/>
              <w:rPr>
                <w:sz w:val="16"/>
              </w:rPr>
            </w:pPr>
            <w:r>
              <w:rPr>
                <w:w w:val="95"/>
                <w:sz w:val="16"/>
              </w:rPr>
              <w:t>9.8</w:t>
            </w:r>
          </w:p>
        </w:tc>
        <w:tc>
          <w:tcPr>
            <w:tcW w:w="564" w:type="dxa"/>
          </w:tcPr>
          <w:p>
            <w:pPr>
              <w:pStyle w:val="TableParagraph"/>
              <w:spacing w:line="164" w:lineRule="exact"/>
              <w:ind w:left="104"/>
              <w:rPr>
                <w:sz w:val="16"/>
              </w:rPr>
            </w:pPr>
            <w:r>
              <w:rPr>
                <w:sz w:val="16"/>
              </w:rPr>
              <w:t>12.5</w:t>
            </w:r>
          </w:p>
        </w:tc>
        <w:tc>
          <w:tcPr>
            <w:tcW w:w="687" w:type="dxa"/>
          </w:tcPr>
          <w:p>
            <w:pPr>
              <w:pStyle w:val="TableParagraph"/>
              <w:spacing w:line="164" w:lineRule="exact"/>
              <w:ind w:left="164" w:right="27"/>
              <w:jc w:val="center"/>
              <w:rPr>
                <w:sz w:val="16"/>
              </w:rPr>
            </w:pPr>
            <w:r>
              <w:rPr>
                <w:sz w:val="16"/>
              </w:rPr>
              <w:t>2.7</w:t>
            </w:r>
          </w:p>
        </w:tc>
        <w:tc>
          <w:tcPr>
            <w:tcW w:w="548" w:type="dxa"/>
          </w:tcPr>
          <w:p>
            <w:pPr>
              <w:pStyle w:val="TableParagraph"/>
              <w:spacing w:line="164" w:lineRule="exact"/>
              <w:ind w:right="92"/>
              <w:jc w:val="right"/>
              <w:rPr>
                <w:sz w:val="16"/>
              </w:rPr>
            </w:pPr>
            <w:r>
              <w:rPr>
                <w:w w:val="95"/>
                <w:sz w:val="16"/>
              </w:rPr>
              <w:t>15.3</w:t>
            </w:r>
          </w:p>
        </w:tc>
        <w:tc>
          <w:tcPr>
            <w:tcW w:w="523" w:type="dxa"/>
          </w:tcPr>
          <w:p>
            <w:pPr>
              <w:pStyle w:val="TableParagraph"/>
              <w:spacing w:line="164" w:lineRule="exact"/>
              <w:ind w:left="98"/>
              <w:rPr>
                <w:sz w:val="16"/>
              </w:rPr>
            </w:pPr>
            <w:r>
              <w:rPr>
                <w:sz w:val="16"/>
              </w:rPr>
              <w:t>11.4</w:t>
            </w:r>
          </w:p>
        </w:tc>
        <w:tc>
          <w:tcPr>
            <w:tcW w:w="699" w:type="dxa"/>
          </w:tcPr>
          <w:p>
            <w:pPr>
              <w:pStyle w:val="TableParagraph"/>
              <w:spacing w:line="164" w:lineRule="exact"/>
              <w:ind w:right="136"/>
              <w:jc w:val="right"/>
              <w:rPr>
                <w:sz w:val="16"/>
              </w:rPr>
            </w:pPr>
            <w:r>
              <w:rPr>
                <w:w w:val="115"/>
                <w:sz w:val="16"/>
              </w:rPr>
              <w:t>23.9</w:t>
            </w:r>
          </w:p>
        </w:tc>
      </w:tr>
      <w:tr>
        <w:trPr>
          <w:trHeight w:val="210" w:hRule="atLeast"/>
        </w:trPr>
        <w:tc>
          <w:tcPr>
            <w:tcW w:w="1829" w:type="dxa"/>
          </w:tcPr>
          <w:p>
            <w:pPr>
              <w:pStyle w:val="TableParagraph"/>
              <w:spacing w:before="15"/>
              <w:ind w:left="50"/>
              <w:rPr>
                <w:sz w:val="16"/>
              </w:rPr>
            </w:pPr>
            <w:r>
              <w:rPr>
                <w:sz w:val="16"/>
              </w:rPr>
              <w:t>Nativity</w:t>
            </w:r>
          </w:p>
        </w:tc>
        <w:tc>
          <w:tcPr>
            <w:tcW w:w="470" w:type="dxa"/>
          </w:tcPr>
          <w:p>
            <w:pPr>
              <w:pStyle w:val="TableParagraph"/>
              <w:spacing w:line="240" w:lineRule="auto" w:before="0"/>
              <w:rPr>
                <w:sz w:val="14"/>
              </w:rPr>
            </w:pPr>
          </w:p>
        </w:tc>
        <w:tc>
          <w:tcPr>
            <w:tcW w:w="564" w:type="dxa"/>
          </w:tcPr>
          <w:p>
            <w:pPr>
              <w:pStyle w:val="TableParagraph"/>
              <w:spacing w:line="240" w:lineRule="auto" w:before="0"/>
              <w:rPr>
                <w:sz w:val="14"/>
              </w:rPr>
            </w:pPr>
          </w:p>
        </w:tc>
        <w:tc>
          <w:tcPr>
            <w:tcW w:w="687" w:type="dxa"/>
          </w:tcPr>
          <w:p>
            <w:pPr>
              <w:pStyle w:val="TableParagraph"/>
              <w:spacing w:line="240" w:lineRule="auto" w:before="0"/>
              <w:rPr>
                <w:sz w:val="14"/>
              </w:rPr>
            </w:pPr>
          </w:p>
        </w:tc>
        <w:tc>
          <w:tcPr>
            <w:tcW w:w="548" w:type="dxa"/>
          </w:tcPr>
          <w:p>
            <w:pPr>
              <w:pStyle w:val="TableParagraph"/>
              <w:spacing w:line="240" w:lineRule="auto" w:before="0"/>
              <w:rPr>
                <w:sz w:val="14"/>
              </w:rPr>
            </w:pPr>
          </w:p>
        </w:tc>
        <w:tc>
          <w:tcPr>
            <w:tcW w:w="523" w:type="dxa"/>
          </w:tcPr>
          <w:p>
            <w:pPr>
              <w:pStyle w:val="TableParagraph"/>
              <w:spacing w:line="240" w:lineRule="auto" w:before="0"/>
              <w:rPr>
                <w:sz w:val="14"/>
              </w:rPr>
            </w:pPr>
          </w:p>
        </w:tc>
        <w:tc>
          <w:tcPr>
            <w:tcW w:w="699" w:type="dxa"/>
          </w:tcPr>
          <w:p>
            <w:pPr>
              <w:pStyle w:val="TableParagraph"/>
              <w:spacing w:line="240" w:lineRule="auto" w:before="0"/>
              <w:rPr>
                <w:sz w:val="14"/>
              </w:rPr>
            </w:pPr>
          </w:p>
        </w:tc>
      </w:tr>
      <w:tr>
        <w:trPr>
          <w:trHeight w:val="199" w:hRule="atLeast"/>
        </w:trPr>
        <w:tc>
          <w:tcPr>
            <w:tcW w:w="1829" w:type="dxa"/>
          </w:tcPr>
          <w:p>
            <w:pPr>
              <w:pStyle w:val="TableParagraph"/>
              <w:spacing w:line="168" w:lineRule="exact" w:before="0"/>
              <w:ind w:left="209"/>
              <w:rPr>
                <w:sz w:val="16"/>
              </w:rPr>
            </w:pPr>
            <w:r>
              <w:rPr>
                <w:sz w:val="16"/>
              </w:rPr>
              <w:t>Not foreign born</w:t>
            </w:r>
          </w:p>
        </w:tc>
        <w:tc>
          <w:tcPr>
            <w:tcW w:w="470" w:type="dxa"/>
          </w:tcPr>
          <w:p>
            <w:pPr>
              <w:pStyle w:val="TableParagraph"/>
              <w:spacing w:line="168" w:lineRule="exact" w:before="0"/>
              <w:ind w:right="102"/>
              <w:jc w:val="right"/>
              <w:rPr>
                <w:sz w:val="16"/>
              </w:rPr>
            </w:pPr>
            <w:r>
              <w:rPr>
                <w:w w:val="95"/>
                <w:sz w:val="16"/>
              </w:rPr>
              <w:t>7.7</w:t>
            </w:r>
          </w:p>
        </w:tc>
        <w:tc>
          <w:tcPr>
            <w:tcW w:w="564" w:type="dxa"/>
          </w:tcPr>
          <w:p>
            <w:pPr>
              <w:pStyle w:val="TableParagraph"/>
              <w:spacing w:line="168" w:lineRule="exact" w:before="0"/>
              <w:ind w:left="184"/>
              <w:rPr>
                <w:sz w:val="16"/>
              </w:rPr>
            </w:pPr>
            <w:r>
              <w:rPr>
                <w:sz w:val="16"/>
              </w:rPr>
              <w:t>7.9</w:t>
            </w:r>
          </w:p>
        </w:tc>
        <w:tc>
          <w:tcPr>
            <w:tcW w:w="687" w:type="dxa"/>
          </w:tcPr>
          <w:p>
            <w:pPr>
              <w:pStyle w:val="TableParagraph"/>
              <w:spacing w:line="168" w:lineRule="exact" w:before="0"/>
              <w:ind w:left="164" w:right="28"/>
              <w:jc w:val="center"/>
              <w:rPr>
                <w:sz w:val="16"/>
              </w:rPr>
            </w:pPr>
            <w:r>
              <w:rPr>
                <w:sz w:val="16"/>
              </w:rPr>
              <w:t>0.2</w:t>
            </w:r>
          </w:p>
        </w:tc>
        <w:tc>
          <w:tcPr>
            <w:tcW w:w="548" w:type="dxa"/>
          </w:tcPr>
          <w:p>
            <w:pPr>
              <w:pStyle w:val="TableParagraph"/>
              <w:spacing w:line="168" w:lineRule="exact" w:before="0"/>
              <w:ind w:right="92"/>
              <w:jc w:val="right"/>
              <w:rPr>
                <w:sz w:val="16"/>
              </w:rPr>
            </w:pPr>
            <w:r>
              <w:rPr>
                <w:w w:val="95"/>
                <w:sz w:val="16"/>
              </w:rPr>
              <w:t>22.2</w:t>
            </w:r>
          </w:p>
        </w:tc>
        <w:tc>
          <w:tcPr>
            <w:tcW w:w="523" w:type="dxa"/>
          </w:tcPr>
          <w:p>
            <w:pPr>
              <w:pStyle w:val="TableParagraph"/>
              <w:spacing w:line="168" w:lineRule="exact" w:before="0"/>
              <w:ind w:left="92"/>
              <w:rPr>
                <w:sz w:val="16"/>
              </w:rPr>
            </w:pPr>
            <w:r>
              <w:rPr>
                <w:sz w:val="16"/>
              </w:rPr>
              <w:t>17.6</w:t>
            </w:r>
          </w:p>
        </w:tc>
        <w:tc>
          <w:tcPr>
            <w:tcW w:w="699" w:type="dxa"/>
          </w:tcPr>
          <w:p>
            <w:pPr>
              <w:pStyle w:val="TableParagraph"/>
              <w:spacing w:line="168" w:lineRule="exact" w:before="0"/>
              <w:ind w:right="136"/>
              <w:jc w:val="right"/>
              <w:rPr>
                <w:sz w:val="16"/>
              </w:rPr>
            </w:pPr>
            <w:r>
              <w:rPr>
                <w:w w:val="115"/>
                <w:sz w:val="16"/>
              </w:rPr>
              <w:t>24.6</w:t>
            </w:r>
          </w:p>
        </w:tc>
      </w:tr>
      <w:tr>
        <w:trPr>
          <w:trHeight w:val="199" w:hRule="atLeast"/>
        </w:trPr>
        <w:tc>
          <w:tcPr>
            <w:tcW w:w="1829" w:type="dxa"/>
          </w:tcPr>
          <w:p>
            <w:pPr>
              <w:pStyle w:val="TableParagraph"/>
              <w:ind w:right="83"/>
              <w:jc w:val="right"/>
              <w:rPr>
                <w:sz w:val="16"/>
              </w:rPr>
            </w:pPr>
            <w:r>
              <w:rPr>
                <w:sz w:val="16"/>
              </w:rPr>
              <w:t>Arrived in past 10 years</w:t>
            </w:r>
          </w:p>
        </w:tc>
        <w:tc>
          <w:tcPr>
            <w:tcW w:w="470" w:type="dxa"/>
          </w:tcPr>
          <w:p>
            <w:pPr>
              <w:pStyle w:val="TableParagraph"/>
              <w:ind w:right="102"/>
              <w:jc w:val="right"/>
              <w:rPr>
                <w:sz w:val="16"/>
              </w:rPr>
            </w:pPr>
            <w:r>
              <w:rPr>
                <w:w w:val="95"/>
                <w:sz w:val="16"/>
              </w:rPr>
              <w:t>12.6</w:t>
            </w:r>
          </w:p>
        </w:tc>
        <w:tc>
          <w:tcPr>
            <w:tcW w:w="564" w:type="dxa"/>
          </w:tcPr>
          <w:p>
            <w:pPr>
              <w:pStyle w:val="TableParagraph"/>
              <w:ind w:left="104"/>
              <w:rPr>
                <w:sz w:val="16"/>
              </w:rPr>
            </w:pPr>
            <w:r>
              <w:rPr>
                <w:sz w:val="16"/>
              </w:rPr>
              <w:t>18.7</w:t>
            </w:r>
          </w:p>
        </w:tc>
        <w:tc>
          <w:tcPr>
            <w:tcW w:w="687" w:type="dxa"/>
          </w:tcPr>
          <w:p>
            <w:pPr>
              <w:pStyle w:val="TableParagraph"/>
              <w:ind w:left="164" w:right="28"/>
              <w:jc w:val="center"/>
              <w:rPr>
                <w:sz w:val="16"/>
              </w:rPr>
            </w:pPr>
            <w:r>
              <w:rPr>
                <w:sz w:val="16"/>
              </w:rPr>
              <w:t>6.1</w:t>
            </w:r>
          </w:p>
        </w:tc>
        <w:tc>
          <w:tcPr>
            <w:tcW w:w="548" w:type="dxa"/>
          </w:tcPr>
          <w:p>
            <w:pPr>
              <w:pStyle w:val="TableParagraph"/>
              <w:ind w:right="92"/>
              <w:jc w:val="right"/>
              <w:rPr>
                <w:sz w:val="16"/>
              </w:rPr>
            </w:pPr>
            <w:r>
              <w:rPr>
                <w:w w:val="95"/>
                <w:sz w:val="16"/>
              </w:rPr>
              <w:t>9.9</w:t>
            </w:r>
          </w:p>
        </w:tc>
        <w:tc>
          <w:tcPr>
            <w:tcW w:w="523" w:type="dxa"/>
          </w:tcPr>
          <w:p>
            <w:pPr>
              <w:pStyle w:val="TableParagraph"/>
              <w:ind w:right="148"/>
              <w:jc w:val="right"/>
              <w:rPr>
                <w:sz w:val="16"/>
              </w:rPr>
            </w:pPr>
            <w:r>
              <w:rPr>
                <w:w w:val="95"/>
                <w:sz w:val="16"/>
              </w:rPr>
              <w:t>6.1</w:t>
            </w:r>
          </w:p>
        </w:tc>
        <w:tc>
          <w:tcPr>
            <w:tcW w:w="699" w:type="dxa"/>
          </w:tcPr>
          <w:p>
            <w:pPr>
              <w:pStyle w:val="TableParagraph"/>
              <w:ind w:right="136"/>
              <w:jc w:val="right"/>
              <w:rPr>
                <w:sz w:val="16"/>
              </w:rPr>
            </w:pPr>
            <w:r>
              <w:rPr>
                <w:w w:val="115"/>
                <w:sz w:val="16"/>
              </w:rPr>
              <w:t>23.8</w:t>
            </w:r>
          </w:p>
        </w:tc>
      </w:tr>
      <w:tr>
        <w:trPr>
          <w:trHeight w:val="263" w:hRule="atLeast"/>
        </w:trPr>
        <w:tc>
          <w:tcPr>
            <w:tcW w:w="1829" w:type="dxa"/>
            <w:tcBorders>
              <w:bottom w:val="single" w:sz="4" w:space="0" w:color="000000"/>
            </w:tcBorders>
          </w:tcPr>
          <w:p>
            <w:pPr>
              <w:pStyle w:val="TableParagraph"/>
              <w:spacing w:line="240" w:lineRule="auto"/>
              <w:ind w:right="141"/>
              <w:jc w:val="right"/>
              <w:rPr>
                <w:sz w:val="16"/>
              </w:rPr>
            </w:pPr>
            <w:r>
              <w:rPr>
                <w:w w:val="105"/>
                <w:sz w:val="16"/>
              </w:rPr>
              <w:t>Arrived 101 years ago</w:t>
            </w:r>
          </w:p>
        </w:tc>
        <w:tc>
          <w:tcPr>
            <w:tcW w:w="470" w:type="dxa"/>
            <w:tcBorders>
              <w:bottom w:val="single" w:sz="4" w:space="0" w:color="000000"/>
            </w:tcBorders>
          </w:tcPr>
          <w:p>
            <w:pPr>
              <w:pStyle w:val="TableParagraph"/>
              <w:spacing w:line="240" w:lineRule="auto"/>
              <w:ind w:right="102"/>
              <w:jc w:val="right"/>
              <w:rPr>
                <w:sz w:val="16"/>
              </w:rPr>
            </w:pPr>
            <w:r>
              <w:rPr>
                <w:w w:val="95"/>
                <w:sz w:val="16"/>
              </w:rPr>
              <w:t>8.1</w:t>
            </w:r>
          </w:p>
        </w:tc>
        <w:tc>
          <w:tcPr>
            <w:tcW w:w="564" w:type="dxa"/>
            <w:tcBorders>
              <w:bottom w:val="single" w:sz="4" w:space="0" w:color="000000"/>
            </w:tcBorders>
          </w:tcPr>
          <w:p>
            <w:pPr>
              <w:pStyle w:val="TableParagraph"/>
              <w:spacing w:line="240" w:lineRule="auto"/>
              <w:ind w:left="104"/>
              <w:rPr>
                <w:sz w:val="16"/>
              </w:rPr>
            </w:pPr>
            <w:r>
              <w:rPr>
                <w:sz w:val="16"/>
              </w:rPr>
              <w:t>10.1</w:t>
            </w:r>
          </w:p>
        </w:tc>
        <w:tc>
          <w:tcPr>
            <w:tcW w:w="687" w:type="dxa"/>
            <w:tcBorders>
              <w:bottom w:val="single" w:sz="4" w:space="0" w:color="000000"/>
            </w:tcBorders>
          </w:tcPr>
          <w:p>
            <w:pPr>
              <w:pStyle w:val="TableParagraph"/>
              <w:spacing w:line="240" w:lineRule="auto"/>
              <w:ind w:left="16"/>
              <w:jc w:val="center"/>
              <w:rPr>
                <w:sz w:val="16"/>
              </w:rPr>
            </w:pPr>
            <w:r>
              <w:rPr>
                <w:w w:val="99"/>
                <w:sz w:val="16"/>
              </w:rPr>
              <w:t>2</w:t>
            </w:r>
          </w:p>
        </w:tc>
        <w:tc>
          <w:tcPr>
            <w:tcW w:w="548" w:type="dxa"/>
            <w:tcBorders>
              <w:bottom w:val="single" w:sz="4" w:space="0" w:color="000000"/>
            </w:tcBorders>
          </w:tcPr>
          <w:p>
            <w:pPr>
              <w:pStyle w:val="TableParagraph"/>
              <w:spacing w:line="240" w:lineRule="auto"/>
              <w:ind w:right="92"/>
              <w:jc w:val="right"/>
              <w:rPr>
                <w:sz w:val="16"/>
              </w:rPr>
            </w:pPr>
            <w:r>
              <w:rPr>
                <w:w w:val="95"/>
                <w:sz w:val="16"/>
              </w:rPr>
              <w:t>18.1</w:t>
            </w:r>
          </w:p>
        </w:tc>
        <w:tc>
          <w:tcPr>
            <w:tcW w:w="523" w:type="dxa"/>
            <w:tcBorders>
              <w:bottom w:val="single" w:sz="4" w:space="0" w:color="000000"/>
            </w:tcBorders>
          </w:tcPr>
          <w:p>
            <w:pPr>
              <w:pStyle w:val="TableParagraph"/>
              <w:spacing w:line="240" w:lineRule="auto"/>
              <w:ind w:left="92"/>
              <w:rPr>
                <w:sz w:val="16"/>
              </w:rPr>
            </w:pPr>
            <w:r>
              <w:rPr>
                <w:sz w:val="16"/>
              </w:rPr>
              <w:t>12.3</w:t>
            </w:r>
          </w:p>
        </w:tc>
        <w:tc>
          <w:tcPr>
            <w:tcW w:w="699" w:type="dxa"/>
            <w:tcBorders>
              <w:bottom w:val="single" w:sz="4" w:space="0" w:color="000000"/>
            </w:tcBorders>
          </w:tcPr>
          <w:p>
            <w:pPr>
              <w:pStyle w:val="TableParagraph"/>
              <w:spacing w:line="240" w:lineRule="auto"/>
              <w:ind w:right="136"/>
              <w:jc w:val="right"/>
              <w:rPr>
                <w:sz w:val="16"/>
              </w:rPr>
            </w:pPr>
            <w:r>
              <w:rPr>
                <w:w w:val="115"/>
                <w:sz w:val="16"/>
              </w:rPr>
              <w:t>25.8</w:t>
            </w:r>
          </w:p>
        </w:tc>
      </w:tr>
    </w:tbl>
    <w:p>
      <w:pPr>
        <w:spacing w:before="84"/>
        <w:ind w:left="865" w:right="0" w:firstLine="0"/>
        <w:jc w:val="left"/>
        <w:rPr>
          <w:sz w:val="16"/>
        </w:rPr>
      </w:pPr>
      <w:r>
        <w:rPr/>
        <w:pict>
          <v:line style="position:absolute;mso-position-horizontal-relative:page;mso-position-vertical-relative:paragraph;z-index:-35512" from="139.761993pt,-246.093323pt" to="223.874993pt,-246.093323pt" stroked="true" strokeweight=".249pt" strokecolor="#000000">
            <v:stroke dashstyle="solid"/>
            <w10:wrap type="none"/>
          </v:line>
        </w:pict>
      </w:r>
      <w:r>
        <w:rPr/>
        <w:pict>
          <v:line style="position:absolute;mso-position-horizontal-relative:page;mso-position-vertical-relative:paragraph;z-index:-35488" from="230.697998pt,-246.093323pt" to="311.705998pt,-246.093323pt" stroked="true" strokeweight=".249pt" strokecolor="#000000">
            <v:stroke dashstyle="solid"/>
            <w10:wrap type="none"/>
          </v:line>
        </w:pict>
      </w:r>
      <w:r>
        <w:rPr/>
        <w:pict>
          <v:line style="position:absolute;mso-position-horizontal-relative:page;mso-position-vertical-relative:paragraph;z-index:-35464" from="48.291pt,-228.132324pt" to="311.706pt,-228.132324pt" stroked="true" strokeweight=".249pt" strokecolor="#000000">
            <v:stroke dashstyle="solid"/>
            <w10:wrap type="none"/>
          </v:line>
        </w:pict>
      </w:r>
      <w:r>
        <w:rPr>
          <w:i/>
          <w:sz w:val="16"/>
        </w:rPr>
        <w:t>Source. </w:t>
      </w:r>
      <w:r>
        <w:rPr>
          <w:sz w:val="16"/>
        </w:rPr>
        <w:t>U.S. Census, PUMS, 1980, 1990.</w:t>
      </w:r>
    </w:p>
    <w:p>
      <w:pPr>
        <w:pStyle w:val="BodyText"/>
      </w:pPr>
    </w:p>
    <w:p>
      <w:pPr>
        <w:pStyle w:val="BodyText"/>
        <w:spacing w:before="10"/>
        <w:rPr>
          <w:sz w:val="17"/>
        </w:rPr>
      </w:pPr>
    </w:p>
    <w:p>
      <w:pPr>
        <w:pStyle w:val="BodyText"/>
        <w:spacing w:line="249" w:lineRule="auto" w:before="92"/>
        <w:ind w:left="107"/>
      </w:pPr>
      <w:r>
        <w:rPr/>
        <w:t>who was most likely to enjoy generous housing circumstances, and how such possibilities changed over the decade.</w:t>
      </w:r>
    </w:p>
    <w:p>
      <w:pPr>
        <w:pStyle w:val="BodyText"/>
        <w:spacing w:line="249" w:lineRule="auto"/>
        <w:ind w:left="107" w:right="123" w:firstLine="199"/>
        <w:jc w:val="both"/>
      </w:pPr>
      <w:r>
        <w:rPr>
          <w:spacing w:val="-4"/>
        </w:rPr>
        <w:t>Young </w:t>
      </w:r>
      <w:r>
        <w:rPr/>
        <w:t>people, under age 25, had the highest rates of precarious housing status in</w:t>
      </w:r>
      <w:r>
        <w:rPr>
          <w:spacing w:val="-7"/>
        </w:rPr>
        <w:t> </w:t>
      </w:r>
      <w:r>
        <w:rPr/>
        <w:t>1980,</w:t>
      </w:r>
      <w:r>
        <w:rPr>
          <w:spacing w:val="-6"/>
        </w:rPr>
        <w:t> </w:t>
      </w:r>
      <w:r>
        <w:rPr/>
        <w:t>and</w:t>
      </w:r>
      <w:r>
        <w:rPr>
          <w:spacing w:val="-7"/>
        </w:rPr>
        <w:t> </w:t>
      </w:r>
      <w:r>
        <w:rPr/>
        <w:t>this</w:t>
      </w:r>
      <w:r>
        <w:rPr>
          <w:spacing w:val="-6"/>
        </w:rPr>
        <w:t> </w:t>
      </w:r>
      <w:r>
        <w:rPr/>
        <w:t>age</w:t>
      </w:r>
      <w:r>
        <w:rPr>
          <w:spacing w:val="-6"/>
        </w:rPr>
        <w:t> </w:t>
      </w:r>
      <w:r>
        <w:rPr/>
        <w:t>group’s</w:t>
      </w:r>
      <w:r>
        <w:rPr>
          <w:spacing w:val="-7"/>
        </w:rPr>
        <w:t> </w:t>
      </w:r>
      <w:r>
        <w:rPr/>
        <w:t>risk</w:t>
      </w:r>
      <w:r>
        <w:rPr>
          <w:spacing w:val="-6"/>
        </w:rPr>
        <w:t> </w:t>
      </w:r>
      <w:r>
        <w:rPr/>
        <w:t>increased</w:t>
      </w:r>
      <w:r>
        <w:rPr>
          <w:spacing w:val="-6"/>
        </w:rPr>
        <w:t> </w:t>
      </w:r>
      <w:r>
        <w:rPr/>
        <w:t>by</w:t>
      </w:r>
      <w:r>
        <w:rPr>
          <w:spacing w:val="-7"/>
        </w:rPr>
        <w:t> </w:t>
      </w:r>
      <w:r>
        <w:rPr/>
        <w:t>5</w:t>
      </w:r>
      <w:r>
        <w:rPr>
          <w:spacing w:val="-6"/>
        </w:rPr>
        <w:t> </w:t>
      </w:r>
      <w:r>
        <w:rPr/>
        <w:t>percentage</w:t>
      </w:r>
      <w:r>
        <w:rPr>
          <w:spacing w:val="-6"/>
        </w:rPr>
        <w:t> </w:t>
      </w:r>
      <w:r>
        <w:rPr/>
        <w:t>points</w:t>
      </w:r>
      <w:r>
        <w:rPr>
          <w:spacing w:val="-7"/>
        </w:rPr>
        <w:t> </w:t>
      </w:r>
      <w:r>
        <w:rPr/>
        <w:t>over</w:t>
      </w:r>
      <w:r>
        <w:rPr>
          <w:spacing w:val="-6"/>
        </w:rPr>
        <w:t> </w:t>
      </w:r>
      <w:r>
        <w:rPr/>
        <w:t>the</w:t>
      </w:r>
      <w:r>
        <w:rPr>
          <w:spacing w:val="-6"/>
        </w:rPr>
        <w:t> </w:t>
      </w:r>
      <w:r>
        <w:rPr>
          <w:spacing w:val="-4"/>
        </w:rPr>
        <w:t>1980s </w:t>
      </w:r>
      <w:r>
        <w:rPr/>
        <w:t>ending at a level higher than the national rate. The rates faced by householders</w:t>
      </w:r>
      <w:r>
        <w:rPr>
          <w:spacing w:val="-30"/>
        </w:rPr>
        <w:t> </w:t>
      </w:r>
      <w:r>
        <w:rPr>
          <w:spacing w:val="-6"/>
        </w:rPr>
        <w:t>in </w:t>
      </w:r>
      <w:r>
        <w:rPr/>
        <w:t>their</w:t>
      </w:r>
      <w:r>
        <w:rPr>
          <w:spacing w:val="-7"/>
        </w:rPr>
        <w:t> </w:t>
      </w:r>
      <w:r>
        <w:rPr/>
        <w:t>twenties,</w:t>
      </w:r>
      <w:r>
        <w:rPr>
          <w:spacing w:val="-7"/>
        </w:rPr>
        <w:t> </w:t>
      </w:r>
      <w:r>
        <w:rPr/>
        <w:t>grew</w:t>
      </w:r>
      <w:r>
        <w:rPr>
          <w:spacing w:val="-7"/>
        </w:rPr>
        <w:t> </w:t>
      </w:r>
      <w:r>
        <w:rPr/>
        <w:t>much</w:t>
      </w:r>
      <w:r>
        <w:rPr>
          <w:spacing w:val="-7"/>
        </w:rPr>
        <w:t> </w:t>
      </w:r>
      <w:r>
        <w:rPr/>
        <w:t>faster</w:t>
      </w:r>
      <w:r>
        <w:rPr>
          <w:spacing w:val="-7"/>
        </w:rPr>
        <w:t> </w:t>
      </w:r>
      <w:r>
        <w:rPr/>
        <w:t>in</w:t>
      </w:r>
      <w:r>
        <w:rPr>
          <w:spacing w:val="-7"/>
        </w:rPr>
        <w:t> </w:t>
      </w:r>
      <w:r>
        <w:rPr/>
        <w:t>Los</w:t>
      </w:r>
      <w:r>
        <w:rPr>
          <w:spacing w:val="-18"/>
        </w:rPr>
        <w:t> </w:t>
      </w:r>
      <w:r>
        <w:rPr/>
        <w:t>Angeles</w:t>
      </w:r>
      <w:r>
        <w:rPr>
          <w:spacing w:val="-7"/>
        </w:rPr>
        <w:t> </w:t>
      </w:r>
      <w:r>
        <w:rPr/>
        <w:t>than</w:t>
      </w:r>
      <w:r>
        <w:rPr>
          <w:spacing w:val="-7"/>
        </w:rPr>
        <w:t> </w:t>
      </w:r>
      <w:r>
        <w:rPr/>
        <w:t>nationally,</w:t>
      </w:r>
      <w:r>
        <w:rPr>
          <w:spacing w:val="-7"/>
        </w:rPr>
        <w:t> </w:t>
      </w:r>
      <w:r>
        <w:rPr/>
        <w:t>and</w:t>
      </w:r>
      <w:r>
        <w:rPr>
          <w:spacing w:val="-7"/>
        </w:rPr>
        <w:t> </w:t>
      </w:r>
      <w:r>
        <w:rPr/>
        <w:t>rates</w:t>
      </w:r>
      <w:r>
        <w:rPr>
          <w:spacing w:val="-7"/>
        </w:rPr>
        <w:t> </w:t>
      </w:r>
      <w:r>
        <w:rPr/>
        <w:t>rose</w:t>
      </w:r>
      <w:r>
        <w:rPr>
          <w:spacing w:val="-7"/>
        </w:rPr>
        <w:t> </w:t>
      </w:r>
      <w:r>
        <w:rPr/>
        <w:t>for each group until the age 65 group. The only age groups whose chances of generous housing circumstances improved were the over 65 categories, and</w:t>
      </w:r>
      <w:r>
        <w:rPr>
          <w:spacing w:val="-13"/>
        </w:rPr>
        <w:t> </w:t>
      </w:r>
      <w:r>
        <w:rPr/>
        <w:t>rates for younger and especially middle-aged groups fell far faster than was the </w:t>
      </w:r>
      <w:r>
        <w:rPr>
          <w:spacing w:val="-4"/>
        </w:rPr>
        <w:t>case </w:t>
      </w:r>
      <w:r>
        <w:rPr/>
        <w:t>nationally </w:t>
      </w:r>
      <w:r>
        <w:rPr>
          <w:spacing w:val="-3"/>
        </w:rPr>
        <w:t>(Table</w:t>
      </w:r>
      <w:r>
        <w:rPr>
          <w:spacing w:val="-8"/>
        </w:rPr>
        <w:t> </w:t>
      </w:r>
      <w:r>
        <w:rPr/>
        <w:t>4).</w:t>
      </w:r>
    </w:p>
    <w:p>
      <w:pPr>
        <w:pStyle w:val="BodyText"/>
        <w:spacing w:line="249" w:lineRule="auto" w:before="3"/>
        <w:ind w:left="107" w:right="124" w:firstLine="199"/>
        <w:jc w:val="both"/>
      </w:pPr>
      <w:r>
        <w:rPr/>
        <w:t>Married couples had the lowest precarious housing and the highest generous housing rates in 1980, and their prospects for becoming generously housed grew over the decade. In contrast, female-headed households had the highest rate of precarious housing status, and their risks grew: almost 20% of all female-headed households were at the lowest margins of the housing status distribution by 1990 (compared to 15% nationally). Male-headed households had lower rates of precariousness in 1980, but faster growth in risk; male-headed households also</w:t>
      </w:r>
    </w:p>
    <w:p>
      <w:pPr>
        <w:spacing w:after="0" w:line="249" w:lineRule="auto"/>
        <w:jc w:val="both"/>
        <w:sectPr>
          <w:pgSz w:w="7120" w:h="11820"/>
          <w:pgMar w:header="294" w:footer="0" w:top="500" w:bottom="280" w:left="260" w:right="160"/>
        </w:sectPr>
      </w:pPr>
    </w:p>
    <w:p>
      <w:pPr>
        <w:pStyle w:val="BodyText"/>
        <w:spacing w:before="10"/>
        <w:rPr>
          <w:sz w:val="26"/>
        </w:rPr>
      </w:pPr>
    </w:p>
    <w:p>
      <w:pPr>
        <w:pStyle w:val="BodyText"/>
        <w:ind w:left="346"/>
      </w:pPr>
      <w:r>
        <w:rPr/>
        <w:drawing>
          <wp:inline distT="0" distB="0" distL="0" distR="0">
            <wp:extent cx="3815791" cy="2091689"/>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3815791" cy="2091689"/>
                    </a:xfrm>
                    <a:prstGeom prst="rect">
                      <a:avLst/>
                    </a:prstGeom>
                  </pic:spPr>
                </pic:pic>
              </a:graphicData>
            </a:graphic>
          </wp:inline>
        </w:drawing>
      </w:r>
      <w:r>
        <w:rPr/>
      </w:r>
    </w:p>
    <w:p>
      <w:pPr>
        <w:spacing w:before="72"/>
        <w:ind w:left="537" w:right="0" w:firstLine="0"/>
        <w:jc w:val="left"/>
        <w:rPr>
          <w:sz w:val="16"/>
        </w:rPr>
      </w:pPr>
      <w:r>
        <w:rPr>
          <w:sz w:val="16"/>
        </w:rPr>
        <w:t>F</w:t>
      </w:r>
      <w:r>
        <w:rPr>
          <w:sz w:val="12"/>
        </w:rPr>
        <w:t>IG</w:t>
      </w:r>
      <w:r>
        <w:rPr>
          <w:sz w:val="16"/>
        </w:rPr>
        <w:t>. 4. Trajectories of precariously housed in Los Angeles County by age: 1980–1990.</w:t>
      </w:r>
    </w:p>
    <w:p>
      <w:pPr>
        <w:pStyle w:val="BodyText"/>
      </w:pPr>
    </w:p>
    <w:p>
      <w:pPr>
        <w:pStyle w:val="BodyText"/>
      </w:pPr>
    </w:p>
    <w:p>
      <w:pPr>
        <w:pStyle w:val="BodyText"/>
        <w:spacing w:line="249" w:lineRule="auto" w:before="91"/>
        <w:ind w:left="107"/>
      </w:pPr>
      <w:r>
        <w:rPr/>
        <w:t>faced dropping prospects for becoming generously housed, their rate falling from 24% to less than 15%, faster than any other group.</w:t>
      </w:r>
    </w:p>
    <w:p>
      <w:pPr>
        <w:pStyle w:val="BodyText"/>
        <w:spacing w:line="249" w:lineRule="auto" w:before="1"/>
        <w:ind w:left="107" w:right="123" w:firstLine="199"/>
        <w:jc w:val="both"/>
      </w:pPr>
      <w:r>
        <w:rPr/>
        <w:t>With respect to race/ethnicity, African American households had the highest rates</w:t>
      </w:r>
      <w:r>
        <w:rPr>
          <w:spacing w:val="-6"/>
        </w:rPr>
        <w:t> </w:t>
      </w:r>
      <w:r>
        <w:rPr/>
        <w:t>of</w:t>
      </w:r>
      <w:r>
        <w:rPr>
          <w:spacing w:val="-6"/>
        </w:rPr>
        <w:t> </w:t>
      </w:r>
      <w:r>
        <w:rPr/>
        <w:t>precariously</w:t>
      </w:r>
      <w:r>
        <w:rPr>
          <w:spacing w:val="-6"/>
        </w:rPr>
        <w:t> </w:t>
      </w:r>
      <w:r>
        <w:rPr/>
        <w:t>housing</w:t>
      </w:r>
      <w:r>
        <w:rPr>
          <w:spacing w:val="-6"/>
        </w:rPr>
        <w:t> </w:t>
      </w:r>
      <w:r>
        <w:rPr/>
        <w:t>status</w:t>
      </w:r>
      <w:r>
        <w:rPr>
          <w:spacing w:val="-6"/>
        </w:rPr>
        <w:t> </w:t>
      </w:r>
      <w:r>
        <w:rPr/>
        <w:t>in</w:t>
      </w:r>
      <w:r>
        <w:rPr>
          <w:spacing w:val="-6"/>
        </w:rPr>
        <w:t> </w:t>
      </w:r>
      <w:r>
        <w:rPr/>
        <w:t>1980</w:t>
      </w:r>
      <w:r>
        <w:rPr>
          <w:spacing w:val="-6"/>
        </w:rPr>
        <w:t> </w:t>
      </w:r>
      <w:r>
        <w:rPr/>
        <w:t>and</w:t>
      </w:r>
      <w:r>
        <w:rPr>
          <w:spacing w:val="-6"/>
        </w:rPr>
        <w:t> </w:t>
      </w:r>
      <w:r>
        <w:rPr/>
        <w:t>their</w:t>
      </w:r>
      <w:r>
        <w:rPr>
          <w:spacing w:val="-6"/>
        </w:rPr>
        <w:t> </w:t>
      </w:r>
      <w:r>
        <w:rPr/>
        <w:t>risks</w:t>
      </w:r>
      <w:r>
        <w:rPr>
          <w:spacing w:val="-6"/>
        </w:rPr>
        <w:t> </w:t>
      </w:r>
      <w:r>
        <w:rPr/>
        <w:t>increased</w:t>
      </w:r>
      <w:r>
        <w:rPr>
          <w:spacing w:val="-6"/>
        </w:rPr>
        <w:t> </w:t>
      </w:r>
      <w:r>
        <w:rPr/>
        <w:t>the</w:t>
      </w:r>
      <w:r>
        <w:rPr>
          <w:spacing w:val="-6"/>
        </w:rPr>
        <w:t> </w:t>
      </w:r>
      <w:r>
        <w:rPr/>
        <w:t>fastest</w:t>
      </w:r>
      <w:r>
        <w:rPr>
          <w:spacing w:val="-6"/>
        </w:rPr>
        <w:t> </w:t>
      </w:r>
      <w:r>
        <w:rPr/>
        <w:t>of any</w:t>
      </w:r>
      <w:r>
        <w:rPr>
          <w:spacing w:val="-6"/>
        </w:rPr>
        <w:t> </w:t>
      </w:r>
      <w:r>
        <w:rPr/>
        <w:t>other</w:t>
      </w:r>
      <w:r>
        <w:rPr>
          <w:spacing w:val="-5"/>
        </w:rPr>
        <w:t> </w:t>
      </w:r>
      <w:r>
        <w:rPr/>
        <w:t>racial/ethnic</w:t>
      </w:r>
      <w:r>
        <w:rPr>
          <w:spacing w:val="-5"/>
        </w:rPr>
        <w:t> </w:t>
      </w:r>
      <w:r>
        <w:rPr/>
        <w:t>group.</w:t>
      </w:r>
      <w:r>
        <w:rPr>
          <w:spacing w:val="-5"/>
        </w:rPr>
        <w:t> </w:t>
      </w:r>
      <w:r>
        <w:rPr/>
        <w:t>Rates</w:t>
      </w:r>
      <w:r>
        <w:rPr>
          <w:spacing w:val="-6"/>
        </w:rPr>
        <w:t> </w:t>
      </w:r>
      <w:r>
        <w:rPr/>
        <w:t>of</w:t>
      </w:r>
      <w:r>
        <w:rPr>
          <w:spacing w:val="-5"/>
        </w:rPr>
        <w:t> </w:t>
      </w:r>
      <w:r>
        <w:rPr/>
        <w:t>generous</w:t>
      </w:r>
      <w:r>
        <w:rPr>
          <w:spacing w:val="-5"/>
        </w:rPr>
        <w:t> </w:t>
      </w:r>
      <w:r>
        <w:rPr/>
        <w:t>housing</w:t>
      </w:r>
      <w:r>
        <w:rPr>
          <w:spacing w:val="-5"/>
        </w:rPr>
        <w:t> </w:t>
      </w:r>
      <w:r>
        <w:rPr/>
        <w:t>fell</w:t>
      </w:r>
      <w:r>
        <w:rPr>
          <w:spacing w:val="-6"/>
        </w:rPr>
        <w:t> </w:t>
      </w:r>
      <w:r>
        <w:rPr/>
        <w:t>for</w:t>
      </w:r>
      <w:r>
        <w:rPr>
          <w:spacing w:val="-5"/>
        </w:rPr>
        <w:t> </w:t>
      </w:r>
      <w:r>
        <w:rPr/>
        <w:t>all</w:t>
      </w:r>
      <w:r>
        <w:rPr>
          <w:spacing w:val="-5"/>
        </w:rPr>
        <w:t> </w:t>
      </w:r>
      <w:r>
        <w:rPr/>
        <w:t>race/ethnicity groups, but the steepest drop was among Asians who started out above </w:t>
      </w:r>
      <w:r>
        <w:rPr>
          <w:spacing w:val="-6"/>
        </w:rPr>
        <w:t>the </w:t>
      </w:r>
      <w:r>
        <w:rPr/>
        <w:t>national rate but fell more than twice the national rate to end up lower in 1990 in Los Angeles than the country as a whole. Lastly, recent immigrants had </w:t>
      </w:r>
      <w:r>
        <w:rPr>
          <w:spacing w:val="-5"/>
        </w:rPr>
        <w:t>the </w:t>
      </w:r>
      <w:r>
        <w:rPr/>
        <w:t>highest</w:t>
      </w:r>
      <w:r>
        <w:rPr>
          <w:spacing w:val="-8"/>
        </w:rPr>
        <w:t> </w:t>
      </w:r>
      <w:r>
        <w:rPr/>
        <w:t>rates</w:t>
      </w:r>
      <w:r>
        <w:rPr>
          <w:spacing w:val="-8"/>
        </w:rPr>
        <w:t> </w:t>
      </w:r>
      <w:r>
        <w:rPr/>
        <w:t>of</w:t>
      </w:r>
      <w:r>
        <w:rPr>
          <w:spacing w:val="-8"/>
        </w:rPr>
        <w:t> </w:t>
      </w:r>
      <w:r>
        <w:rPr/>
        <w:t>precarious</w:t>
      </w:r>
      <w:r>
        <w:rPr>
          <w:spacing w:val="-8"/>
        </w:rPr>
        <w:t> </w:t>
      </w:r>
      <w:r>
        <w:rPr/>
        <w:t>housing</w:t>
      </w:r>
      <w:r>
        <w:rPr>
          <w:spacing w:val="-7"/>
        </w:rPr>
        <w:t> </w:t>
      </w:r>
      <w:r>
        <w:rPr/>
        <w:t>status</w:t>
      </w:r>
      <w:r>
        <w:rPr>
          <w:spacing w:val="-8"/>
        </w:rPr>
        <w:t> </w:t>
      </w:r>
      <w:r>
        <w:rPr/>
        <w:t>in</w:t>
      </w:r>
      <w:r>
        <w:rPr>
          <w:spacing w:val="-8"/>
        </w:rPr>
        <w:t> </w:t>
      </w:r>
      <w:r>
        <w:rPr/>
        <w:t>1980,</w:t>
      </w:r>
      <w:r>
        <w:rPr>
          <w:spacing w:val="-8"/>
        </w:rPr>
        <w:t> </w:t>
      </w:r>
      <w:r>
        <w:rPr/>
        <w:t>and</w:t>
      </w:r>
      <w:r>
        <w:rPr>
          <w:spacing w:val="-7"/>
        </w:rPr>
        <w:t> </w:t>
      </w:r>
      <w:r>
        <w:rPr/>
        <w:t>saw</w:t>
      </w:r>
      <w:r>
        <w:rPr>
          <w:spacing w:val="-8"/>
        </w:rPr>
        <w:t> </w:t>
      </w:r>
      <w:r>
        <w:rPr/>
        <w:t>their</w:t>
      </w:r>
      <w:r>
        <w:rPr>
          <w:spacing w:val="-8"/>
        </w:rPr>
        <w:t> </w:t>
      </w:r>
      <w:r>
        <w:rPr/>
        <w:t>risks</w:t>
      </w:r>
      <w:r>
        <w:rPr>
          <w:spacing w:val="-8"/>
        </w:rPr>
        <w:t> </w:t>
      </w:r>
      <w:r>
        <w:rPr/>
        <w:t>rise</w:t>
      </w:r>
      <w:r>
        <w:rPr>
          <w:spacing w:val="-7"/>
        </w:rPr>
        <w:t> </w:t>
      </w:r>
      <w:r>
        <w:rPr/>
        <w:t>from</w:t>
      </w:r>
      <w:r>
        <w:rPr>
          <w:spacing w:val="-8"/>
        </w:rPr>
        <w:t> </w:t>
      </w:r>
      <w:r>
        <w:rPr>
          <w:spacing w:val="-6"/>
        </w:rPr>
        <w:t>13 </w:t>
      </w:r>
      <w:r>
        <w:rPr/>
        <w:t>to</w:t>
      </w:r>
      <w:r>
        <w:rPr>
          <w:spacing w:val="-5"/>
        </w:rPr>
        <w:t> </w:t>
      </w:r>
      <w:r>
        <w:rPr/>
        <w:t>19%</w:t>
      </w:r>
      <w:r>
        <w:rPr>
          <w:spacing w:val="-5"/>
        </w:rPr>
        <w:t> </w:t>
      </w:r>
      <w:r>
        <w:rPr/>
        <w:t>over</w:t>
      </w:r>
      <w:r>
        <w:rPr>
          <w:spacing w:val="-5"/>
        </w:rPr>
        <w:t> </w:t>
      </w:r>
      <w:r>
        <w:rPr/>
        <w:t>the</w:t>
      </w:r>
      <w:r>
        <w:rPr>
          <w:spacing w:val="-5"/>
        </w:rPr>
        <w:t> </w:t>
      </w:r>
      <w:r>
        <w:rPr/>
        <w:t>decade,</w:t>
      </w:r>
      <w:r>
        <w:rPr>
          <w:spacing w:val="-5"/>
        </w:rPr>
        <w:t> </w:t>
      </w:r>
      <w:r>
        <w:rPr/>
        <w:t>a</w:t>
      </w:r>
      <w:r>
        <w:rPr>
          <w:spacing w:val="-5"/>
        </w:rPr>
        <w:t> </w:t>
      </w:r>
      <w:r>
        <w:rPr/>
        <w:t>level</w:t>
      </w:r>
      <w:r>
        <w:rPr>
          <w:spacing w:val="-5"/>
        </w:rPr>
        <w:t> </w:t>
      </w:r>
      <w:r>
        <w:rPr/>
        <w:t>and</w:t>
      </w:r>
      <w:r>
        <w:rPr>
          <w:spacing w:val="-4"/>
        </w:rPr>
        <w:t> </w:t>
      </w:r>
      <w:r>
        <w:rPr/>
        <w:t>growth</w:t>
      </w:r>
      <w:r>
        <w:rPr>
          <w:spacing w:val="-5"/>
        </w:rPr>
        <w:t> </w:t>
      </w:r>
      <w:r>
        <w:rPr/>
        <w:t>rate</w:t>
      </w:r>
      <w:r>
        <w:rPr>
          <w:spacing w:val="-5"/>
        </w:rPr>
        <w:t> </w:t>
      </w:r>
      <w:r>
        <w:rPr/>
        <w:t>above</w:t>
      </w:r>
      <w:r>
        <w:rPr>
          <w:spacing w:val="-5"/>
        </w:rPr>
        <w:t> </w:t>
      </w:r>
      <w:r>
        <w:rPr/>
        <w:t>the</w:t>
      </w:r>
      <w:r>
        <w:rPr>
          <w:spacing w:val="-5"/>
        </w:rPr>
        <w:t> </w:t>
      </w:r>
      <w:r>
        <w:rPr/>
        <w:t>national</w:t>
      </w:r>
      <w:r>
        <w:rPr>
          <w:spacing w:val="-5"/>
        </w:rPr>
        <w:t> </w:t>
      </w:r>
      <w:r>
        <w:rPr/>
        <w:t>average.</w:t>
      </w:r>
      <w:r>
        <w:rPr>
          <w:spacing w:val="-5"/>
        </w:rPr>
        <w:t> </w:t>
      </w:r>
      <w:r>
        <w:rPr>
          <w:spacing w:val="-3"/>
        </w:rPr>
        <w:t>More </w:t>
      </w:r>
      <w:r>
        <w:rPr/>
        <w:t>established immigrant groups, in contrast, suffered the most rapid decline </w:t>
      </w:r>
      <w:r>
        <w:rPr>
          <w:spacing w:val="-9"/>
        </w:rPr>
        <w:t>in </w:t>
      </w:r>
      <w:r>
        <w:rPr/>
        <w:t>chances</w:t>
      </w:r>
      <w:r>
        <w:rPr>
          <w:spacing w:val="-13"/>
        </w:rPr>
        <w:t> </w:t>
      </w:r>
      <w:r>
        <w:rPr/>
        <w:t>of</w:t>
      </w:r>
      <w:r>
        <w:rPr>
          <w:spacing w:val="-12"/>
        </w:rPr>
        <w:t> </w:t>
      </w:r>
      <w:r>
        <w:rPr/>
        <w:t>becoming</w:t>
      </w:r>
      <w:r>
        <w:rPr>
          <w:spacing w:val="-13"/>
        </w:rPr>
        <w:t> </w:t>
      </w:r>
      <w:r>
        <w:rPr/>
        <w:t>generously</w:t>
      </w:r>
      <w:r>
        <w:rPr>
          <w:spacing w:val="-12"/>
        </w:rPr>
        <w:t> </w:t>
      </w:r>
      <w:r>
        <w:rPr/>
        <w:t>housed—much</w:t>
      </w:r>
      <w:r>
        <w:rPr>
          <w:spacing w:val="-13"/>
        </w:rPr>
        <w:t> </w:t>
      </w:r>
      <w:r>
        <w:rPr/>
        <w:t>more</w:t>
      </w:r>
      <w:r>
        <w:rPr>
          <w:spacing w:val="-12"/>
        </w:rPr>
        <w:t> </w:t>
      </w:r>
      <w:r>
        <w:rPr/>
        <w:t>rapid</w:t>
      </w:r>
      <w:r>
        <w:rPr>
          <w:spacing w:val="-13"/>
        </w:rPr>
        <w:t> </w:t>
      </w:r>
      <w:r>
        <w:rPr/>
        <w:t>than</w:t>
      </w:r>
      <w:r>
        <w:rPr>
          <w:spacing w:val="-12"/>
        </w:rPr>
        <w:t> </w:t>
      </w:r>
      <w:r>
        <w:rPr/>
        <w:t>such</w:t>
      </w:r>
      <w:r>
        <w:rPr>
          <w:spacing w:val="-13"/>
        </w:rPr>
        <w:t> </w:t>
      </w:r>
      <w:r>
        <w:rPr/>
        <w:t>immigrants in the nation</w:t>
      </w:r>
      <w:r>
        <w:rPr>
          <w:spacing w:val="-13"/>
        </w:rPr>
        <w:t> </w:t>
      </w:r>
      <w:r>
        <w:rPr/>
        <w:t>overall.</w:t>
      </w:r>
    </w:p>
    <w:p>
      <w:pPr>
        <w:pStyle w:val="BodyText"/>
        <w:spacing w:line="249" w:lineRule="auto" w:before="3"/>
        <w:ind w:left="107" w:right="114" w:firstLine="199"/>
        <w:jc w:val="both"/>
      </w:pPr>
      <w:r>
        <w:rPr/>
        <w:t>An analysis of age-specific risks of becoming precariously or</w:t>
      </w:r>
      <w:r>
        <w:rPr>
          <w:spacing w:val="23"/>
        </w:rPr>
        <w:t> </w:t>
      </w:r>
      <w:r>
        <w:rPr/>
        <w:t>generously housed reveals how individual cohorts fared over the decade and highlights the radical</w:t>
      </w:r>
      <w:r>
        <w:rPr>
          <w:spacing w:val="-9"/>
        </w:rPr>
        <w:t> </w:t>
      </w:r>
      <w:r>
        <w:rPr/>
        <w:t>generation</w:t>
      </w:r>
      <w:r>
        <w:rPr>
          <w:spacing w:val="-8"/>
        </w:rPr>
        <w:t> </w:t>
      </w:r>
      <w:r>
        <w:rPr/>
        <w:t>gap</w:t>
      </w:r>
      <w:r>
        <w:rPr>
          <w:spacing w:val="-8"/>
        </w:rPr>
        <w:t> </w:t>
      </w:r>
      <w:r>
        <w:rPr/>
        <w:t>operating</w:t>
      </w:r>
      <w:r>
        <w:rPr>
          <w:spacing w:val="-8"/>
        </w:rPr>
        <w:t> </w:t>
      </w:r>
      <w:r>
        <w:rPr/>
        <w:t>in</w:t>
      </w:r>
      <w:r>
        <w:rPr>
          <w:spacing w:val="-8"/>
        </w:rPr>
        <w:t> </w:t>
      </w:r>
      <w:r>
        <w:rPr/>
        <w:t>the</w:t>
      </w:r>
      <w:r>
        <w:rPr>
          <w:spacing w:val="-8"/>
        </w:rPr>
        <w:t> </w:t>
      </w:r>
      <w:r>
        <w:rPr/>
        <w:t>housing</w:t>
      </w:r>
      <w:r>
        <w:rPr>
          <w:spacing w:val="-9"/>
        </w:rPr>
        <w:t> </w:t>
      </w:r>
      <w:r>
        <w:rPr/>
        <w:t>status</w:t>
      </w:r>
      <w:r>
        <w:rPr>
          <w:spacing w:val="-8"/>
        </w:rPr>
        <w:t> </w:t>
      </w:r>
      <w:r>
        <w:rPr/>
        <w:t>distribution.</w:t>
      </w:r>
      <w:r>
        <w:rPr>
          <w:spacing w:val="-8"/>
        </w:rPr>
        <w:t> </w:t>
      </w:r>
      <w:r>
        <w:rPr/>
        <w:t>Like</w:t>
      </w:r>
      <w:r>
        <w:rPr>
          <w:spacing w:val="-8"/>
        </w:rPr>
        <w:t> </w:t>
      </w:r>
      <w:r>
        <w:rPr/>
        <w:t>the</w:t>
      </w:r>
      <w:r>
        <w:rPr>
          <w:spacing w:val="-8"/>
        </w:rPr>
        <w:t> </w:t>
      </w:r>
      <w:r>
        <w:rPr/>
        <w:t>nation as a whole, householders passing from the under age 25 to the 25- to 34-year-old group</w:t>
      </w:r>
      <w:r>
        <w:rPr>
          <w:spacing w:val="-5"/>
        </w:rPr>
        <w:t> </w:t>
      </w:r>
      <w:r>
        <w:rPr/>
        <w:t>over</w:t>
      </w:r>
      <w:r>
        <w:rPr>
          <w:spacing w:val="-5"/>
        </w:rPr>
        <w:t> </w:t>
      </w:r>
      <w:r>
        <w:rPr/>
        <w:t>the</w:t>
      </w:r>
      <w:r>
        <w:rPr>
          <w:spacing w:val="-5"/>
        </w:rPr>
        <w:t> </w:t>
      </w:r>
      <w:r>
        <w:rPr/>
        <w:t>course</w:t>
      </w:r>
      <w:r>
        <w:rPr>
          <w:spacing w:val="-5"/>
        </w:rPr>
        <w:t> </w:t>
      </w:r>
      <w:r>
        <w:rPr/>
        <w:t>of</w:t>
      </w:r>
      <w:r>
        <w:rPr>
          <w:spacing w:val="-5"/>
        </w:rPr>
        <w:t> </w:t>
      </w:r>
      <w:r>
        <w:rPr/>
        <w:t>the</w:t>
      </w:r>
      <w:r>
        <w:rPr>
          <w:spacing w:val="-5"/>
        </w:rPr>
        <w:t> </w:t>
      </w:r>
      <w:r>
        <w:rPr/>
        <w:t>decade</w:t>
      </w:r>
      <w:r>
        <w:rPr>
          <w:spacing w:val="-5"/>
        </w:rPr>
        <w:t> </w:t>
      </w:r>
      <w:r>
        <w:rPr/>
        <w:t>ended</w:t>
      </w:r>
      <w:r>
        <w:rPr>
          <w:spacing w:val="-5"/>
        </w:rPr>
        <w:t> </w:t>
      </w:r>
      <w:r>
        <w:rPr/>
        <w:t>up</w:t>
      </w:r>
      <w:r>
        <w:rPr>
          <w:spacing w:val="-5"/>
        </w:rPr>
        <w:t> </w:t>
      </w:r>
      <w:r>
        <w:rPr/>
        <w:t>at</w:t>
      </w:r>
      <w:r>
        <w:rPr>
          <w:spacing w:val="-4"/>
        </w:rPr>
        <w:t> </w:t>
      </w:r>
      <w:r>
        <w:rPr/>
        <w:t>greater</w:t>
      </w:r>
      <w:r>
        <w:rPr>
          <w:spacing w:val="-5"/>
        </w:rPr>
        <w:t> </w:t>
      </w:r>
      <w:r>
        <w:rPr/>
        <w:t>risk</w:t>
      </w:r>
      <w:r>
        <w:rPr>
          <w:spacing w:val="-5"/>
        </w:rPr>
        <w:t> </w:t>
      </w:r>
      <w:r>
        <w:rPr/>
        <w:t>of</w:t>
      </w:r>
      <w:r>
        <w:rPr>
          <w:spacing w:val="-5"/>
        </w:rPr>
        <w:t> </w:t>
      </w:r>
      <w:r>
        <w:rPr/>
        <w:t>being</w:t>
      </w:r>
      <w:r>
        <w:rPr>
          <w:spacing w:val="-5"/>
        </w:rPr>
        <w:t> </w:t>
      </w:r>
      <w:r>
        <w:rPr/>
        <w:t>precariously housed than those aged 25–34 had been in 1980. Given the even greater gap between the precariously housed rate among those under 25 in 1980 and 1990, this cohort will face dramatically higher risks of precarious housing status in 10 years</w:t>
      </w:r>
      <w:r>
        <w:rPr>
          <w:spacing w:val="-5"/>
        </w:rPr>
        <w:t> </w:t>
      </w:r>
      <w:r>
        <w:rPr/>
        <w:t>time</w:t>
      </w:r>
      <w:r>
        <w:rPr>
          <w:spacing w:val="-4"/>
        </w:rPr>
        <w:t> </w:t>
      </w:r>
      <w:r>
        <w:rPr/>
        <w:t>than</w:t>
      </w:r>
      <w:r>
        <w:rPr>
          <w:spacing w:val="-4"/>
        </w:rPr>
        <w:t> </w:t>
      </w:r>
      <w:r>
        <w:rPr/>
        <w:t>the</w:t>
      </w:r>
      <w:r>
        <w:rPr>
          <w:spacing w:val="-4"/>
        </w:rPr>
        <w:t> </w:t>
      </w:r>
      <w:r>
        <w:rPr/>
        <w:t>25–34</w:t>
      </w:r>
      <w:r>
        <w:rPr>
          <w:spacing w:val="-4"/>
        </w:rPr>
        <w:t> </w:t>
      </w:r>
      <w:r>
        <w:rPr/>
        <w:t>cohort</w:t>
      </w:r>
      <w:r>
        <w:rPr>
          <w:spacing w:val="-4"/>
        </w:rPr>
        <w:t> </w:t>
      </w:r>
      <w:r>
        <w:rPr/>
        <w:t>did</w:t>
      </w:r>
      <w:r>
        <w:rPr>
          <w:spacing w:val="-4"/>
        </w:rPr>
        <w:t> </w:t>
      </w:r>
      <w:r>
        <w:rPr/>
        <w:t>in</w:t>
      </w:r>
      <w:r>
        <w:rPr>
          <w:spacing w:val="-5"/>
        </w:rPr>
        <w:t> </w:t>
      </w:r>
      <w:r>
        <w:rPr/>
        <w:t>1990</w:t>
      </w:r>
      <w:r>
        <w:rPr>
          <w:spacing w:val="-4"/>
        </w:rPr>
        <w:t> </w:t>
      </w:r>
      <w:r>
        <w:rPr/>
        <w:t>(Fig.</w:t>
      </w:r>
      <w:r>
        <w:rPr>
          <w:spacing w:val="-4"/>
        </w:rPr>
        <w:t> </w:t>
      </w:r>
      <w:r>
        <w:rPr/>
        <w:t>4).</w:t>
      </w:r>
    </w:p>
    <w:p>
      <w:pPr>
        <w:pStyle w:val="BodyText"/>
        <w:spacing w:line="249" w:lineRule="auto" w:before="2"/>
        <w:ind w:left="107" w:right="125" w:firstLine="199"/>
        <w:jc w:val="both"/>
      </w:pPr>
      <w:r>
        <w:rPr/>
        <w:t>Rates of generous housing status plummeted particularly as middle-aged cohorts moved through the decade. For example, those aged 35–39 made little gain in their chances of being generous housed; their rate had barely changed by 1990, when they were aged 45–49, and was almost 15 percentage points lower than those who had been age 45–49 in 1980. Large lags characterized each</w:t>
      </w:r>
    </w:p>
    <w:p>
      <w:pPr>
        <w:spacing w:after="0" w:line="249" w:lineRule="auto"/>
        <w:jc w:val="both"/>
        <w:sectPr>
          <w:pgSz w:w="7120" w:h="11820"/>
          <w:pgMar w:header="293" w:footer="0" w:top="500" w:bottom="280" w:left="260" w:right="160"/>
        </w:sectPr>
      </w:pPr>
    </w:p>
    <w:p>
      <w:pPr>
        <w:pStyle w:val="BodyText"/>
        <w:spacing w:before="1"/>
        <w:rPr>
          <w:sz w:val="25"/>
        </w:rPr>
      </w:pPr>
    </w:p>
    <w:p>
      <w:pPr>
        <w:pStyle w:val="BodyText"/>
        <w:ind w:left="346"/>
      </w:pPr>
      <w:r>
        <w:rPr/>
        <w:drawing>
          <wp:inline distT="0" distB="0" distL="0" distR="0">
            <wp:extent cx="3804320" cy="2137410"/>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3804320" cy="2137410"/>
                    </a:xfrm>
                    <a:prstGeom prst="rect">
                      <a:avLst/>
                    </a:prstGeom>
                  </pic:spPr>
                </pic:pic>
              </a:graphicData>
            </a:graphic>
          </wp:inline>
        </w:drawing>
      </w:r>
      <w:r>
        <w:rPr/>
      </w:r>
    </w:p>
    <w:p>
      <w:pPr>
        <w:spacing w:before="81"/>
        <w:ind w:left="581" w:right="0" w:firstLine="0"/>
        <w:jc w:val="left"/>
        <w:rPr>
          <w:sz w:val="16"/>
        </w:rPr>
      </w:pPr>
      <w:r>
        <w:rPr>
          <w:sz w:val="16"/>
        </w:rPr>
        <w:t>F</w:t>
      </w:r>
      <w:r>
        <w:rPr>
          <w:sz w:val="12"/>
        </w:rPr>
        <w:t>IG</w:t>
      </w:r>
      <w:r>
        <w:rPr>
          <w:sz w:val="16"/>
        </w:rPr>
        <w:t>. 5. Trajectories of generously housed in Los Angeles County by age: 1980–1990.</w:t>
      </w:r>
    </w:p>
    <w:p>
      <w:pPr>
        <w:pStyle w:val="BodyText"/>
      </w:pPr>
    </w:p>
    <w:p>
      <w:pPr>
        <w:pStyle w:val="BodyText"/>
        <w:spacing w:before="6"/>
        <w:rPr>
          <w:sz w:val="22"/>
        </w:rPr>
      </w:pPr>
    </w:p>
    <w:p>
      <w:pPr>
        <w:pStyle w:val="BodyText"/>
        <w:spacing w:line="249" w:lineRule="auto"/>
        <w:ind w:left="107" w:right="124"/>
        <w:jc w:val="both"/>
      </w:pPr>
      <w:r>
        <w:rPr/>
        <w:t>successive</w:t>
      </w:r>
      <w:r>
        <w:rPr>
          <w:spacing w:val="-12"/>
        </w:rPr>
        <w:t> </w:t>
      </w:r>
      <w:r>
        <w:rPr/>
        <w:t>age</w:t>
      </w:r>
      <w:r>
        <w:rPr>
          <w:spacing w:val="-11"/>
        </w:rPr>
        <w:t> </w:t>
      </w:r>
      <w:r>
        <w:rPr/>
        <w:t>cohort,</w:t>
      </w:r>
      <w:r>
        <w:rPr>
          <w:spacing w:val="-11"/>
        </w:rPr>
        <w:t> </w:t>
      </w:r>
      <w:r>
        <w:rPr/>
        <w:t>diminishing</w:t>
      </w:r>
      <w:r>
        <w:rPr>
          <w:spacing w:val="-11"/>
        </w:rPr>
        <w:t> </w:t>
      </w:r>
      <w:r>
        <w:rPr/>
        <w:t>slightly</w:t>
      </w:r>
      <w:r>
        <w:rPr>
          <w:spacing w:val="-11"/>
        </w:rPr>
        <w:t> </w:t>
      </w:r>
      <w:r>
        <w:rPr/>
        <w:t>through</w:t>
      </w:r>
      <w:r>
        <w:rPr>
          <w:spacing w:val="-11"/>
        </w:rPr>
        <w:t> </w:t>
      </w:r>
      <w:r>
        <w:rPr/>
        <w:t>the</w:t>
      </w:r>
      <w:r>
        <w:rPr>
          <w:spacing w:val="-11"/>
        </w:rPr>
        <w:t> </w:t>
      </w:r>
      <w:r>
        <w:rPr/>
        <w:t>middle</w:t>
      </w:r>
      <w:r>
        <w:rPr>
          <w:spacing w:val="-11"/>
        </w:rPr>
        <w:t> </w:t>
      </w:r>
      <w:r>
        <w:rPr/>
        <w:t>aged</w:t>
      </w:r>
      <w:r>
        <w:rPr>
          <w:spacing w:val="-12"/>
        </w:rPr>
        <w:t> </w:t>
      </w:r>
      <w:r>
        <w:rPr/>
        <w:t>cohorts.</w:t>
      </w:r>
      <w:r>
        <w:rPr>
          <w:spacing w:val="-11"/>
        </w:rPr>
        <w:t> </w:t>
      </w:r>
      <w:r>
        <w:rPr>
          <w:spacing w:val="-4"/>
        </w:rPr>
        <w:t>Only </w:t>
      </w:r>
      <w:r>
        <w:rPr/>
        <w:t>those groups over 75 in 1980 faced marginally higher chances of being </w:t>
      </w:r>
      <w:r>
        <w:rPr>
          <w:spacing w:val="-4"/>
        </w:rPr>
        <w:t>gener- </w:t>
      </w:r>
      <w:r>
        <w:rPr/>
        <w:t>ously</w:t>
      </w:r>
      <w:r>
        <w:rPr>
          <w:spacing w:val="-5"/>
        </w:rPr>
        <w:t> </w:t>
      </w:r>
      <w:r>
        <w:rPr/>
        <w:t>housed</w:t>
      </w:r>
      <w:r>
        <w:rPr>
          <w:spacing w:val="-4"/>
        </w:rPr>
        <w:t> </w:t>
      </w:r>
      <w:r>
        <w:rPr/>
        <w:t>in</w:t>
      </w:r>
      <w:r>
        <w:rPr>
          <w:spacing w:val="-4"/>
        </w:rPr>
        <w:t> </w:t>
      </w:r>
      <w:r>
        <w:rPr/>
        <w:t>1990</w:t>
      </w:r>
      <w:r>
        <w:rPr>
          <w:spacing w:val="-4"/>
        </w:rPr>
        <w:t> </w:t>
      </w:r>
      <w:r>
        <w:rPr/>
        <w:t>than</w:t>
      </w:r>
      <w:r>
        <w:rPr>
          <w:spacing w:val="-4"/>
        </w:rPr>
        <w:t> </w:t>
      </w:r>
      <w:r>
        <w:rPr/>
        <w:t>they</w:t>
      </w:r>
      <w:r>
        <w:rPr>
          <w:spacing w:val="-4"/>
        </w:rPr>
        <w:t> </w:t>
      </w:r>
      <w:r>
        <w:rPr/>
        <w:t>had</w:t>
      </w:r>
      <w:r>
        <w:rPr>
          <w:spacing w:val="-4"/>
        </w:rPr>
        <w:t> </w:t>
      </w:r>
      <w:r>
        <w:rPr/>
        <w:t>in</w:t>
      </w:r>
      <w:r>
        <w:rPr>
          <w:spacing w:val="-5"/>
        </w:rPr>
        <w:t> </w:t>
      </w:r>
      <w:r>
        <w:rPr/>
        <w:t>1980</w:t>
      </w:r>
      <w:r>
        <w:rPr>
          <w:spacing w:val="-4"/>
        </w:rPr>
        <w:t> </w:t>
      </w:r>
      <w:r>
        <w:rPr/>
        <w:t>(Fig.</w:t>
      </w:r>
      <w:r>
        <w:rPr>
          <w:spacing w:val="-4"/>
        </w:rPr>
        <w:t> </w:t>
      </w:r>
      <w:r>
        <w:rPr/>
        <w:t>5).</w:t>
      </w:r>
    </w:p>
    <w:p>
      <w:pPr>
        <w:pStyle w:val="BodyText"/>
        <w:spacing w:line="249" w:lineRule="auto" w:before="1"/>
        <w:ind w:left="107" w:right="122" w:firstLine="199"/>
        <w:jc w:val="both"/>
      </w:pPr>
      <w:r>
        <w:rPr>
          <w:i/>
        </w:rPr>
        <w:t>Landscape of Los Angeles’ housing status margins. </w:t>
      </w:r>
      <w:r>
        <w:rPr/>
        <w:t>The proportion of precari- ously housed households in the region’s central cities of Los Angeles and </w:t>
      </w:r>
      <w:r>
        <w:rPr>
          <w:spacing w:val="-4"/>
        </w:rPr>
        <w:t>Long </w:t>
      </w:r>
      <w:r>
        <w:rPr/>
        <w:t>Beach rose by more than 2 percentage points over the 1980s, twice the rate of noncentral city growth. The proportion of generously housed fell in both central city and noncentral city areas, but the rate of decline was sharpest in the noncentral</w:t>
      </w:r>
      <w:r>
        <w:rPr>
          <w:spacing w:val="-9"/>
        </w:rPr>
        <w:t> </w:t>
      </w:r>
      <w:r>
        <w:rPr/>
        <w:t>city</w:t>
      </w:r>
      <w:r>
        <w:rPr>
          <w:spacing w:val="-8"/>
        </w:rPr>
        <w:t> </w:t>
      </w:r>
      <w:r>
        <w:rPr/>
        <w:t>zones</w:t>
      </w:r>
      <w:r>
        <w:rPr>
          <w:spacing w:val="-8"/>
        </w:rPr>
        <w:t> </w:t>
      </w:r>
      <w:r>
        <w:rPr/>
        <w:t>of</w:t>
      </w:r>
      <w:r>
        <w:rPr>
          <w:spacing w:val="-8"/>
        </w:rPr>
        <w:t> </w:t>
      </w:r>
      <w:r>
        <w:rPr/>
        <w:t>the</w:t>
      </w:r>
      <w:r>
        <w:rPr>
          <w:spacing w:val="-8"/>
        </w:rPr>
        <w:t> </w:t>
      </w:r>
      <w:r>
        <w:rPr/>
        <w:t>county.</w:t>
      </w:r>
      <w:r>
        <w:rPr>
          <w:spacing w:val="-12"/>
        </w:rPr>
        <w:t> </w:t>
      </w:r>
      <w:r>
        <w:rPr/>
        <w:t>This</w:t>
      </w:r>
      <w:r>
        <w:rPr>
          <w:spacing w:val="-8"/>
        </w:rPr>
        <w:t> </w:t>
      </w:r>
      <w:r>
        <w:rPr/>
        <w:t>is</w:t>
      </w:r>
      <w:r>
        <w:rPr>
          <w:spacing w:val="-8"/>
        </w:rPr>
        <w:t> </w:t>
      </w:r>
      <w:r>
        <w:rPr/>
        <w:t>not</w:t>
      </w:r>
      <w:r>
        <w:rPr>
          <w:spacing w:val="-8"/>
        </w:rPr>
        <w:t> </w:t>
      </w:r>
      <w:r>
        <w:rPr/>
        <w:t>surprising,</w:t>
      </w:r>
      <w:r>
        <w:rPr>
          <w:spacing w:val="-9"/>
        </w:rPr>
        <w:t> </w:t>
      </w:r>
      <w:r>
        <w:rPr/>
        <w:t>given</w:t>
      </w:r>
      <w:r>
        <w:rPr>
          <w:spacing w:val="-8"/>
        </w:rPr>
        <w:t> </w:t>
      </w:r>
      <w:r>
        <w:rPr/>
        <w:t>the</w:t>
      </w:r>
      <w:r>
        <w:rPr>
          <w:spacing w:val="-8"/>
        </w:rPr>
        <w:t> </w:t>
      </w:r>
      <w:r>
        <w:rPr/>
        <w:t>decentralized geographic pattern of defense-dependent industries, which were downsized during the period: high-technology districts in the San Fernando </w:t>
      </w:r>
      <w:r>
        <w:rPr>
          <w:spacing w:val="-4"/>
        </w:rPr>
        <w:t>Valley </w:t>
      </w:r>
      <w:r>
        <w:rPr>
          <w:spacing w:val="-5"/>
        </w:rPr>
        <w:t>and </w:t>
      </w:r>
      <w:r>
        <w:rPr/>
        <w:t>Antelope </w:t>
      </w:r>
      <w:r>
        <w:rPr>
          <w:spacing w:val="-4"/>
        </w:rPr>
        <w:t>Valley </w:t>
      </w:r>
      <w:r>
        <w:rPr/>
        <w:t>were hard hit, as were the South Bay beach communities where many of the region’s most affluent high-tech workers were concentrated. Thus despite the go-go image of Los Angeles in the 1980s, by the end of the decade areas which had long been growing increasingly affluent and were considered invulnerable to economic hardship had slipped badly (Fig.</w:t>
      </w:r>
      <w:r>
        <w:rPr>
          <w:spacing w:val="-34"/>
        </w:rPr>
        <w:t> </w:t>
      </w:r>
      <w:r>
        <w:rPr/>
        <w:t>6).</w:t>
      </w:r>
    </w:p>
    <w:p>
      <w:pPr>
        <w:pStyle w:val="BodyText"/>
        <w:spacing w:line="249" w:lineRule="auto" w:before="4"/>
        <w:ind w:left="107" w:right="124" w:firstLine="199"/>
        <w:jc w:val="both"/>
      </w:pPr>
      <w:r>
        <w:rPr/>
        <w:t>Unfortunately</w:t>
      </w:r>
      <w:r>
        <w:rPr>
          <w:spacing w:val="-6"/>
        </w:rPr>
        <w:t> </w:t>
      </w:r>
      <w:r>
        <w:rPr/>
        <w:t>we</w:t>
      </w:r>
      <w:r>
        <w:rPr>
          <w:spacing w:val="-5"/>
        </w:rPr>
        <w:t> </w:t>
      </w:r>
      <w:r>
        <w:rPr/>
        <w:t>cannot</w:t>
      </w:r>
      <w:r>
        <w:rPr>
          <w:spacing w:val="-5"/>
        </w:rPr>
        <w:t> </w:t>
      </w:r>
      <w:r>
        <w:rPr/>
        <w:t>compare</w:t>
      </w:r>
      <w:r>
        <w:rPr>
          <w:spacing w:val="-5"/>
        </w:rPr>
        <w:t> </w:t>
      </w:r>
      <w:r>
        <w:rPr/>
        <w:t>the</w:t>
      </w:r>
      <w:r>
        <w:rPr>
          <w:spacing w:val="-6"/>
        </w:rPr>
        <w:t> </w:t>
      </w:r>
      <w:r>
        <w:rPr/>
        <w:t>housing</w:t>
      </w:r>
      <w:r>
        <w:rPr>
          <w:spacing w:val="-5"/>
        </w:rPr>
        <w:t> </w:t>
      </w:r>
      <w:r>
        <w:rPr/>
        <w:t>status</w:t>
      </w:r>
      <w:r>
        <w:rPr>
          <w:spacing w:val="-5"/>
        </w:rPr>
        <w:t> </w:t>
      </w:r>
      <w:r>
        <w:rPr/>
        <w:t>distribution</w:t>
      </w:r>
      <w:r>
        <w:rPr>
          <w:spacing w:val="-5"/>
        </w:rPr>
        <w:t> </w:t>
      </w:r>
      <w:r>
        <w:rPr/>
        <w:t>at</w:t>
      </w:r>
      <w:r>
        <w:rPr>
          <w:spacing w:val="-6"/>
        </w:rPr>
        <w:t> </w:t>
      </w:r>
      <w:r>
        <w:rPr/>
        <w:t>a</w:t>
      </w:r>
      <w:r>
        <w:rPr>
          <w:spacing w:val="-5"/>
        </w:rPr>
        <w:t> </w:t>
      </w:r>
      <w:r>
        <w:rPr/>
        <w:t>disaggre- gated level; the 1980 PUMS does not permit any further disaggregation </w:t>
      </w:r>
      <w:r>
        <w:rPr>
          <w:spacing w:val="-5"/>
        </w:rPr>
        <w:t>than </w:t>
      </w:r>
      <w:r>
        <w:rPr/>
        <w:t>central city/noncentral </w:t>
      </w:r>
      <w:r>
        <w:rPr>
          <w:spacing w:val="-3"/>
        </w:rPr>
        <w:t>city. </w:t>
      </w:r>
      <w:r>
        <w:rPr>
          <w:spacing w:val="-8"/>
        </w:rPr>
        <w:t>We </w:t>
      </w:r>
      <w:r>
        <w:rPr/>
        <w:t>can, however, consider the 1990 distribution </w:t>
      </w:r>
      <w:r>
        <w:rPr>
          <w:spacing w:val="-8"/>
        </w:rPr>
        <w:t>of </w:t>
      </w:r>
      <w:r>
        <w:rPr/>
        <w:t>housing status by Public Use Microdata Area (PUMA; Figs. 7 and 8). </w:t>
      </w:r>
      <w:r>
        <w:rPr>
          <w:spacing w:val="-5"/>
        </w:rPr>
        <w:t>Not </w:t>
      </w:r>
      <w:r>
        <w:rPr/>
        <w:t>surprisingly, the central core of the county, in particular South Central </w:t>
      </w:r>
      <w:r>
        <w:rPr>
          <w:spacing w:val="-4"/>
        </w:rPr>
        <w:t>Los </w:t>
      </w:r>
      <w:r>
        <w:rPr/>
        <w:t>Angeles,</w:t>
      </w:r>
      <w:r>
        <w:rPr>
          <w:spacing w:val="-9"/>
        </w:rPr>
        <w:t> </w:t>
      </w:r>
      <w:r>
        <w:rPr/>
        <w:t>had</w:t>
      </w:r>
      <w:r>
        <w:rPr>
          <w:spacing w:val="-8"/>
        </w:rPr>
        <w:t> </w:t>
      </w:r>
      <w:r>
        <w:rPr/>
        <w:t>the</w:t>
      </w:r>
      <w:r>
        <w:rPr>
          <w:spacing w:val="-8"/>
        </w:rPr>
        <w:t> </w:t>
      </w:r>
      <w:r>
        <w:rPr/>
        <w:t>highest</w:t>
      </w:r>
      <w:r>
        <w:rPr>
          <w:spacing w:val="-8"/>
        </w:rPr>
        <w:t> </w:t>
      </w:r>
      <w:r>
        <w:rPr/>
        <w:t>rates</w:t>
      </w:r>
      <w:r>
        <w:rPr>
          <w:spacing w:val="-8"/>
        </w:rPr>
        <w:t> </w:t>
      </w:r>
      <w:r>
        <w:rPr/>
        <w:t>of</w:t>
      </w:r>
      <w:r>
        <w:rPr>
          <w:spacing w:val="-8"/>
        </w:rPr>
        <w:t> </w:t>
      </w:r>
      <w:r>
        <w:rPr/>
        <w:t>precariously</w:t>
      </w:r>
      <w:r>
        <w:rPr>
          <w:spacing w:val="-8"/>
        </w:rPr>
        <w:t> </w:t>
      </w:r>
      <w:r>
        <w:rPr/>
        <w:t>housed</w:t>
      </w:r>
      <w:r>
        <w:rPr>
          <w:spacing w:val="-8"/>
        </w:rPr>
        <w:t> </w:t>
      </w:r>
      <w:r>
        <w:rPr/>
        <w:t>households,</w:t>
      </w:r>
      <w:r>
        <w:rPr>
          <w:spacing w:val="-8"/>
        </w:rPr>
        <w:t> </w:t>
      </w:r>
      <w:r>
        <w:rPr/>
        <w:t>with</w:t>
      </w:r>
      <w:r>
        <w:rPr>
          <w:spacing w:val="-8"/>
        </w:rPr>
        <w:t> </w:t>
      </w:r>
      <w:r>
        <w:rPr/>
        <w:t>rates</w:t>
      </w:r>
      <w:r>
        <w:rPr>
          <w:spacing w:val="-8"/>
        </w:rPr>
        <w:t> </w:t>
      </w:r>
      <w:r>
        <w:rPr/>
        <w:t>up</w:t>
      </w:r>
      <w:r>
        <w:rPr>
          <w:spacing w:val="-8"/>
        </w:rPr>
        <w:t> </w:t>
      </w:r>
      <w:r>
        <w:rPr/>
        <w:t>to more than two times the county average (21, 10% respectively). Given that </w:t>
      </w:r>
      <w:r>
        <w:rPr>
          <w:spacing w:val="-6"/>
        </w:rPr>
        <w:t>the </w:t>
      </w:r>
      <w:r>
        <w:rPr/>
        <w:t>precariously housed became even poorer and more rent burdened over the</w:t>
      </w:r>
      <w:r>
        <w:rPr>
          <w:spacing w:val="-35"/>
        </w:rPr>
        <w:t> </w:t>
      </w:r>
      <w:r>
        <w:rPr/>
        <w:t>course of the decade, this geographical concentration underscores the deepening </w:t>
      </w:r>
      <w:r>
        <w:rPr>
          <w:spacing w:val="-4"/>
        </w:rPr>
        <w:t>eco- </w:t>
      </w:r>
      <w:r>
        <w:rPr/>
        <w:t>nomic desolation of communities such as South Central and a host of other </w:t>
      </w:r>
      <w:r>
        <w:rPr>
          <w:spacing w:val="-3"/>
        </w:rPr>
        <w:t>areas </w:t>
      </w:r>
      <w:r>
        <w:rPr/>
        <w:t>of central Los Angeles that in prior decades contained solid, working-class neighborhoods.</w:t>
      </w:r>
    </w:p>
    <w:p>
      <w:pPr>
        <w:spacing w:after="0" w:line="249" w:lineRule="auto"/>
        <w:jc w:val="both"/>
        <w:sectPr>
          <w:pgSz w:w="7120" w:h="11820"/>
          <w:pgMar w:header="294" w:footer="0" w:top="500" w:bottom="0" w:left="260" w:right="160"/>
        </w:sectPr>
      </w:pPr>
    </w:p>
    <w:p>
      <w:pPr>
        <w:pStyle w:val="BodyText"/>
        <w:spacing w:before="1"/>
        <w:rPr>
          <w:sz w:val="25"/>
        </w:rPr>
      </w:pPr>
    </w:p>
    <w:p>
      <w:pPr>
        <w:pStyle w:val="BodyText"/>
        <w:ind w:left="396"/>
      </w:pPr>
      <w:r>
        <w:rPr/>
        <w:drawing>
          <wp:inline distT="0" distB="0" distL="0" distR="0">
            <wp:extent cx="3738902" cy="1971675"/>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3738902" cy="1971675"/>
                    </a:xfrm>
                    <a:prstGeom prst="rect">
                      <a:avLst/>
                    </a:prstGeom>
                  </pic:spPr>
                </pic:pic>
              </a:graphicData>
            </a:graphic>
          </wp:inline>
        </w:drawing>
      </w:r>
      <w:r>
        <w:rPr/>
      </w:r>
    </w:p>
    <w:p>
      <w:pPr>
        <w:spacing w:line="259" w:lineRule="auto" w:before="81"/>
        <w:ind w:left="107" w:right="0" w:firstLine="159"/>
        <w:jc w:val="left"/>
        <w:rPr>
          <w:sz w:val="16"/>
        </w:rPr>
      </w:pPr>
      <w:r>
        <w:rPr>
          <w:sz w:val="16"/>
        </w:rPr>
        <w:t>F</w:t>
      </w:r>
      <w:r>
        <w:rPr>
          <w:sz w:val="12"/>
        </w:rPr>
        <w:t>IG</w:t>
      </w:r>
      <w:r>
        <w:rPr>
          <w:sz w:val="16"/>
        </w:rPr>
        <w:t>. 6. Precariously and generously housed in Los Angeles County by geographical area: 1980–1990.</w:t>
      </w:r>
    </w:p>
    <w:p>
      <w:pPr>
        <w:pStyle w:val="BodyText"/>
      </w:pPr>
    </w:p>
    <w:p>
      <w:pPr>
        <w:pStyle w:val="BodyText"/>
        <w:spacing w:before="1"/>
        <w:rPr>
          <w:sz w:val="19"/>
        </w:rPr>
      </w:pPr>
    </w:p>
    <w:p>
      <w:pPr>
        <w:pStyle w:val="BodyText"/>
        <w:spacing w:line="249" w:lineRule="auto" w:before="92"/>
        <w:ind w:left="107" w:right="124" w:firstLine="199"/>
        <w:jc w:val="both"/>
      </w:pPr>
      <w:r>
        <w:rPr/>
        <w:t>Pockets</w:t>
      </w:r>
      <w:r>
        <w:rPr>
          <w:spacing w:val="-5"/>
        </w:rPr>
        <w:t> </w:t>
      </w:r>
      <w:r>
        <w:rPr/>
        <w:t>of</w:t>
      </w:r>
      <w:r>
        <w:rPr>
          <w:spacing w:val="-4"/>
        </w:rPr>
        <w:t> </w:t>
      </w:r>
      <w:r>
        <w:rPr/>
        <w:t>the</w:t>
      </w:r>
      <w:r>
        <w:rPr>
          <w:spacing w:val="-4"/>
        </w:rPr>
        <w:t> </w:t>
      </w:r>
      <w:r>
        <w:rPr/>
        <w:t>generously</w:t>
      </w:r>
      <w:r>
        <w:rPr>
          <w:spacing w:val="-4"/>
        </w:rPr>
        <w:t> </w:t>
      </w:r>
      <w:r>
        <w:rPr/>
        <w:t>housed</w:t>
      </w:r>
      <w:r>
        <w:rPr>
          <w:spacing w:val="-4"/>
        </w:rPr>
        <w:t> </w:t>
      </w:r>
      <w:r>
        <w:rPr/>
        <w:t>were</w:t>
      </w:r>
      <w:r>
        <w:rPr>
          <w:spacing w:val="-4"/>
        </w:rPr>
        <w:t> </w:t>
      </w:r>
      <w:r>
        <w:rPr/>
        <w:t>also</w:t>
      </w:r>
      <w:r>
        <w:rPr>
          <w:spacing w:val="-4"/>
        </w:rPr>
        <w:t> </w:t>
      </w:r>
      <w:r>
        <w:rPr/>
        <w:t>located</w:t>
      </w:r>
      <w:r>
        <w:rPr>
          <w:spacing w:val="-4"/>
        </w:rPr>
        <w:t> </w:t>
      </w:r>
      <w:r>
        <w:rPr/>
        <w:t>in</w:t>
      </w:r>
      <w:r>
        <w:rPr>
          <w:spacing w:val="-4"/>
        </w:rPr>
        <w:t> </w:t>
      </w:r>
      <w:r>
        <w:rPr/>
        <w:t>the</w:t>
      </w:r>
      <w:r>
        <w:rPr>
          <w:spacing w:val="-4"/>
        </w:rPr>
        <w:t> </w:t>
      </w:r>
      <w:r>
        <w:rPr/>
        <w:t>expected</w:t>
      </w:r>
      <w:r>
        <w:rPr>
          <w:spacing w:val="-4"/>
        </w:rPr>
        <w:t> </w:t>
      </w:r>
      <w:r>
        <w:rPr/>
        <w:t>areas,</w:t>
      </w:r>
      <w:r>
        <w:rPr>
          <w:spacing w:val="-4"/>
        </w:rPr>
        <w:t> </w:t>
      </w:r>
      <w:r>
        <w:rPr/>
        <w:t>such as the Westside, the </w:t>
      </w:r>
      <w:r>
        <w:rPr>
          <w:spacing w:val="-4"/>
        </w:rPr>
        <w:t>West </w:t>
      </w:r>
      <w:r>
        <w:rPr/>
        <w:t>San Fernando </w:t>
      </w:r>
      <w:r>
        <w:rPr>
          <w:spacing w:val="-6"/>
        </w:rPr>
        <w:t>Valley, </w:t>
      </w:r>
      <w:r>
        <w:rPr/>
        <w:t>the San Gabriel Mountains communities,</w:t>
      </w:r>
      <w:r>
        <w:rPr>
          <w:spacing w:val="-13"/>
        </w:rPr>
        <w:t> </w:t>
      </w:r>
      <w:r>
        <w:rPr/>
        <w:t>the</w:t>
      </w:r>
      <w:r>
        <w:rPr>
          <w:spacing w:val="-12"/>
        </w:rPr>
        <w:t> </w:t>
      </w:r>
      <w:r>
        <w:rPr/>
        <w:t>Palos</w:t>
      </w:r>
      <w:r>
        <w:rPr>
          <w:spacing w:val="-15"/>
        </w:rPr>
        <w:t> </w:t>
      </w:r>
      <w:r>
        <w:rPr>
          <w:spacing w:val="-4"/>
        </w:rPr>
        <w:t>Verdes</w:t>
      </w:r>
      <w:r>
        <w:rPr>
          <w:spacing w:val="-12"/>
        </w:rPr>
        <w:t> </w:t>
      </w:r>
      <w:r>
        <w:rPr/>
        <w:t>Peninsula,</w:t>
      </w:r>
      <w:r>
        <w:rPr>
          <w:spacing w:val="-12"/>
        </w:rPr>
        <w:t> </w:t>
      </w:r>
      <w:r>
        <w:rPr/>
        <w:t>and</w:t>
      </w:r>
      <w:r>
        <w:rPr>
          <w:spacing w:val="-12"/>
        </w:rPr>
        <w:t> </w:t>
      </w:r>
      <w:r>
        <w:rPr/>
        <w:t>the</w:t>
      </w:r>
      <w:r>
        <w:rPr>
          <w:spacing w:val="-12"/>
        </w:rPr>
        <w:t> </w:t>
      </w:r>
      <w:r>
        <w:rPr/>
        <w:t>beach</w:t>
      </w:r>
      <w:r>
        <w:rPr>
          <w:spacing w:val="-12"/>
        </w:rPr>
        <w:t> </w:t>
      </w:r>
      <w:r>
        <w:rPr/>
        <w:t>communities</w:t>
      </w:r>
      <w:r>
        <w:rPr>
          <w:spacing w:val="-12"/>
        </w:rPr>
        <w:t> </w:t>
      </w:r>
      <w:r>
        <w:rPr/>
        <w:t>of</w:t>
      </w:r>
      <w:r>
        <w:rPr>
          <w:spacing w:val="-12"/>
        </w:rPr>
        <w:t> </w:t>
      </w:r>
      <w:r>
        <w:rPr/>
        <w:t>the</w:t>
      </w:r>
      <w:r>
        <w:rPr>
          <w:spacing w:val="-12"/>
        </w:rPr>
        <w:t> </w:t>
      </w:r>
      <w:r>
        <w:rPr/>
        <w:t>South </w:t>
      </w:r>
      <w:r>
        <w:rPr>
          <w:spacing w:val="-4"/>
        </w:rPr>
        <w:t>Bay, </w:t>
      </w:r>
      <w:r>
        <w:rPr/>
        <w:t>where in some PUMAs they reached more than 23%. But the generously housed were also moderately concentrated in the rapidly growing Chinese ethnoburb in the San Gabriel </w:t>
      </w:r>
      <w:r>
        <w:rPr>
          <w:spacing w:val="-6"/>
        </w:rPr>
        <w:t>Valley. </w:t>
      </w:r>
      <w:r>
        <w:rPr/>
        <w:t>Lastly, it is interesting to note that the inner-ring suburban communities were most apt to be polarized, with average</w:t>
      </w:r>
      <w:r>
        <w:rPr>
          <w:spacing w:val="38"/>
        </w:rPr>
        <w:t> </w:t>
      </w:r>
      <w:r>
        <w:rPr/>
        <w:t>or</w:t>
      </w:r>
    </w:p>
    <w:p>
      <w:pPr>
        <w:pStyle w:val="BodyText"/>
      </w:pPr>
    </w:p>
    <w:p>
      <w:pPr>
        <w:pStyle w:val="BodyText"/>
        <w:spacing w:before="9"/>
        <w:rPr>
          <w:sz w:val="28"/>
        </w:rPr>
      </w:pPr>
      <w:r>
        <w:rPr/>
        <w:drawing>
          <wp:anchor distT="0" distB="0" distL="0" distR="0" allowOverlap="1" layoutInCell="1" locked="0" behindDoc="0" simplePos="0" relativeHeight="7">
            <wp:simplePos x="0" y="0"/>
            <wp:positionH relativeFrom="page">
              <wp:posOffset>233133</wp:posOffset>
            </wp:positionH>
            <wp:positionV relativeFrom="paragraph">
              <wp:posOffset>235110</wp:posOffset>
            </wp:positionV>
            <wp:extent cx="4065601" cy="2597467"/>
            <wp:effectExtent l="0" t="0" r="0" b="0"/>
            <wp:wrapTopAndBottom/>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4065601" cy="2597467"/>
                    </a:xfrm>
                    <a:prstGeom prst="rect">
                      <a:avLst/>
                    </a:prstGeom>
                  </pic:spPr>
                </pic:pic>
              </a:graphicData>
            </a:graphic>
          </wp:anchor>
        </w:drawing>
      </w:r>
    </w:p>
    <w:p>
      <w:pPr>
        <w:spacing w:before="106"/>
        <w:ind w:left="737" w:right="0" w:firstLine="0"/>
        <w:jc w:val="left"/>
        <w:rPr>
          <w:sz w:val="16"/>
        </w:rPr>
      </w:pPr>
      <w:r>
        <w:rPr>
          <w:sz w:val="16"/>
        </w:rPr>
        <w:t>F</w:t>
      </w:r>
      <w:r>
        <w:rPr>
          <w:sz w:val="12"/>
        </w:rPr>
        <w:t>IG</w:t>
      </w:r>
      <w:r>
        <w:rPr>
          <w:sz w:val="16"/>
        </w:rPr>
        <w:t>. 7. Generously housed households, metropolitan Los Angeles County, 1990.</w:t>
      </w:r>
    </w:p>
    <w:p>
      <w:pPr>
        <w:spacing w:after="0"/>
        <w:jc w:val="left"/>
        <w:rPr>
          <w:sz w:val="16"/>
        </w:rPr>
        <w:sectPr>
          <w:pgSz w:w="7120" w:h="11820"/>
          <w:pgMar w:header="293" w:footer="0" w:top="500" w:bottom="0" w:left="260" w:right="160"/>
        </w:sectPr>
      </w:pPr>
    </w:p>
    <w:p>
      <w:pPr>
        <w:pStyle w:val="BodyText"/>
        <w:spacing w:before="1" w:after="1"/>
        <w:rPr>
          <w:sz w:val="25"/>
        </w:rPr>
      </w:pPr>
    </w:p>
    <w:p>
      <w:pPr>
        <w:pStyle w:val="BodyText"/>
        <w:ind w:left="107"/>
      </w:pPr>
      <w:r>
        <w:rPr/>
        <w:drawing>
          <wp:inline distT="0" distB="0" distL="0" distR="0">
            <wp:extent cx="4052610" cy="2476595"/>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4052610" cy="2476595"/>
                    </a:xfrm>
                    <a:prstGeom prst="rect">
                      <a:avLst/>
                    </a:prstGeom>
                  </pic:spPr>
                </pic:pic>
              </a:graphicData>
            </a:graphic>
          </wp:inline>
        </w:drawing>
      </w:r>
      <w:r>
        <w:rPr/>
      </w:r>
    </w:p>
    <w:p>
      <w:pPr>
        <w:spacing w:before="146"/>
        <w:ind w:left="706" w:right="0" w:firstLine="0"/>
        <w:jc w:val="left"/>
        <w:rPr>
          <w:sz w:val="16"/>
        </w:rPr>
      </w:pPr>
      <w:r>
        <w:rPr>
          <w:sz w:val="16"/>
        </w:rPr>
        <w:t>F</w:t>
      </w:r>
      <w:r>
        <w:rPr>
          <w:sz w:val="12"/>
        </w:rPr>
        <w:t>IG</w:t>
      </w:r>
      <w:r>
        <w:rPr>
          <w:sz w:val="16"/>
        </w:rPr>
        <w:t>. 8. Precariously housed households, metropolitan Los Angeles County, 1990.</w:t>
      </w:r>
    </w:p>
    <w:p>
      <w:pPr>
        <w:pStyle w:val="BodyText"/>
      </w:pPr>
    </w:p>
    <w:p>
      <w:pPr>
        <w:pStyle w:val="BodyText"/>
        <w:spacing w:before="10"/>
        <w:rPr>
          <w:sz w:val="17"/>
        </w:rPr>
      </w:pPr>
    </w:p>
    <w:p>
      <w:pPr>
        <w:pStyle w:val="BodyText"/>
        <w:spacing w:line="249" w:lineRule="auto" w:before="91"/>
        <w:ind w:left="107"/>
      </w:pPr>
      <w:r>
        <w:rPr/>
        <w:t>above average proportions of both precariously and generously housed house- holds.</w:t>
      </w:r>
    </w:p>
    <w:p>
      <w:pPr>
        <w:pStyle w:val="BodyText"/>
        <w:spacing w:before="7"/>
      </w:pPr>
    </w:p>
    <w:p>
      <w:pPr>
        <w:pStyle w:val="BodyText"/>
        <w:ind w:left="2719"/>
        <w:rPr>
          <w:rFonts w:ascii="Helvetica"/>
        </w:rPr>
      </w:pPr>
      <w:r>
        <w:rPr>
          <w:rFonts w:ascii="Helvetica"/>
        </w:rPr>
        <w:t>DISCUSSION</w:t>
      </w:r>
    </w:p>
    <w:p>
      <w:pPr>
        <w:pStyle w:val="BodyText"/>
        <w:spacing w:line="249" w:lineRule="auto" w:before="88"/>
        <w:ind w:left="107" w:right="122" w:firstLine="199"/>
        <w:jc w:val="both"/>
      </w:pPr>
      <w:r>
        <w:rPr/>
        <w:t>Our preliminary analysis of housing status in Los Angeles during the 1980s reveals that this metropolitan region mirrored the nation in important respects. Like the nation as a whole, the Los Angeles area displayed reductions in </w:t>
      </w:r>
      <w:r>
        <w:rPr>
          <w:spacing w:val="-3"/>
        </w:rPr>
        <w:t>housing </w:t>
      </w:r>
      <w:r>
        <w:rPr/>
        <w:t>autonomy, a growing diversity gap in crowding between Whites and other racial/ethnic groups, affordability gaps between owners and renters, and genera- tion gaps in rates of home ownership. In addition, the margins of the housing status distribution shifted in the same directions as in the nation: the number of precarious households </w:t>
      </w:r>
      <w:r>
        <w:rPr>
          <w:spacing w:val="-3"/>
        </w:rPr>
        <w:t>grew, </w:t>
      </w:r>
      <w:r>
        <w:rPr/>
        <w:t>as did their share of the regional household popula- tion, and the share of generously housed households fell.</w:t>
      </w:r>
    </w:p>
    <w:p>
      <w:pPr>
        <w:pStyle w:val="BodyText"/>
        <w:spacing w:line="249" w:lineRule="auto" w:before="2"/>
        <w:ind w:left="107" w:right="124" w:firstLine="199"/>
        <w:jc w:val="both"/>
      </w:pPr>
      <w:r>
        <w:rPr>
          <w:spacing w:val="-7"/>
        </w:rPr>
        <w:t>Yet </w:t>
      </w:r>
      <w:r>
        <w:rPr/>
        <w:t>Los Angeles harbored a range of shelter-related problems that were </w:t>
      </w:r>
      <w:r>
        <w:rPr>
          <w:spacing w:val="-3"/>
        </w:rPr>
        <w:t>either </w:t>
      </w:r>
      <w:r>
        <w:rPr/>
        <w:t>far more severe than those experienced by average American households or</w:t>
      </w:r>
      <w:r>
        <w:rPr>
          <w:spacing w:val="-35"/>
        </w:rPr>
        <w:t> </w:t>
      </w:r>
      <w:r>
        <w:rPr/>
        <w:t>were locale-specific:</w:t>
      </w:r>
    </w:p>
    <w:p>
      <w:pPr>
        <w:pStyle w:val="BodyText"/>
        <w:spacing w:line="249" w:lineRule="auto"/>
        <w:ind w:left="107" w:right="124" w:firstLine="199"/>
        <w:jc w:val="both"/>
      </w:pPr>
      <w:r>
        <w:rPr>
          <w:rFonts w:ascii="Arial"/>
          <w:w w:val="95"/>
        </w:rPr>
        <w:t>x</w:t>
      </w:r>
      <w:r>
        <w:rPr>
          <w:rFonts w:ascii="Arial"/>
          <w:spacing w:val="-8"/>
          <w:w w:val="95"/>
        </w:rPr>
        <w:t> </w:t>
      </w:r>
      <w:r>
        <w:rPr/>
        <w:t>Rates</w:t>
      </w:r>
      <w:r>
        <w:rPr>
          <w:spacing w:val="-7"/>
        </w:rPr>
        <w:t> </w:t>
      </w:r>
      <w:r>
        <w:rPr/>
        <w:t>of</w:t>
      </w:r>
      <w:r>
        <w:rPr>
          <w:spacing w:val="-8"/>
        </w:rPr>
        <w:t> </w:t>
      </w:r>
      <w:r>
        <w:rPr/>
        <w:t>housing</w:t>
      </w:r>
      <w:r>
        <w:rPr>
          <w:spacing w:val="-7"/>
        </w:rPr>
        <w:t> </w:t>
      </w:r>
      <w:r>
        <w:rPr/>
        <w:t>autonomy</w:t>
      </w:r>
      <w:r>
        <w:rPr>
          <w:spacing w:val="-8"/>
        </w:rPr>
        <w:t> </w:t>
      </w:r>
      <w:r>
        <w:rPr/>
        <w:t>fell</w:t>
      </w:r>
      <w:r>
        <w:rPr>
          <w:spacing w:val="-8"/>
        </w:rPr>
        <w:t> </w:t>
      </w:r>
      <w:r>
        <w:rPr/>
        <w:t>faster</w:t>
      </w:r>
      <w:r>
        <w:rPr>
          <w:spacing w:val="-7"/>
        </w:rPr>
        <w:t> </w:t>
      </w:r>
      <w:r>
        <w:rPr/>
        <w:t>for</w:t>
      </w:r>
      <w:r>
        <w:rPr>
          <w:spacing w:val="-8"/>
        </w:rPr>
        <w:t> </w:t>
      </w:r>
      <w:r>
        <w:rPr/>
        <w:t>young</w:t>
      </w:r>
      <w:r>
        <w:rPr>
          <w:spacing w:val="-7"/>
        </w:rPr>
        <w:t> </w:t>
      </w:r>
      <w:r>
        <w:rPr/>
        <w:t>people,</w:t>
      </w:r>
      <w:r>
        <w:rPr>
          <w:spacing w:val="-8"/>
        </w:rPr>
        <w:t> </w:t>
      </w:r>
      <w:r>
        <w:rPr/>
        <w:t>from</w:t>
      </w:r>
      <w:r>
        <w:rPr>
          <w:spacing w:val="-8"/>
        </w:rPr>
        <w:t> </w:t>
      </w:r>
      <w:r>
        <w:rPr/>
        <w:t>a</w:t>
      </w:r>
      <w:r>
        <w:rPr>
          <w:spacing w:val="-7"/>
        </w:rPr>
        <w:t> </w:t>
      </w:r>
      <w:r>
        <w:rPr/>
        <w:t>lower</w:t>
      </w:r>
      <w:r>
        <w:rPr>
          <w:spacing w:val="-8"/>
        </w:rPr>
        <w:t> </w:t>
      </w:r>
      <w:r>
        <w:rPr/>
        <w:t>base,</w:t>
      </w:r>
      <w:r>
        <w:rPr>
          <w:spacing w:val="-7"/>
        </w:rPr>
        <w:t> </w:t>
      </w:r>
      <w:r>
        <w:rPr/>
        <w:t>in Los</w:t>
      </w:r>
      <w:r>
        <w:rPr>
          <w:spacing w:val="-24"/>
        </w:rPr>
        <w:t> </w:t>
      </w:r>
      <w:r>
        <w:rPr/>
        <w:t>Angeles</w:t>
      </w:r>
      <w:r>
        <w:rPr>
          <w:spacing w:val="-13"/>
        </w:rPr>
        <w:t> </w:t>
      </w:r>
      <w:r>
        <w:rPr/>
        <w:t>especially</w:t>
      </w:r>
      <w:r>
        <w:rPr>
          <w:spacing w:val="-13"/>
        </w:rPr>
        <w:t> </w:t>
      </w:r>
      <w:r>
        <w:rPr/>
        <w:t>among</w:t>
      </w:r>
      <w:r>
        <w:rPr>
          <w:spacing w:val="-23"/>
        </w:rPr>
        <w:t> </w:t>
      </w:r>
      <w:r>
        <w:rPr/>
        <w:t>African</w:t>
      </w:r>
      <w:r>
        <w:rPr>
          <w:spacing w:val="-23"/>
        </w:rPr>
        <w:t> </w:t>
      </w:r>
      <w:r>
        <w:rPr/>
        <w:t>Americans</w:t>
      </w:r>
      <w:r>
        <w:rPr>
          <w:spacing w:val="-13"/>
        </w:rPr>
        <w:t> </w:t>
      </w:r>
      <w:r>
        <w:rPr/>
        <w:t>and</w:t>
      </w:r>
      <w:r>
        <w:rPr>
          <w:spacing w:val="-13"/>
        </w:rPr>
        <w:t> </w:t>
      </w:r>
      <w:r>
        <w:rPr/>
        <w:t>Hispanics,</w:t>
      </w:r>
      <w:r>
        <w:rPr>
          <w:spacing w:val="-13"/>
        </w:rPr>
        <w:t> </w:t>
      </w:r>
      <w:r>
        <w:rPr/>
        <w:t>while</w:t>
      </w:r>
      <w:r>
        <w:rPr>
          <w:spacing w:val="-13"/>
        </w:rPr>
        <w:t> </w:t>
      </w:r>
      <w:r>
        <w:rPr/>
        <w:t>autonomy among middle-aged Asians</w:t>
      </w:r>
      <w:r>
        <w:rPr>
          <w:spacing w:val="-24"/>
        </w:rPr>
        <w:t> </w:t>
      </w:r>
      <w:r>
        <w:rPr/>
        <w:t>declined.</w:t>
      </w:r>
    </w:p>
    <w:p>
      <w:pPr>
        <w:pStyle w:val="BodyText"/>
        <w:spacing w:line="249" w:lineRule="auto"/>
        <w:ind w:left="107" w:right="125" w:firstLine="199"/>
        <w:jc w:val="both"/>
      </w:pPr>
      <w:r>
        <w:rPr>
          <w:rFonts w:ascii="Arial"/>
          <w:w w:val="95"/>
        </w:rPr>
        <w:t>x</w:t>
      </w:r>
      <w:r>
        <w:rPr>
          <w:rFonts w:ascii="Arial"/>
          <w:spacing w:val="-10"/>
          <w:w w:val="95"/>
        </w:rPr>
        <w:t> </w:t>
      </w:r>
      <w:r>
        <w:rPr/>
        <w:t>Residential</w:t>
      </w:r>
      <w:r>
        <w:rPr>
          <w:spacing w:val="-14"/>
        </w:rPr>
        <w:t> </w:t>
      </w:r>
      <w:r>
        <w:rPr/>
        <w:t>crowding</w:t>
      </w:r>
      <w:r>
        <w:rPr>
          <w:spacing w:val="-15"/>
        </w:rPr>
        <w:t> </w:t>
      </w:r>
      <w:r>
        <w:rPr/>
        <w:t>rates</w:t>
      </w:r>
      <w:r>
        <w:rPr>
          <w:spacing w:val="-15"/>
        </w:rPr>
        <w:t> </w:t>
      </w:r>
      <w:r>
        <w:rPr/>
        <w:t>(especially</w:t>
      </w:r>
      <w:r>
        <w:rPr>
          <w:spacing w:val="-14"/>
        </w:rPr>
        <w:t> </w:t>
      </w:r>
      <w:r>
        <w:rPr/>
        <w:t>extreme</w:t>
      </w:r>
      <w:r>
        <w:rPr>
          <w:spacing w:val="-15"/>
        </w:rPr>
        <w:t> </w:t>
      </w:r>
      <w:r>
        <w:rPr/>
        <w:t>crowding)</w:t>
      </w:r>
      <w:r>
        <w:rPr>
          <w:spacing w:val="-15"/>
        </w:rPr>
        <w:t> </w:t>
      </w:r>
      <w:r>
        <w:rPr/>
        <w:t>grew</w:t>
      </w:r>
      <w:r>
        <w:rPr>
          <w:spacing w:val="-14"/>
        </w:rPr>
        <w:t> </w:t>
      </w:r>
      <w:r>
        <w:rPr/>
        <w:t>much</w:t>
      </w:r>
      <w:r>
        <w:rPr>
          <w:spacing w:val="-15"/>
        </w:rPr>
        <w:t> </w:t>
      </w:r>
      <w:r>
        <w:rPr/>
        <w:t>faster</w:t>
      </w:r>
      <w:r>
        <w:rPr>
          <w:spacing w:val="-15"/>
        </w:rPr>
        <w:t> </w:t>
      </w:r>
      <w:r>
        <w:rPr>
          <w:spacing w:val="-7"/>
        </w:rPr>
        <w:t>in </w:t>
      </w:r>
      <w:r>
        <w:rPr/>
        <w:t>the region, almost entirely among renters, and at particularly high rates among Asian and Hispanic</w:t>
      </w:r>
      <w:r>
        <w:rPr>
          <w:spacing w:val="-13"/>
        </w:rPr>
        <w:t> </w:t>
      </w:r>
      <w:r>
        <w:rPr/>
        <w:t>households.</w:t>
      </w:r>
    </w:p>
    <w:p>
      <w:pPr>
        <w:pStyle w:val="BodyText"/>
        <w:spacing w:line="249" w:lineRule="auto"/>
        <w:ind w:left="107" w:right="123" w:firstLine="199"/>
        <w:jc w:val="both"/>
      </w:pPr>
      <w:r>
        <w:rPr>
          <w:rFonts w:ascii="Arial"/>
          <w:w w:val="95"/>
        </w:rPr>
        <w:t>x </w:t>
      </w:r>
      <w:r>
        <w:rPr/>
        <w:t>The affordability problem worsened more rapidly in Los Angeles than in </w:t>
      </w:r>
      <w:r>
        <w:rPr>
          <w:spacing w:val="-5"/>
        </w:rPr>
        <w:t>the </w:t>
      </w:r>
      <w:r>
        <w:rPr/>
        <w:t>nation as a whole, especially for renters, African Americans, and households</w:t>
      </w:r>
    </w:p>
    <w:p>
      <w:pPr>
        <w:spacing w:after="0" w:line="249" w:lineRule="auto"/>
        <w:jc w:val="both"/>
        <w:sectPr>
          <w:pgSz w:w="7120" w:h="11820"/>
          <w:pgMar w:header="294" w:footer="0" w:top="500" w:bottom="280" w:left="260" w:right="160"/>
        </w:sectPr>
      </w:pPr>
    </w:p>
    <w:p>
      <w:pPr>
        <w:pStyle w:val="BodyText"/>
        <w:spacing w:before="7"/>
        <w:rPr>
          <w:sz w:val="13"/>
        </w:rPr>
      </w:pPr>
    </w:p>
    <w:p>
      <w:pPr>
        <w:pStyle w:val="BodyText"/>
        <w:spacing w:line="254" w:lineRule="auto" w:before="92"/>
        <w:ind w:left="107"/>
      </w:pPr>
      <w:r>
        <w:rPr/>
        <w:t>headed by women, with rates of affordability declining the fastest for Asian and Hispanic households.</w:t>
      </w:r>
    </w:p>
    <w:p>
      <w:pPr>
        <w:pStyle w:val="BodyText"/>
        <w:spacing w:line="252" w:lineRule="auto"/>
        <w:ind w:left="107" w:right="124" w:firstLine="199"/>
        <w:jc w:val="both"/>
      </w:pPr>
      <w:r>
        <w:rPr>
          <w:rFonts w:ascii="Arial"/>
          <w:w w:val="95"/>
        </w:rPr>
        <w:t>x </w:t>
      </w:r>
      <w:r>
        <w:rPr/>
        <w:t>The generation gap in home ownership was far higher in Los Angeles, reaching 41 percentage points by 1990 compared to 30 points for the nation; in a reversal of national patterns, this gap was smaller than average among African American</w:t>
      </w:r>
      <w:r>
        <w:rPr>
          <w:spacing w:val="-4"/>
        </w:rPr>
        <w:t> </w:t>
      </w:r>
      <w:r>
        <w:rPr/>
        <w:t>households,</w:t>
      </w:r>
      <w:r>
        <w:rPr>
          <w:spacing w:val="-3"/>
        </w:rPr>
        <w:t> </w:t>
      </w:r>
      <w:r>
        <w:rPr/>
        <w:t>but</w:t>
      </w:r>
      <w:r>
        <w:rPr>
          <w:spacing w:val="-4"/>
        </w:rPr>
        <w:t> </w:t>
      </w:r>
      <w:r>
        <w:rPr/>
        <w:t>it</w:t>
      </w:r>
      <w:r>
        <w:rPr>
          <w:spacing w:val="-3"/>
        </w:rPr>
        <w:t> </w:t>
      </w:r>
      <w:r>
        <w:rPr/>
        <w:t>widened</w:t>
      </w:r>
      <w:r>
        <w:rPr>
          <w:spacing w:val="-3"/>
        </w:rPr>
        <w:t> </w:t>
      </w:r>
      <w:r>
        <w:rPr/>
        <w:t>for</w:t>
      </w:r>
      <w:r>
        <w:rPr>
          <w:spacing w:val="-4"/>
        </w:rPr>
        <w:t> </w:t>
      </w:r>
      <w:r>
        <w:rPr/>
        <w:t>Hispanics</w:t>
      </w:r>
      <w:r>
        <w:rPr>
          <w:spacing w:val="-3"/>
        </w:rPr>
        <w:t> </w:t>
      </w:r>
      <w:r>
        <w:rPr/>
        <w:t>as</w:t>
      </w:r>
      <w:r>
        <w:rPr>
          <w:spacing w:val="-3"/>
        </w:rPr>
        <w:t> </w:t>
      </w:r>
      <w:r>
        <w:rPr/>
        <w:t>the</w:t>
      </w:r>
      <w:r>
        <w:rPr>
          <w:spacing w:val="-4"/>
        </w:rPr>
        <w:t> </w:t>
      </w:r>
      <w:r>
        <w:rPr/>
        <w:t>number</w:t>
      </w:r>
      <w:r>
        <w:rPr>
          <w:spacing w:val="-3"/>
        </w:rPr>
        <w:t> </w:t>
      </w:r>
      <w:r>
        <w:rPr/>
        <w:t>of</w:t>
      </w:r>
      <w:r>
        <w:rPr>
          <w:spacing w:val="-3"/>
        </w:rPr>
        <w:t> </w:t>
      </w:r>
      <w:r>
        <w:rPr/>
        <w:t>poor,</w:t>
      </w:r>
      <w:r>
        <w:rPr>
          <w:spacing w:val="-4"/>
        </w:rPr>
        <w:t> young </w:t>
      </w:r>
      <w:r>
        <w:rPr/>
        <w:t>immigrant households grew along with the number of increasingly secure </w:t>
      </w:r>
      <w:r>
        <w:rPr>
          <w:spacing w:val="-3"/>
        </w:rPr>
        <w:t>older </w:t>
      </w:r>
      <w:r>
        <w:rPr/>
        <w:t>Hispanic households in the</w:t>
      </w:r>
      <w:r>
        <w:rPr>
          <w:spacing w:val="-17"/>
        </w:rPr>
        <w:t> </w:t>
      </w:r>
      <w:r>
        <w:rPr/>
        <w:t>region.</w:t>
      </w:r>
    </w:p>
    <w:p>
      <w:pPr>
        <w:pStyle w:val="BodyText"/>
        <w:spacing w:line="252" w:lineRule="auto"/>
        <w:ind w:left="107" w:right="125" w:firstLine="199"/>
        <w:jc w:val="both"/>
      </w:pPr>
      <w:r>
        <w:rPr/>
        <w:t>These changes in the region’s housing picture translated into dramatic shifts</w:t>
      </w:r>
      <w:r>
        <w:rPr>
          <w:spacing w:val="-35"/>
        </w:rPr>
        <w:t> </w:t>
      </w:r>
      <w:r>
        <w:rPr/>
        <w:t>in the margins of the housing status</w:t>
      </w:r>
      <w:r>
        <w:rPr>
          <w:spacing w:val="-26"/>
        </w:rPr>
        <w:t> </w:t>
      </w:r>
      <w:r>
        <w:rPr/>
        <w:t>distribution:</w:t>
      </w:r>
    </w:p>
    <w:p>
      <w:pPr>
        <w:pStyle w:val="BodyText"/>
        <w:spacing w:line="252" w:lineRule="auto"/>
        <w:ind w:left="107" w:right="124" w:firstLine="199"/>
        <w:jc w:val="both"/>
      </w:pPr>
      <w:r>
        <w:rPr>
          <w:rFonts w:ascii="Arial" w:hAnsi="Arial"/>
          <w:w w:val="95"/>
        </w:rPr>
        <w:t>x </w:t>
      </w:r>
      <w:r>
        <w:rPr/>
        <w:t>The number of precariously housed households grew faster over the </w:t>
      </w:r>
      <w:r>
        <w:rPr>
          <w:spacing w:val="-3"/>
        </w:rPr>
        <w:t>decade </w:t>
      </w:r>
      <w:r>
        <w:rPr/>
        <w:t>than</w:t>
      </w:r>
      <w:r>
        <w:rPr>
          <w:spacing w:val="-9"/>
        </w:rPr>
        <w:t> </w:t>
      </w:r>
      <w:r>
        <w:rPr/>
        <w:t>the</w:t>
      </w:r>
      <w:r>
        <w:rPr>
          <w:spacing w:val="-9"/>
        </w:rPr>
        <w:t> </w:t>
      </w:r>
      <w:r>
        <w:rPr/>
        <w:t>national</w:t>
      </w:r>
      <w:r>
        <w:rPr>
          <w:spacing w:val="-9"/>
        </w:rPr>
        <w:t> </w:t>
      </w:r>
      <w:r>
        <w:rPr/>
        <w:t>norm,</w:t>
      </w:r>
      <w:r>
        <w:rPr>
          <w:spacing w:val="-9"/>
        </w:rPr>
        <w:t> </w:t>
      </w:r>
      <w:r>
        <w:rPr/>
        <w:t>to</w:t>
      </w:r>
      <w:r>
        <w:rPr>
          <w:spacing w:val="-9"/>
        </w:rPr>
        <w:t> </w:t>
      </w:r>
      <w:r>
        <w:rPr/>
        <w:t>reach</w:t>
      </w:r>
      <w:r>
        <w:rPr>
          <w:spacing w:val="-9"/>
        </w:rPr>
        <w:t> </w:t>
      </w:r>
      <w:r>
        <w:rPr/>
        <w:t>10%</w:t>
      </w:r>
      <w:r>
        <w:rPr>
          <w:spacing w:val="-9"/>
        </w:rPr>
        <w:t> </w:t>
      </w:r>
      <w:r>
        <w:rPr/>
        <w:t>by</w:t>
      </w:r>
      <w:r>
        <w:rPr>
          <w:spacing w:val="-9"/>
        </w:rPr>
        <w:t> </w:t>
      </w:r>
      <w:r>
        <w:rPr/>
        <w:t>1990—almost</w:t>
      </w:r>
      <w:r>
        <w:rPr>
          <w:spacing w:val="-9"/>
        </w:rPr>
        <w:t> </w:t>
      </w:r>
      <w:r>
        <w:rPr/>
        <w:t>double</w:t>
      </w:r>
      <w:r>
        <w:rPr>
          <w:spacing w:val="-9"/>
        </w:rPr>
        <w:t> </w:t>
      </w:r>
      <w:r>
        <w:rPr/>
        <w:t>the</w:t>
      </w:r>
      <w:r>
        <w:rPr>
          <w:spacing w:val="-9"/>
        </w:rPr>
        <w:t> </w:t>
      </w:r>
      <w:r>
        <w:rPr/>
        <w:t>national</w:t>
      </w:r>
      <w:r>
        <w:rPr>
          <w:spacing w:val="-9"/>
        </w:rPr>
        <w:t> </w:t>
      </w:r>
      <w:r>
        <w:rPr/>
        <w:t>rate;</w:t>
      </w:r>
      <w:r>
        <w:rPr>
          <w:spacing w:val="-9"/>
        </w:rPr>
        <w:t> </w:t>
      </w:r>
      <w:r>
        <w:rPr/>
        <w:t>at the same time, the precariously housed margin of the housing status distribution became</w:t>
      </w:r>
      <w:r>
        <w:rPr>
          <w:spacing w:val="-10"/>
        </w:rPr>
        <w:t> </w:t>
      </w:r>
      <w:r>
        <w:rPr/>
        <w:t>poorer,</w:t>
      </w:r>
      <w:r>
        <w:rPr>
          <w:spacing w:val="-10"/>
        </w:rPr>
        <w:t> </w:t>
      </w:r>
      <w:r>
        <w:rPr/>
        <w:t>more</w:t>
      </w:r>
      <w:r>
        <w:rPr>
          <w:spacing w:val="-10"/>
        </w:rPr>
        <w:t> </w:t>
      </w:r>
      <w:r>
        <w:rPr/>
        <w:t>rent-burdened,</w:t>
      </w:r>
      <w:r>
        <w:rPr>
          <w:spacing w:val="-10"/>
        </w:rPr>
        <w:t> </w:t>
      </w:r>
      <w:r>
        <w:rPr/>
        <w:t>and</w:t>
      </w:r>
      <w:r>
        <w:rPr>
          <w:spacing w:val="-10"/>
        </w:rPr>
        <w:t> </w:t>
      </w:r>
      <w:r>
        <w:rPr/>
        <w:t>crowded,</w:t>
      </w:r>
      <w:r>
        <w:rPr>
          <w:spacing w:val="-10"/>
        </w:rPr>
        <w:t> </w:t>
      </w:r>
      <w:r>
        <w:rPr/>
        <w:t>especially</w:t>
      </w:r>
      <w:r>
        <w:rPr>
          <w:spacing w:val="-10"/>
        </w:rPr>
        <w:t> </w:t>
      </w:r>
      <w:r>
        <w:rPr/>
        <w:t>precariously</w:t>
      </w:r>
      <w:r>
        <w:rPr>
          <w:spacing w:val="-10"/>
        </w:rPr>
        <w:t> </w:t>
      </w:r>
      <w:r>
        <w:rPr>
          <w:spacing w:val="-3"/>
        </w:rPr>
        <w:t>housed </w:t>
      </w:r>
      <w:r>
        <w:rPr/>
        <w:t>immigrants.</w:t>
      </w:r>
    </w:p>
    <w:p>
      <w:pPr>
        <w:pStyle w:val="BodyText"/>
        <w:spacing w:line="252" w:lineRule="auto"/>
        <w:ind w:left="107" w:right="121" w:firstLine="199"/>
        <w:jc w:val="both"/>
      </w:pPr>
      <w:r>
        <w:rPr>
          <w:rFonts w:ascii="Arial" w:hAnsi="Arial"/>
          <w:w w:val="95"/>
        </w:rPr>
        <w:t>x</w:t>
      </w:r>
      <w:r>
        <w:rPr>
          <w:rFonts w:ascii="Arial" w:hAnsi="Arial"/>
          <w:spacing w:val="-9"/>
          <w:w w:val="95"/>
        </w:rPr>
        <w:t> </w:t>
      </w:r>
      <w:r>
        <w:rPr/>
        <w:t>The</w:t>
      </w:r>
      <w:r>
        <w:rPr>
          <w:spacing w:val="-10"/>
        </w:rPr>
        <w:t> </w:t>
      </w:r>
      <w:r>
        <w:rPr/>
        <w:t>region’s</w:t>
      </w:r>
      <w:r>
        <w:rPr>
          <w:spacing w:val="-9"/>
        </w:rPr>
        <w:t> </w:t>
      </w:r>
      <w:r>
        <w:rPr/>
        <w:t>share</w:t>
      </w:r>
      <w:r>
        <w:rPr>
          <w:spacing w:val="-10"/>
        </w:rPr>
        <w:t> </w:t>
      </w:r>
      <w:r>
        <w:rPr/>
        <w:t>of</w:t>
      </w:r>
      <w:r>
        <w:rPr>
          <w:spacing w:val="-10"/>
        </w:rPr>
        <w:t> </w:t>
      </w:r>
      <w:r>
        <w:rPr/>
        <w:t>generously</w:t>
      </w:r>
      <w:r>
        <w:rPr>
          <w:spacing w:val="-9"/>
        </w:rPr>
        <w:t> </w:t>
      </w:r>
      <w:r>
        <w:rPr/>
        <w:t>housed</w:t>
      </w:r>
      <w:r>
        <w:rPr>
          <w:spacing w:val="-10"/>
        </w:rPr>
        <w:t> </w:t>
      </w:r>
      <w:r>
        <w:rPr/>
        <w:t>households</w:t>
      </w:r>
      <w:r>
        <w:rPr>
          <w:spacing w:val="-10"/>
        </w:rPr>
        <w:t> </w:t>
      </w:r>
      <w:r>
        <w:rPr/>
        <w:t>began</w:t>
      </w:r>
      <w:r>
        <w:rPr>
          <w:spacing w:val="-9"/>
        </w:rPr>
        <w:t> </w:t>
      </w:r>
      <w:r>
        <w:rPr/>
        <w:t>the</w:t>
      </w:r>
      <w:r>
        <w:rPr>
          <w:spacing w:val="-10"/>
        </w:rPr>
        <w:t> </w:t>
      </w:r>
      <w:r>
        <w:rPr/>
        <w:t>1980s</w:t>
      </w:r>
      <w:r>
        <w:rPr>
          <w:spacing w:val="-10"/>
        </w:rPr>
        <w:t> </w:t>
      </w:r>
      <w:r>
        <w:rPr/>
        <w:t>at</w:t>
      </w:r>
      <w:r>
        <w:rPr>
          <w:spacing w:val="-10"/>
        </w:rPr>
        <w:t> </w:t>
      </w:r>
      <w:r>
        <w:rPr>
          <w:spacing w:val="-3"/>
        </w:rPr>
        <w:t>about </w:t>
      </w:r>
      <w:r>
        <w:rPr/>
        <w:t>the same level as the nation, but fell far faster and declined in absolute </w:t>
      </w:r>
      <w:r>
        <w:rPr>
          <w:spacing w:val="-3"/>
        </w:rPr>
        <w:t>terms </w:t>
      </w:r>
      <w:r>
        <w:rPr/>
        <w:t>(unlike the nation). While the bottom portion of the generously housed </w:t>
      </w:r>
      <w:r>
        <w:rPr>
          <w:spacing w:val="-4"/>
        </w:rPr>
        <w:t>margin </w:t>
      </w:r>
      <w:r>
        <w:rPr/>
        <w:t>became worse-off with regard to income and housing payment burdens, those </w:t>
      </w:r>
      <w:r>
        <w:rPr>
          <w:spacing w:val="-7"/>
        </w:rPr>
        <w:t>at </w:t>
      </w:r>
      <w:r>
        <w:rPr/>
        <w:t>the very top succeeded in growing even richer, reducing their light housing cost burdens</w:t>
      </w:r>
      <w:r>
        <w:rPr>
          <w:spacing w:val="-5"/>
        </w:rPr>
        <w:t> </w:t>
      </w:r>
      <w:r>
        <w:rPr/>
        <w:t>still</w:t>
      </w:r>
      <w:r>
        <w:rPr>
          <w:spacing w:val="-5"/>
        </w:rPr>
        <w:t> </w:t>
      </w:r>
      <w:r>
        <w:rPr/>
        <w:t>further,</w:t>
      </w:r>
      <w:r>
        <w:rPr>
          <w:spacing w:val="-5"/>
        </w:rPr>
        <w:t> </w:t>
      </w:r>
      <w:r>
        <w:rPr/>
        <w:t>and</w:t>
      </w:r>
      <w:r>
        <w:rPr>
          <w:spacing w:val="-5"/>
        </w:rPr>
        <w:t> </w:t>
      </w:r>
      <w:r>
        <w:rPr/>
        <w:t>expanding</w:t>
      </w:r>
      <w:r>
        <w:rPr>
          <w:spacing w:val="-5"/>
        </w:rPr>
        <w:t> </w:t>
      </w:r>
      <w:r>
        <w:rPr/>
        <w:t>their</w:t>
      </w:r>
      <w:r>
        <w:rPr>
          <w:spacing w:val="-5"/>
        </w:rPr>
        <w:t> </w:t>
      </w:r>
      <w:r>
        <w:rPr/>
        <w:t>consumption</w:t>
      </w:r>
      <w:r>
        <w:rPr>
          <w:spacing w:val="-5"/>
        </w:rPr>
        <w:t> </w:t>
      </w:r>
      <w:r>
        <w:rPr/>
        <w:t>of</w:t>
      </w:r>
      <w:r>
        <w:rPr>
          <w:spacing w:val="-5"/>
        </w:rPr>
        <w:t> </w:t>
      </w:r>
      <w:r>
        <w:rPr/>
        <w:t>residential</w:t>
      </w:r>
      <w:r>
        <w:rPr>
          <w:spacing w:val="-5"/>
        </w:rPr>
        <w:t> </w:t>
      </w:r>
      <w:r>
        <w:rPr/>
        <w:t>space.</w:t>
      </w:r>
    </w:p>
    <w:p>
      <w:pPr>
        <w:pStyle w:val="BodyText"/>
        <w:spacing w:line="252" w:lineRule="auto"/>
        <w:ind w:left="107" w:right="124" w:firstLine="199"/>
        <w:jc w:val="both"/>
      </w:pPr>
      <w:r>
        <w:rPr>
          <w:rFonts w:ascii="Arial" w:hAnsi="Arial"/>
          <w:w w:val="95"/>
        </w:rPr>
        <w:t>x </w:t>
      </w:r>
      <w:r>
        <w:rPr>
          <w:spacing w:val="-4"/>
        </w:rPr>
        <w:t>Young </w:t>
      </w:r>
      <w:r>
        <w:rPr/>
        <w:t>people, women, African Americans and Hispanics, nonfamily </w:t>
      </w:r>
      <w:r>
        <w:rPr>
          <w:spacing w:val="-4"/>
        </w:rPr>
        <w:t>and </w:t>
      </w:r>
      <w:r>
        <w:rPr/>
        <w:t>female-headed households were disproportionately represented amongst the </w:t>
      </w:r>
      <w:r>
        <w:rPr>
          <w:spacing w:val="-4"/>
        </w:rPr>
        <w:t>pre- </w:t>
      </w:r>
      <w:r>
        <w:rPr/>
        <w:t>cariously housed, as they were in the nation; similarly, older householders, men, Whites, and married couple households were disproportionately represented among the generously housed. However, young people were at higher risk of becoming precariously housed in Los Angeles as they were nationwide, and female-headed</w:t>
      </w:r>
      <w:r>
        <w:rPr>
          <w:spacing w:val="-7"/>
        </w:rPr>
        <w:t> </w:t>
      </w:r>
      <w:r>
        <w:rPr/>
        <w:t>households</w:t>
      </w:r>
      <w:r>
        <w:rPr>
          <w:spacing w:val="-6"/>
        </w:rPr>
        <w:t> </w:t>
      </w:r>
      <w:r>
        <w:rPr/>
        <w:t>and</w:t>
      </w:r>
      <w:r>
        <w:rPr>
          <w:spacing w:val="-16"/>
        </w:rPr>
        <w:t> </w:t>
      </w:r>
      <w:r>
        <w:rPr/>
        <w:t>African</w:t>
      </w:r>
      <w:r>
        <w:rPr>
          <w:spacing w:val="-16"/>
        </w:rPr>
        <w:t> </w:t>
      </w:r>
      <w:r>
        <w:rPr/>
        <w:t>American</w:t>
      </w:r>
      <w:r>
        <w:rPr>
          <w:spacing w:val="-6"/>
        </w:rPr>
        <w:t> </w:t>
      </w:r>
      <w:r>
        <w:rPr/>
        <w:t>households</w:t>
      </w:r>
      <w:r>
        <w:rPr>
          <w:spacing w:val="-6"/>
        </w:rPr>
        <w:t> </w:t>
      </w:r>
      <w:r>
        <w:rPr/>
        <w:t>were</w:t>
      </w:r>
      <w:r>
        <w:rPr>
          <w:spacing w:val="-6"/>
        </w:rPr>
        <w:t> </w:t>
      </w:r>
      <w:r>
        <w:rPr/>
        <w:t>also</w:t>
      </w:r>
      <w:r>
        <w:rPr>
          <w:spacing w:val="-6"/>
        </w:rPr>
        <w:t> </w:t>
      </w:r>
      <w:r>
        <w:rPr/>
        <w:t>at</w:t>
      </w:r>
      <w:r>
        <w:rPr>
          <w:spacing w:val="-6"/>
        </w:rPr>
        <w:t> </w:t>
      </w:r>
      <w:r>
        <w:rPr/>
        <w:t>greater risk. The prospect of enjoying generous housing circumstances fell twice as </w:t>
      </w:r>
      <w:r>
        <w:rPr>
          <w:spacing w:val="-3"/>
        </w:rPr>
        <w:t>fast </w:t>
      </w:r>
      <w:r>
        <w:rPr/>
        <w:t>for the region’s Asian households as for their counterparts nationwide, and </w:t>
      </w:r>
      <w:r>
        <w:rPr>
          <w:spacing w:val="-3"/>
        </w:rPr>
        <w:t>while </w:t>
      </w:r>
      <w:r>
        <w:rPr/>
        <w:t>recent immigrants faced an increased risk of becoming precariously housed, longer established immigrants saw their chances of attaining generous housing circumstances fall faster over the decade than did established immigrants </w:t>
      </w:r>
      <w:r>
        <w:rPr>
          <w:spacing w:val="-3"/>
        </w:rPr>
        <w:t>else- </w:t>
      </w:r>
      <w:r>
        <w:rPr/>
        <w:t>where in the</w:t>
      </w:r>
      <w:r>
        <w:rPr>
          <w:spacing w:val="-13"/>
        </w:rPr>
        <w:t> </w:t>
      </w:r>
      <w:r>
        <w:rPr/>
        <w:t>country.</w:t>
      </w:r>
    </w:p>
    <w:p>
      <w:pPr>
        <w:pStyle w:val="BodyText"/>
        <w:spacing w:line="252" w:lineRule="auto"/>
        <w:ind w:left="107" w:right="120" w:firstLine="199"/>
        <w:jc w:val="both"/>
      </w:pPr>
      <w:r>
        <w:rPr>
          <w:rFonts w:ascii="Arial"/>
          <w:w w:val="95"/>
        </w:rPr>
        <w:t>x </w:t>
      </w:r>
      <w:r>
        <w:rPr/>
        <w:t>The share of precariously housed households grew faster in the central cities of Los Angeles and Long Beach than in noncentral city areas, with rates double the regional average (and thus 4 times the national average) common in the central and south-central communities of the county; the number and proportion of generously housed households fell throughout the county, but dropped more rapidly in noncentral city areas as traditional residential landscapes of suburban affluence and housing affordability were reshaped by profound economic and demographic shifts.</w:t>
      </w:r>
    </w:p>
    <w:p>
      <w:pPr>
        <w:pStyle w:val="BodyText"/>
        <w:spacing w:line="252" w:lineRule="auto"/>
        <w:ind w:left="107" w:right="123" w:firstLine="199"/>
        <w:jc w:val="both"/>
      </w:pPr>
      <w:r>
        <w:rPr/>
        <w:t>Our analysis of the housing status distribution in Los Angeles is primarily descriptive in nature. Future investigations will extend this study through the use</w:t>
      </w:r>
    </w:p>
    <w:p>
      <w:pPr>
        <w:spacing w:after="0" w:line="252" w:lineRule="auto"/>
        <w:jc w:val="both"/>
        <w:sectPr>
          <w:pgSz w:w="7120" w:h="11820"/>
          <w:pgMar w:header="293" w:footer="0" w:top="500" w:bottom="280" w:left="260" w:right="160"/>
        </w:sectPr>
      </w:pPr>
    </w:p>
    <w:p>
      <w:pPr>
        <w:pStyle w:val="BodyText"/>
        <w:spacing w:before="6"/>
        <w:rPr>
          <w:sz w:val="13"/>
        </w:rPr>
      </w:pPr>
    </w:p>
    <w:p>
      <w:pPr>
        <w:pStyle w:val="BodyText"/>
        <w:spacing w:line="259" w:lineRule="auto" w:before="91"/>
        <w:ind w:left="107" w:right="115"/>
        <w:jc w:val="both"/>
      </w:pPr>
      <w:r>
        <w:rPr/>
        <w:t>of multivariate modeling. For example, logistical regression analysis of the determinants</w:t>
      </w:r>
      <w:r>
        <w:rPr>
          <w:spacing w:val="-12"/>
        </w:rPr>
        <w:t> </w:t>
      </w:r>
      <w:r>
        <w:rPr/>
        <w:t>of</w:t>
      </w:r>
      <w:r>
        <w:rPr>
          <w:spacing w:val="-11"/>
        </w:rPr>
        <w:t> </w:t>
      </w:r>
      <w:r>
        <w:rPr/>
        <w:t>membership</w:t>
      </w:r>
      <w:r>
        <w:rPr>
          <w:spacing w:val="-11"/>
        </w:rPr>
        <w:t> </w:t>
      </w:r>
      <w:r>
        <w:rPr/>
        <w:t>in</w:t>
      </w:r>
      <w:r>
        <w:rPr>
          <w:spacing w:val="-12"/>
        </w:rPr>
        <w:t> </w:t>
      </w:r>
      <w:r>
        <w:rPr/>
        <w:t>either</w:t>
      </w:r>
      <w:r>
        <w:rPr>
          <w:spacing w:val="-11"/>
        </w:rPr>
        <w:t> </w:t>
      </w:r>
      <w:r>
        <w:rPr/>
        <w:t>precariously</w:t>
      </w:r>
      <w:r>
        <w:rPr>
          <w:spacing w:val="-11"/>
        </w:rPr>
        <w:t> </w:t>
      </w:r>
      <w:r>
        <w:rPr/>
        <w:t>or</w:t>
      </w:r>
      <w:r>
        <w:rPr>
          <w:spacing w:val="-11"/>
        </w:rPr>
        <w:t> </w:t>
      </w:r>
      <w:r>
        <w:rPr/>
        <w:t>generously</w:t>
      </w:r>
      <w:r>
        <w:rPr>
          <w:spacing w:val="-12"/>
        </w:rPr>
        <w:t> </w:t>
      </w:r>
      <w:r>
        <w:rPr/>
        <w:t>housed</w:t>
      </w:r>
      <w:r>
        <w:rPr>
          <w:spacing w:val="-11"/>
        </w:rPr>
        <w:t> </w:t>
      </w:r>
      <w:r>
        <w:rPr/>
        <w:t>group,</w:t>
      </w:r>
      <w:r>
        <w:rPr>
          <w:spacing w:val="-11"/>
        </w:rPr>
        <w:t> </w:t>
      </w:r>
      <w:r>
        <w:rPr/>
        <w:t>in both 1980 and 1990, would enable us to tease out how particular groups in the region were differentially impacted by the changing economic and demographic contexts that characterized the decade. Other multivariate approaches could reveal</w:t>
      </w:r>
      <w:r>
        <w:rPr>
          <w:spacing w:val="-9"/>
        </w:rPr>
        <w:t> </w:t>
      </w:r>
      <w:r>
        <w:rPr/>
        <w:t>the</w:t>
      </w:r>
      <w:r>
        <w:rPr>
          <w:spacing w:val="-8"/>
        </w:rPr>
        <w:t> </w:t>
      </w:r>
      <w:r>
        <w:rPr/>
        <w:t>changing</w:t>
      </w:r>
      <w:r>
        <w:rPr>
          <w:spacing w:val="-8"/>
        </w:rPr>
        <w:t> </w:t>
      </w:r>
      <w:r>
        <w:rPr/>
        <w:t>fortunes</w:t>
      </w:r>
      <w:r>
        <w:rPr>
          <w:spacing w:val="-8"/>
        </w:rPr>
        <w:t> </w:t>
      </w:r>
      <w:r>
        <w:rPr/>
        <w:t>of</w:t>
      </w:r>
      <w:r>
        <w:rPr>
          <w:spacing w:val="-8"/>
        </w:rPr>
        <w:t> </w:t>
      </w:r>
      <w:r>
        <w:rPr/>
        <w:t>workers</w:t>
      </w:r>
      <w:r>
        <w:rPr>
          <w:spacing w:val="-8"/>
        </w:rPr>
        <w:t> </w:t>
      </w:r>
      <w:r>
        <w:rPr/>
        <w:t>in</w:t>
      </w:r>
      <w:r>
        <w:rPr>
          <w:spacing w:val="-9"/>
        </w:rPr>
        <w:t> </w:t>
      </w:r>
      <w:r>
        <w:rPr/>
        <w:t>particular</w:t>
      </w:r>
      <w:r>
        <w:rPr>
          <w:spacing w:val="-8"/>
        </w:rPr>
        <w:t> </w:t>
      </w:r>
      <w:r>
        <w:rPr/>
        <w:t>occupations</w:t>
      </w:r>
      <w:r>
        <w:rPr>
          <w:spacing w:val="-8"/>
        </w:rPr>
        <w:t> </w:t>
      </w:r>
      <w:r>
        <w:rPr/>
        <w:t>or</w:t>
      </w:r>
      <w:r>
        <w:rPr>
          <w:spacing w:val="-8"/>
        </w:rPr>
        <w:t> </w:t>
      </w:r>
      <w:r>
        <w:rPr/>
        <w:t>industries,</w:t>
      </w:r>
      <w:r>
        <w:rPr>
          <w:spacing w:val="-8"/>
        </w:rPr>
        <w:t> </w:t>
      </w:r>
      <w:r>
        <w:rPr/>
        <w:t>by race/ethnicity</w:t>
      </w:r>
      <w:r>
        <w:rPr>
          <w:spacing w:val="-7"/>
        </w:rPr>
        <w:t> </w:t>
      </w:r>
      <w:r>
        <w:rPr/>
        <w:t>and</w:t>
      </w:r>
      <w:r>
        <w:rPr>
          <w:spacing w:val="-7"/>
        </w:rPr>
        <w:t> </w:t>
      </w:r>
      <w:r>
        <w:rPr/>
        <w:t>gender,</w:t>
      </w:r>
      <w:r>
        <w:rPr>
          <w:spacing w:val="-7"/>
        </w:rPr>
        <w:t> </w:t>
      </w:r>
      <w:r>
        <w:rPr/>
        <w:t>and</w:t>
      </w:r>
      <w:r>
        <w:rPr>
          <w:spacing w:val="-7"/>
        </w:rPr>
        <w:t> </w:t>
      </w:r>
      <w:r>
        <w:rPr/>
        <w:t>age</w:t>
      </w:r>
      <w:r>
        <w:rPr>
          <w:spacing w:val="-7"/>
        </w:rPr>
        <w:t> </w:t>
      </w:r>
      <w:r>
        <w:rPr/>
        <w:t>cohort.</w:t>
      </w:r>
      <w:r>
        <w:rPr>
          <w:spacing w:val="-11"/>
        </w:rPr>
        <w:t> </w:t>
      </w:r>
      <w:r>
        <w:rPr>
          <w:spacing w:val="-8"/>
        </w:rPr>
        <w:t>We</w:t>
      </w:r>
      <w:r>
        <w:rPr>
          <w:spacing w:val="-7"/>
        </w:rPr>
        <w:t> </w:t>
      </w:r>
      <w:r>
        <w:rPr/>
        <w:t>are</w:t>
      </w:r>
      <w:r>
        <w:rPr>
          <w:spacing w:val="-6"/>
        </w:rPr>
        <w:t> </w:t>
      </w:r>
      <w:r>
        <w:rPr/>
        <w:t>also</w:t>
      </w:r>
      <w:r>
        <w:rPr>
          <w:spacing w:val="-7"/>
        </w:rPr>
        <w:t> </w:t>
      </w:r>
      <w:r>
        <w:rPr/>
        <w:t>interested</w:t>
      </w:r>
      <w:r>
        <w:rPr>
          <w:spacing w:val="-7"/>
        </w:rPr>
        <w:t> </w:t>
      </w:r>
      <w:r>
        <w:rPr/>
        <w:t>in</w:t>
      </w:r>
      <w:r>
        <w:rPr>
          <w:spacing w:val="-7"/>
        </w:rPr>
        <w:t> </w:t>
      </w:r>
      <w:r>
        <w:rPr/>
        <w:t>understanding more about generously housed immigrants. Such households form a crucial part of ethnoburbs, such as the Chinese-dominated west San Gabriel </w:t>
      </w:r>
      <w:r>
        <w:rPr>
          <w:spacing w:val="-6"/>
        </w:rPr>
        <w:t>Valley, </w:t>
      </w:r>
      <w:r>
        <w:rPr/>
        <w:t>an increasingly class-stratified and geographically integrated outpost in the </w:t>
      </w:r>
      <w:r>
        <w:rPr>
          <w:spacing w:val="-3"/>
        </w:rPr>
        <w:t>global </w:t>
      </w:r>
      <w:r>
        <w:rPr/>
        <w:t>economy. Lastly, the mansionization phenomenon deserves closer analysis, so that we can better grasp how the demand for large homes may be segmented on the basis of single generational versus multigenerational family household status and location, and what such market segmentation may mean for urban land use planning.</w:t>
      </w:r>
    </w:p>
    <w:p>
      <w:pPr>
        <w:pStyle w:val="BodyText"/>
        <w:spacing w:line="216" w:lineRule="exact"/>
        <w:ind w:left="306"/>
      </w:pPr>
      <w:r>
        <w:rPr/>
        <w:t>Already at this juncture, however, there are some clear policy implications of</w:t>
      </w:r>
    </w:p>
    <w:p>
      <w:pPr>
        <w:pStyle w:val="BodyText"/>
        <w:spacing w:line="259" w:lineRule="auto" w:before="18"/>
        <w:ind w:left="107" w:right="103"/>
        <w:jc w:val="both"/>
      </w:pPr>
      <w:r>
        <w:rPr/>
        <w:t>our findings. Some mirror those identified in the Myers and </w:t>
      </w:r>
      <w:r>
        <w:rPr>
          <w:spacing w:val="-4"/>
        </w:rPr>
        <w:t>Wolch </w:t>
      </w:r>
      <w:r>
        <w:rPr/>
        <w:t>study </w:t>
      </w:r>
      <w:r>
        <w:rPr>
          <w:spacing w:val="-8"/>
        </w:rPr>
        <w:t>of </w:t>
      </w:r>
      <w:r>
        <w:rPr/>
        <w:t>housing polarization in the nation, for example, the need for additional housing assistance resources to help close the gap between the growing number of people eligible for such assistance and its availability, and the inherent inequity in maintaining hugely disproportionate subsidies to homeowners, especially the most</w:t>
      </w:r>
      <w:r>
        <w:rPr>
          <w:spacing w:val="-9"/>
        </w:rPr>
        <w:t> </w:t>
      </w:r>
      <w:r>
        <w:rPr/>
        <w:t>affluent,</w:t>
      </w:r>
      <w:r>
        <w:rPr>
          <w:spacing w:val="-8"/>
        </w:rPr>
        <w:t> </w:t>
      </w:r>
      <w:r>
        <w:rPr/>
        <w:t>in</w:t>
      </w:r>
      <w:r>
        <w:rPr>
          <w:spacing w:val="-8"/>
        </w:rPr>
        <w:t> </w:t>
      </w:r>
      <w:r>
        <w:rPr/>
        <w:t>the</w:t>
      </w:r>
      <w:r>
        <w:rPr>
          <w:spacing w:val="-8"/>
        </w:rPr>
        <w:t> </w:t>
      </w:r>
      <w:r>
        <w:rPr/>
        <w:t>form</w:t>
      </w:r>
      <w:r>
        <w:rPr>
          <w:spacing w:val="-8"/>
        </w:rPr>
        <w:t> </w:t>
      </w:r>
      <w:r>
        <w:rPr/>
        <w:t>of</w:t>
      </w:r>
      <w:r>
        <w:rPr>
          <w:spacing w:val="-8"/>
        </w:rPr>
        <w:t> </w:t>
      </w:r>
      <w:r>
        <w:rPr/>
        <w:t>income</w:t>
      </w:r>
      <w:r>
        <w:rPr>
          <w:spacing w:val="-8"/>
        </w:rPr>
        <w:t> </w:t>
      </w:r>
      <w:r>
        <w:rPr/>
        <w:t>tax</w:t>
      </w:r>
      <w:r>
        <w:rPr>
          <w:spacing w:val="-8"/>
        </w:rPr>
        <w:t> </w:t>
      </w:r>
      <w:r>
        <w:rPr/>
        <w:t>code</w:t>
      </w:r>
      <w:r>
        <w:rPr>
          <w:spacing w:val="-8"/>
        </w:rPr>
        <w:t> </w:t>
      </w:r>
      <w:r>
        <w:rPr/>
        <w:t>provisions</w:t>
      </w:r>
      <w:r>
        <w:rPr>
          <w:spacing w:val="-8"/>
        </w:rPr>
        <w:t> </w:t>
      </w:r>
      <w:r>
        <w:rPr/>
        <w:t>that</w:t>
      </w:r>
      <w:r>
        <w:rPr>
          <w:spacing w:val="-8"/>
        </w:rPr>
        <w:t> </w:t>
      </w:r>
      <w:r>
        <w:rPr/>
        <w:t>permit</w:t>
      </w:r>
      <w:r>
        <w:rPr>
          <w:spacing w:val="-8"/>
        </w:rPr>
        <w:t> </w:t>
      </w:r>
      <w:r>
        <w:rPr/>
        <w:t>the</w:t>
      </w:r>
      <w:r>
        <w:rPr>
          <w:spacing w:val="-8"/>
        </w:rPr>
        <w:t> </w:t>
      </w:r>
      <w:r>
        <w:rPr/>
        <w:t>deduction of mortgage interest payments from homeowner taxable income. Unfortunately, current housing assistance budgets are not growing, nor is the regressive nature and enormous subsidy to more affluent homeowners inherent in the mortgage interest deduction provision apt to become a topic of policy debate. Thus the policy context in these areas does not bode well for those at the precarious margins of the housing status</w:t>
      </w:r>
      <w:r>
        <w:rPr>
          <w:spacing w:val="-21"/>
        </w:rPr>
        <w:t> </w:t>
      </w:r>
      <w:r>
        <w:rPr/>
        <w:t>distribution.</w:t>
      </w:r>
    </w:p>
    <w:p>
      <w:pPr>
        <w:pStyle w:val="BodyText"/>
        <w:spacing w:line="256" w:lineRule="auto"/>
        <w:ind w:left="107" w:right="121" w:firstLine="199"/>
        <w:jc w:val="both"/>
      </w:pPr>
      <w:r>
        <w:rPr/>
        <w:t>Other implications, not taken up in the earlier </w:t>
      </w:r>
      <w:r>
        <w:rPr>
          <w:spacing w:val="-3"/>
        </w:rPr>
        <w:t>study, </w:t>
      </w:r>
      <w:r>
        <w:rPr/>
        <w:t>revolve around the</w:t>
      </w:r>
      <w:r>
        <w:rPr>
          <w:spacing w:val="-17"/>
        </w:rPr>
        <w:t> </w:t>
      </w:r>
      <w:r>
        <w:rPr/>
        <w:t>falling rates of housing autonomy among young people, and the increase in persons </w:t>
      </w:r>
      <w:r>
        <w:rPr>
          <w:spacing w:val="-4"/>
        </w:rPr>
        <w:t>per </w:t>
      </w:r>
      <w:r>
        <w:rPr/>
        <w:t>room and per bedroom among households, interlinked trends that were much more pronounced in Los Angeles than in the nation overall. Whether driven by economic necessity and/or cultural preference, rising levels of residential </w:t>
      </w:r>
      <w:r>
        <w:rPr>
          <w:spacing w:val="-4"/>
        </w:rPr>
        <w:t>unit </w:t>
      </w:r>
      <w:r>
        <w:rPr/>
        <w:t>occupancy have instigated a major effort on the part of landlord organizations </w:t>
      </w:r>
      <w:r>
        <w:rPr>
          <w:spacing w:val="-8"/>
        </w:rPr>
        <w:t>to </w:t>
      </w:r>
      <w:r>
        <w:rPr/>
        <w:t>institute</w:t>
      </w:r>
      <w:r>
        <w:rPr>
          <w:spacing w:val="-4"/>
        </w:rPr>
        <w:t> </w:t>
      </w:r>
      <w:r>
        <w:rPr/>
        <w:t>occupancy</w:t>
      </w:r>
      <w:r>
        <w:rPr>
          <w:spacing w:val="-3"/>
        </w:rPr>
        <w:t> </w:t>
      </w:r>
      <w:r>
        <w:rPr/>
        <w:t>standards.</w:t>
      </w:r>
      <w:r>
        <w:rPr>
          <w:spacing w:val="-14"/>
        </w:rPr>
        <w:t> </w:t>
      </w:r>
      <w:r>
        <w:rPr/>
        <w:t>Although</w:t>
      </w:r>
      <w:r>
        <w:rPr>
          <w:spacing w:val="-3"/>
        </w:rPr>
        <w:t> </w:t>
      </w:r>
      <w:r>
        <w:rPr/>
        <w:t>past</w:t>
      </w:r>
      <w:r>
        <w:rPr>
          <w:spacing w:val="-4"/>
        </w:rPr>
        <w:t> </w:t>
      </w:r>
      <w:r>
        <w:rPr/>
        <w:t>legal</w:t>
      </w:r>
      <w:r>
        <w:rPr>
          <w:spacing w:val="-3"/>
        </w:rPr>
        <w:t> </w:t>
      </w:r>
      <w:r>
        <w:rPr/>
        <w:t>cases</w:t>
      </w:r>
      <w:r>
        <w:rPr>
          <w:spacing w:val="-3"/>
        </w:rPr>
        <w:t> </w:t>
      </w:r>
      <w:r>
        <w:rPr/>
        <w:t>have</w:t>
      </w:r>
      <w:r>
        <w:rPr>
          <w:spacing w:val="-4"/>
        </w:rPr>
        <w:t> </w:t>
      </w:r>
      <w:r>
        <w:rPr/>
        <w:t>shown</w:t>
      </w:r>
      <w:r>
        <w:rPr>
          <w:spacing w:val="-3"/>
        </w:rPr>
        <w:t> </w:t>
      </w:r>
      <w:r>
        <w:rPr/>
        <w:t>than</w:t>
      </w:r>
      <w:r>
        <w:rPr>
          <w:spacing w:val="-3"/>
        </w:rPr>
        <w:t> </w:t>
      </w:r>
      <w:r>
        <w:rPr/>
        <w:t>restric- tive occupancy standards, such as a limit of two persons per bedroom, impose </w:t>
      </w:r>
      <w:r>
        <w:rPr>
          <w:spacing w:val="-11"/>
        </w:rPr>
        <w:t>a </w:t>
      </w:r>
      <w:r>
        <w:rPr/>
        <w:t>disparate impact on families with children and are therefore discriminatory, </w:t>
      </w:r>
      <w:r>
        <w:rPr>
          <w:spacing w:val="-14"/>
        </w:rPr>
        <w:t>a </w:t>
      </w:r>
      <w:r>
        <w:rPr/>
        <w:t>major revision of the U.S. Housing Bill under consideration by Congress during 1995–1996 would have in effect allowed landlords to enforce a two-person per bedroom occupancy ceiling (Section 508, U.S. Housing Reform Bill of 1996). Such a policy would be disastrous to poor households, especially those with children, and would also discriminate against multigenerational households. In Los</w:t>
      </w:r>
      <w:r>
        <w:rPr>
          <w:spacing w:val="34"/>
        </w:rPr>
        <w:t> </w:t>
      </w:r>
      <w:r>
        <w:rPr/>
        <w:t>Angeles, such a sweeping change could be used to displace a large share of</w:t>
      </w:r>
    </w:p>
    <w:p>
      <w:pPr>
        <w:spacing w:after="0" w:line="256" w:lineRule="auto"/>
        <w:jc w:val="both"/>
        <w:sectPr>
          <w:pgSz w:w="7120" w:h="11820"/>
          <w:pgMar w:header="294" w:footer="0" w:top="500" w:bottom="280" w:left="260" w:right="160"/>
        </w:sectPr>
      </w:pPr>
    </w:p>
    <w:p>
      <w:pPr>
        <w:pStyle w:val="BodyText"/>
        <w:spacing w:before="8"/>
        <w:rPr>
          <w:sz w:val="13"/>
        </w:rPr>
      </w:pPr>
    </w:p>
    <w:p>
      <w:pPr>
        <w:pStyle w:val="BodyText"/>
        <w:spacing w:line="256" w:lineRule="auto" w:before="91"/>
        <w:ind w:left="107" w:right="41"/>
      </w:pPr>
      <w:r>
        <w:rPr/>
        <w:t>households, especially immigrant households with children residing in the central portion of the county.</w:t>
      </w:r>
    </w:p>
    <w:p>
      <w:pPr>
        <w:pStyle w:val="BodyText"/>
        <w:spacing w:line="254" w:lineRule="auto"/>
        <w:ind w:left="107" w:right="122" w:firstLine="199"/>
        <w:jc w:val="both"/>
      </w:pPr>
      <w:r>
        <w:rPr/>
        <w:t>Lastly, although the precipitating causes of homelessness often lie beyond the housing realm, the increase in households living in ever more precarious</w:t>
      </w:r>
      <w:r>
        <w:rPr>
          <w:spacing w:val="-36"/>
        </w:rPr>
        <w:t> </w:t>
      </w:r>
      <w:r>
        <w:rPr/>
        <w:t>housing conditions means that unless social safety net provisions are strengthened, more and more people will become homeless, especially in Los Angeles. In fact, </w:t>
      </w:r>
      <w:r>
        <w:rPr>
          <w:spacing w:val="-4"/>
        </w:rPr>
        <w:t>the </w:t>
      </w:r>
      <w:r>
        <w:rPr/>
        <w:t>need for additional income assistance is even more profound than our estimates suggest,</w:t>
      </w:r>
      <w:r>
        <w:rPr>
          <w:spacing w:val="-7"/>
        </w:rPr>
        <w:t> </w:t>
      </w:r>
      <w:r>
        <w:rPr/>
        <w:t>given</w:t>
      </w:r>
      <w:r>
        <w:rPr>
          <w:spacing w:val="-6"/>
        </w:rPr>
        <w:t> </w:t>
      </w:r>
      <w:r>
        <w:rPr/>
        <w:t>the</w:t>
      </w:r>
      <w:r>
        <w:rPr>
          <w:spacing w:val="-6"/>
        </w:rPr>
        <w:t> </w:t>
      </w:r>
      <w:r>
        <w:rPr/>
        <w:t>severe</w:t>
      </w:r>
      <w:r>
        <w:rPr>
          <w:spacing w:val="-6"/>
        </w:rPr>
        <w:t> </w:t>
      </w:r>
      <w:r>
        <w:rPr/>
        <w:t>post-1989</w:t>
      </w:r>
      <w:r>
        <w:rPr>
          <w:spacing w:val="-7"/>
        </w:rPr>
        <w:t> </w:t>
      </w:r>
      <w:r>
        <w:rPr/>
        <w:t>recession</w:t>
      </w:r>
      <w:r>
        <w:rPr>
          <w:spacing w:val="-6"/>
        </w:rPr>
        <w:t> </w:t>
      </w:r>
      <w:r>
        <w:rPr/>
        <w:t>in</w:t>
      </w:r>
      <w:r>
        <w:rPr>
          <w:spacing w:val="-6"/>
        </w:rPr>
        <w:t> </w:t>
      </w:r>
      <w:r>
        <w:rPr/>
        <w:t>California</w:t>
      </w:r>
      <w:r>
        <w:rPr>
          <w:spacing w:val="-6"/>
        </w:rPr>
        <w:t> </w:t>
      </w:r>
      <w:r>
        <w:rPr/>
        <w:t>that</w:t>
      </w:r>
      <w:r>
        <w:rPr>
          <w:spacing w:val="-7"/>
        </w:rPr>
        <w:t> </w:t>
      </w:r>
      <w:r>
        <w:rPr/>
        <w:t>resulted</w:t>
      </w:r>
      <w:r>
        <w:rPr>
          <w:spacing w:val="-6"/>
        </w:rPr>
        <w:t> </w:t>
      </w:r>
      <w:r>
        <w:rPr/>
        <w:t>in</w:t>
      </w:r>
      <w:r>
        <w:rPr>
          <w:spacing w:val="-6"/>
        </w:rPr>
        <w:t> </w:t>
      </w:r>
      <w:r>
        <w:rPr/>
        <w:t>falling incomes among less affluent households (Reed, Haber, and Mameesh, 1996) </w:t>
      </w:r>
      <w:r>
        <w:rPr>
          <w:spacing w:val="-5"/>
        </w:rPr>
        <w:t>and </w:t>
      </w:r>
      <w:r>
        <w:rPr/>
        <w:t>the fact that virtually all manufacturing jobs lost in the state were located </w:t>
      </w:r>
      <w:r>
        <w:rPr>
          <w:spacing w:val="-8"/>
        </w:rPr>
        <w:t>in </w:t>
      </w:r>
      <w:r>
        <w:rPr/>
        <w:t>Southern</w:t>
      </w:r>
      <w:r>
        <w:rPr>
          <w:spacing w:val="-4"/>
        </w:rPr>
        <w:t> </w:t>
      </w:r>
      <w:r>
        <w:rPr/>
        <w:t>California.</w:t>
      </w:r>
      <w:r>
        <w:rPr>
          <w:spacing w:val="-4"/>
        </w:rPr>
        <w:t> </w:t>
      </w:r>
      <w:r>
        <w:rPr/>
        <w:t>Such</w:t>
      </w:r>
      <w:r>
        <w:rPr>
          <w:spacing w:val="-4"/>
        </w:rPr>
        <w:t> </w:t>
      </w:r>
      <w:r>
        <w:rPr/>
        <w:t>a</w:t>
      </w:r>
      <w:r>
        <w:rPr>
          <w:spacing w:val="-4"/>
        </w:rPr>
        <w:t> </w:t>
      </w:r>
      <w:r>
        <w:rPr/>
        <w:t>strengthening</w:t>
      </w:r>
      <w:r>
        <w:rPr>
          <w:spacing w:val="-4"/>
        </w:rPr>
        <w:t> </w:t>
      </w:r>
      <w:r>
        <w:rPr/>
        <w:t>of</w:t>
      </w:r>
      <w:r>
        <w:rPr>
          <w:spacing w:val="-4"/>
        </w:rPr>
        <w:t> </w:t>
      </w:r>
      <w:r>
        <w:rPr/>
        <w:t>the</w:t>
      </w:r>
      <w:r>
        <w:rPr>
          <w:spacing w:val="-4"/>
        </w:rPr>
        <w:t> </w:t>
      </w:r>
      <w:r>
        <w:rPr/>
        <w:t>safety</w:t>
      </w:r>
      <w:r>
        <w:rPr>
          <w:spacing w:val="-4"/>
        </w:rPr>
        <w:t> </w:t>
      </w:r>
      <w:r>
        <w:rPr/>
        <w:t>net</w:t>
      </w:r>
      <w:r>
        <w:rPr>
          <w:spacing w:val="-4"/>
        </w:rPr>
        <w:t> </w:t>
      </w:r>
      <w:r>
        <w:rPr/>
        <w:t>is</w:t>
      </w:r>
      <w:r>
        <w:rPr>
          <w:spacing w:val="-4"/>
        </w:rPr>
        <w:t> </w:t>
      </w:r>
      <w:r>
        <w:rPr/>
        <w:t>not,</w:t>
      </w:r>
      <w:r>
        <w:rPr>
          <w:spacing w:val="-4"/>
        </w:rPr>
        <w:t> </w:t>
      </w:r>
      <w:r>
        <w:rPr/>
        <w:t>of</w:t>
      </w:r>
      <w:r>
        <w:rPr>
          <w:spacing w:val="-4"/>
        </w:rPr>
        <w:t> </w:t>
      </w:r>
      <w:r>
        <w:rPr/>
        <w:t>course,</w:t>
      </w:r>
      <w:r>
        <w:rPr>
          <w:spacing w:val="-4"/>
        </w:rPr>
        <w:t> </w:t>
      </w:r>
      <w:r>
        <w:rPr/>
        <w:t>what is happening at either the national level or the local level in the Los Angeles region. Instead, homeless policy continues to emphasize emergency assistance, while</w:t>
      </w:r>
      <w:r>
        <w:rPr>
          <w:spacing w:val="-5"/>
        </w:rPr>
        <w:t> </w:t>
      </w:r>
      <w:r>
        <w:rPr/>
        <w:t>the</w:t>
      </w:r>
      <w:r>
        <w:rPr>
          <w:spacing w:val="-5"/>
        </w:rPr>
        <w:t> </w:t>
      </w:r>
      <w:r>
        <w:rPr/>
        <w:t>welfare,</w:t>
      </w:r>
      <w:r>
        <w:rPr>
          <w:spacing w:val="-4"/>
        </w:rPr>
        <w:t> </w:t>
      </w:r>
      <w:r>
        <w:rPr/>
        <w:t>human</w:t>
      </w:r>
      <w:r>
        <w:rPr>
          <w:spacing w:val="-5"/>
        </w:rPr>
        <w:t> </w:t>
      </w:r>
      <w:r>
        <w:rPr/>
        <w:t>service,</w:t>
      </w:r>
      <w:r>
        <w:rPr>
          <w:spacing w:val="-4"/>
        </w:rPr>
        <w:t> </w:t>
      </w:r>
      <w:r>
        <w:rPr/>
        <w:t>and</w:t>
      </w:r>
      <w:r>
        <w:rPr>
          <w:spacing w:val="-5"/>
        </w:rPr>
        <w:t> </w:t>
      </w:r>
      <w:r>
        <w:rPr/>
        <w:t>employment</w:t>
      </w:r>
      <w:r>
        <w:rPr>
          <w:spacing w:val="-5"/>
        </w:rPr>
        <w:t> </w:t>
      </w:r>
      <w:r>
        <w:rPr/>
        <w:t>assistance</w:t>
      </w:r>
      <w:r>
        <w:rPr>
          <w:spacing w:val="-4"/>
        </w:rPr>
        <w:t> </w:t>
      </w:r>
      <w:r>
        <w:rPr/>
        <w:t>supports</w:t>
      </w:r>
      <w:r>
        <w:rPr>
          <w:spacing w:val="-5"/>
        </w:rPr>
        <w:t> </w:t>
      </w:r>
      <w:r>
        <w:rPr/>
        <w:t>so</w:t>
      </w:r>
      <w:r>
        <w:rPr>
          <w:spacing w:val="-4"/>
        </w:rPr>
        <w:t> </w:t>
      </w:r>
      <w:r>
        <w:rPr/>
        <w:t>critical to</w:t>
      </w:r>
      <w:r>
        <w:rPr>
          <w:spacing w:val="-9"/>
        </w:rPr>
        <w:t> </w:t>
      </w:r>
      <w:r>
        <w:rPr>
          <w:i/>
        </w:rPr>
        <w:t>preventing</w:t>
      </w:r>
      <w:r>
        <w:rPr>
          <w:i/>
          <w:spacing w:val="-8"/>
        </w:rPr>
        <w:t> </w:t>
      </w:r>
      <w:r>
        <w:rPr/>
        <w:t>homelessness</w:t>
      </w:r>
      <w:r>
        <w:rPr>
          <w:spacing w:val="-9"/>
        </w:rPr>
        <w:t> </w:t>
      </w:r>
      <w:r>
        <w:rPr/>
        <w:t>are</w:t>
      </w:r>
      <w:r>
        <w:rPr>
          <w:spacing w:val="-9"/>
        </w:rPr>
        <w:t> </w:t>
      </w:r>
      <w:r>
        <w:rPr/>
        <w:t>being</w:t>
      </w:r>
      <w:r>
        <w:rPr>
          <w:spacing w:val="-9"/>
        </w:rPr>
        <w:t> </w:t>
      </w:r>
      <w:r>
        <w:rPr/>
        <w:t>cut.</w:t>
      </w:r>
      <w:r>
        <w:rPr>
          <w:spacing w:val="-9"/>
        </w:rPr>
        <w:t> </w:t>
      </w:r>
      <w:r>
        <w:rPr/>
        <w:t>Recently</w:t>
      </w:r>
      <w:r>
        <w:rPr>
          <w:spacing w:val="-9"/>
        </w:rPr>
        <w:t> </w:t>
      </w:r>
      <w:r>
        <w:rPr/>
        <w:t>enacted</w:t>
      </w:r>
      <w:r>
        <w:rPr>
          <w:spacing w:val="-8"/>
        </w:rPr>
        <w:t> </w:t>
      </w:r>
      <w:r>
        <w:rPr/>
        <w:t>changes</w:t>
      </w:r>
      <w:r>
        <w:rPr>
          <w:spacing w:val="-9"/>
        </w:rPr>
        <w:t> </w:t>
      </w:r>
      <w:r>
        <w:rPr/>
        <w:t>in</w:t>
      </w:r>
      <w:r>
        <w:rPr>
          <w:spacing w:val="-9"/>
        </w:rPr>
        <w:t> </w:t>
      </w:r>
      <w:r>
        <w:rPr/>
        <w:t>the</w:t>
      </w:r>
      <w:r>
        <w:rPr>
          <w:spacing w:val="-9"/>
        </w:rPr>
        <w:t> </w:t>
      </w:r>
      <w:r>
        <w:rPr/>
        <w:t>federal Aid</w:t>
      </w:r>
      <w:r>
        <w:rPr>
          <w:spacing w:val="-9"/>
        </w:rPr>
        <w:t> </w:t>
      </w:r>
      <w:r>
        <w:rPr/>
        <w:t>to</w:t>
      </w:r>
      <w:r>
        <w:rPr>
          <w:spacing w:val="-8"/>
        </w:rPr>
        <w:t> </w:t>
      </w:r>
      <w:r>
        <w:rPr/>
        <w:t>Families</w:t>
      </w:r>
      <w:r>
        <w:rPr>
          <w:spacing w:val="-8"/>
        </w:rPr>
        <w:t> </w:t>
      </w:r>
      <w:r>
        <w:rPr/>
        <w:t>with</w:t>
      </w:r>
      <w:r>
        <w:rPr>
          <w:spacing w:val="-8"/>
        </w:rPr>
        <w:t> </w:t>
      </w:r>
      <w:r>
        <w:rPr/>
        <w:t>Dependent</w:t>
      </w:r>
      <w:r>
        <w:rPr>
          <w:spacing w:val="-8"/>
        </w:rPr>
        <w:t> </w:t>
      </w:r>
      <w:r>
        <w:rPr/>
        <w:t>Children</w:t>
      </w:r>
      <w:r>
        <w:rPr>
          <w:spacing w:val="-9"/>
        </w:rPr>
        <w:t> </w:t>
      </w:r>
      <w:r>
        <w:rPr/>
        <w:t>Program,</w:t>
      </w:r>
      <w:r>
        <w:rPr>
          <w:spacing w:val="-8"/>
        </w:rPr>
        <w:t> </w:t>
      </w:r>
      <w:r>
        <w:rPr/>
        <w:t>the</w:t>
      </w:r>
      <w:r>
        <w:rPr>
          <w:spacing w:val="-8"/>
        </w:rPr>
        <w:t> </w:t>
      </w:r>
      <w:r>
        <w:rPr/>
        <w:t>Food</w:t>
      </w:r>
      <w:r>
        <w:rPr>
          <w:spacing w:val="-8"/>
        </w:rPr>
        <w:t> </w:t>
      </w:r>
      <w:r>
        <w:rPr/>
        <w:t>Stamp</w:t>
      </w:r>
      <w:r>
        <w:rPr>
          <w:spacing w:val="-8"/>
        </w:rPr>
        <w:t> </w:t>
      </w:r>
      <w:r>
        <w:rPr/>
        <w:t>Program,</w:t>
      </w:r>
      <w:r>
        <w:rPr>
          <w:spacing w:val="-8"/>
        </w:rPr>
        <w:t> </w:t>
      </w:r>
      <w:r>
        <w:rPr/>
        <w:t>and in</w:t>
      </w:r>
      <w:r>
        <w:rPr>
          <w:spacing w:val="-19"/>
        </w:rPr>
        <w:t> </w:t>
      </w:r>
      <w:r>
        <w:rPr/>
        <w:t>the</w:t>
      </w:r>
      <w:r>
        <w:rPr>
          <w:spacing w:val="-19"/>
        </w:rPr>
        <w:t> </w:t>
      </w:r>
      <w:r>
        <w:rPr/>
        <w:t>Supplemental</w:t>
      </w:r>
      <w:r>
        <w:rPr>
          <w:spacing w:val="-18"/>
        </w:rPr>
        <w:t> </w:t>
      </w:r>
      <w:r>
        <w:rPr/>
        <w:t>Security</w:t>
      </w:r>
      <w:r>
        <w:rPr>
          <w:spacing w:val="-19"/>
        </w:rPr>
        <w:t> </w:t>
      </w:r>
      <w:r>
        <w:rPr/>
        <w:t>Income</w:t>
      </w:r>
      <w:r>
        <w:rPr>
          <w:spacing w:val="-18"/>
        </w:rPr>
        <w:t> </w:t>
      </w:r>
      <w:r>
        <w:rPr/>
        <w:t>Program</w:t>
      </w:r>
      <w:r>
        <w:rPr>
          <w:spacing w:val="-19"/>
        </w:rPr>
        <w:t> </w:t>
      </w:r>
      <w:r>
        <w:rPr/>
        <w:t>will</w:t>
      </w:r>
      <w:r>
        <w:rPr>
          <w:spacing w:val="-18"/>
        </w:rPr>
        <w:t> </w:t>
      </w:r>
      <w:r>
        <w:rPr/>
        <w:t>inevitably</w:t>
      </w:r>
      <w:r>
        <w:rPr>
          <w:spacing w:val="-19"/>
        </w:rPr>
        <w:t> </w:t>
      </w:r>
      <w:r>
        <w:rPr/>
        <w:t>push</w:t>
      </w:r>
      <w:r>
        <w:rPr>
          <w:spacing w:val="-18"/>
        </w:rPr>
        <w:t> </w:t>
      </w:r>
      <w:r>
        <w:rPr/>
        <w:t>many</w:t>
      </w:r>
      <w:r>
        <w:rPr>
          <w:spacing w:val="-19"/>
        </w:rPr>
        <w:t> </w:t>
      </w:r>
      <w:r>
        <w:rPr/>
        <w:t>individu- als, especially children and disabled people, from their precarious housing arrangements onto the</w:t>
      </w:r>
      <w:r>
        <w:rPr>
          <w:spacing w:val="-13"/>
        </w:rPr>
        <w:t> </w:t>
      </w:r>
      <w:r>
        <w:rPr/>
        <w:t>streets.</w:t>
      </w:r>
    </w:p>
    <w:p>
      <w:pPr>
        <w:pStyle w:val="BodyText"/>
        <w:spacing w:line="254" w:lineRule="auto" w:before="14"/>
        <w:ind w:left="107" w:right="102" w:firstLine="199"/>
        <w:jc w:val="both"/>
      </w:pPr>
      <w:r>
        <w:rPr/>
        <w:t>Precariously housed individuals reliant on locally provided public assistance will also be at greatly heightened risk of homelessness. For example, General Relief payments to indigent single adults in Los Angeles County have already fallen</w:t>
      </w:r>
      <w:r>
        <w:rPr>
          <w:spacing w:val="-7"/>
        </w:rPr>
        <w:t> </w:t>
      </w:r>
      <w:r>
        <w:rPr/>
        <w:t>from</w:t>
      </w:r>
      <w:r>
        <w:rPr>
          <w:spacing w:val="-7"/>
        </w:rPr>
        <w:t> </w:t>
      </w:r>
      <w:r>
        <w:rPr/>
        <w:t>$343</w:t>
      </w:r>
      <w:r>
        <w:rPr>
          <w:spacing w:val="-6"/>
        </w:rPr>
        <w:t> </w:t>
      </w:r>
      <w:r>
        <w:rPr/>
        <w:t>per</w:t>
      </w:r>
      <w:r>
        <w:rPr>
          <w:spacing w:val="-7"/>
        </w:rPr>
        <w:t> </w:t>
      </w:r>
      <w:r>
        <w:rPr/>
        <w:t>month</w:t>
      </w:r>
      <w:r>
        <w:rPr>
          <w:spacing w:val="-7"/>
        </w:rPr>
        <w:t> </w:t>
      </w:r>
      <w:r>
        <w:rPr/>
        <w:t>in</w:t>
      </w:r>
      <w:r>
        <w:rPr>
          <w:spacing w:val="-7"/>
        </w:rPr>
        <w:t> </w:t>
      </w:r>
      <w:r>
        <w:rPr/>
        <w:t>1993</w:t>
      </w:r>
      <w:r>
        <w:rPr>
          <w:spacing w:val="-6"/>
        </w:rPr>
        <w:t> </w:t>
      </w:r>
      <w:r>
        <w:rPr/>
        <w:t>to</w:t>
      </w:r>
      <w:r>
        <w:rPr>
          <w:spacing w:val="-7"/>
        </w:rPr>
        <w:t> </w:t>
      </w:r>
      <w:r>
        <w:rPr/>
        <w:t>$212</w:t>
      </w:r>
      <w:r>
        <w:rPr>
          <w:spacing w:val="-7"/>
        </w:rPr>
        <w:t> </w:t>
      </w:r>
      <w:r>
        <w:rPr/>
        <w:t>in</w:t>
      </w:r>
      <w:r>
        <w:rPr>
          <w:spacing w:val="-6"/>
        </w:rPr>
        <w:t> </w:t>
      </w:r>
      <w:r>
        <w:rPr/>
        <w:t>1996.</w:t>
      </w:r>
      <w:r>
        <w:rPr>
          <w:spacing w:val="-11"/>
        </w:rPr>
        <w:t> </w:t>
      </w:r>
      <w:r>
        <w:rPr/>
        <w:t>This</w:t>
      </w:r>
      <w:r>
        <w:rPr>
          <w:spacing w:val="-6"/>
        </w:rPr>
        <w:t> </w:t>
      </w:r>
      <w:r>
        <w:rPr/>
        <w:t>is</w:t>
      </w:r>
      <w:r>
        <w:rPr>
          <w:spacing w:val="-7"/>
        </w:rPr>
        <w:t> </w:t>
      </w:r>
      <w:r>
        <w:rPr/>
        <w:t>less</w:t>
      </w:r>
      <w:r>
        <w:rPr>
          <w:spacing w:val="-7"/>
        </w:rPr>
        <w:t> </w:t>
      </w:r>
      <w:r>
        <w:rPr/>
        <w:t>than</w:t>
      </w:r>
      <w:r>
        <w:rPr>
          <w:spacing w:val="-6"/>
        </w:rPr>
        <w:t> </w:t>
      </w:r>
      <w:r>
        <w:rPr/>
        <w:t>the</w:t>
      </w:r>
      <w:r>
        <w:rPr>
          <w:spacing w:val="-7"/>
        </w:rPr>
        <w:t> </w:t>
      </w:r>
      <w:r>
        <w:rPr/>
        <w:t>cost</w:t>
      </w:r>
      <w:r>
        <w:rPr>
          <w:spacing w:val="-7"/>
        </w:rPr>
        <w:t> </w:t>
      </w:r>
      <w:r>
        <w:rPr/>
        <w:t>of</w:t>
      </w:r>
      <w:r>
        <w:rPr>
          <w:spacing w:val="-6"/>
        </w:rPr>
        <w:t> </w:t>
      </w:r>
      <w:r>
        <w:rPr/>
        <w:t>a Single</w:t>
      </w:r>
      <w:r>
        <w:rPr>
          <w:spacing w:val="-12"/>
        </w:rPr>
        <w:t> </w:t>
      </w:r>
      <w:r>
        <w:rPr/>
        <w:t>Room</w:t>
      </w:r>
      <w:r>
        <w:rPr>
          <w:spacing w:val="-12"/>
        </w:rPr>
        <w:t> </w:t>
      </w:r>
      <w:r>
        <w:rPr/>
        <w:t>Occupancy</w:t>
      </w:r>
      <w:r>
        <w:rPr>
          <w:spacing w:val="-12"/>
        </w:rPr>
        <w:t> </w:t>
      </w:r>
      <w:r>
        <w:rPr/>
        <w:t>hotel</w:t>
      </w:r>
      <w:r>
        <w:rPr>
          <w:spacing w:val="-12"/>
        </w:rPr>
        <w:t> </w:t>
      </w:r>
      <w:r>
        <w:rPr/>
        <w:t>room</w:t>
      </w:r>
      <w:r>
        <w:rPr>
          <w:spacing w:val="-12"/>
        </w:rPr>
        <w:t> </w:t>
      </w:r>
      <w:r>
        <w:rPr/>
        <w:t>in</w:t>
      </w:r>
      <w:r>
        <w:rPr>
          <w:spacing w:val="-12"/>
        </w:rPr>
        <w:t> </w:t>
      </w:r>
      <w:r>
        <w:rPr/>
        <w:t>Skid</w:t>
      </w:r>
      <w:r>
        <w:rPr>
          <w:spacing w:val="-12"/>
        </w:rPr>
        <w:t> </w:t>
      </w:r>
      <w:r>
        <w:rPr/>
        <w:t>Row;</w:t>
      </w:r>
      <w:r>
        <w:rPr>
          <w:spacing w:val="-12"/>
        </w:rPr>
        <w:t> </w:t>
      </w:r>
      <w:r>
        <w:rPr/>
        <w:t>paradoxically,</w:t>
      </w:r>
      <w:r>
        <w:rPr>
          <w:spacing w:val="-12"/>
        </w:rPr>
        <w:t> </w:t>
      </w:r>
      <w:r>
        <w:rPr/>
        <w:t>as</w:t>
      </w:r>
      <w:r>
        <w:rPr>
          <w:spacing w:val="-12"/>
        </w:rPr>
        <w:t> </w:t>
      </w:r>
      <w:r>
        <w:rPr/>
        <w:t>a</w:t>
      </w:r>
      <w:r>
        <w:rPr>
          <w:spacing w:val="-12"/>
        </w:rPr>
        <w:t> </w:t>
      </w:r>
      <w:r>
        <w:rPr/>
        <w:t>result</w:t>
      </w:r>
      <w:r>
        <w:rPr>
          <w:spacing w:val="-11"/>
        </w:rPr>
        <w:t> </w:t>
      </w:r>
      <w:r>
        <w:rPr/>
        <w:t>of</w:t>
      </w:r>
      <w:r>
        <w:rPr>
          <w:spacing w:val="-12"/>
        </w:rPr>
        <w:t> </w:t>
      </w:r>
      <w:r>
        <w:rPr/>
        <w:t>this radical reduction in benefits, vacancy rates are climbing in nonprofit</w:t>
      </w:r>
      <w:r>
        <w:rPr>
          <w:spacing w:val="38"/>
        </w:rPr>
        <w:t> </w:t>
      </w:r>
      <w:r>
        <w:rPr/>
        <w:t>SROs subsidized</w:t>
      </w:r>
      <w:r>
        <w:rPr>
          <w:spacing w:val="-9"/>
        </w:rPr>
        <w:t> </w:t>
      </w:r>
      <w:r>
        <w:rPr/>
        <w:t>by</w:t>
      </w:r>
      <w:r>
        <w:rPr>
          <w:spacing w:val="-8"/>
        </w:rPr>
        <w:t> </w:t>
      </w:r>
      <w:r>
        <w:rPr/>
        <w:t>public</w:t>
      </w:r>
      <w:r>
        <w:rPr>
          <w:spacing w:val="-8"/>
        </w:rPr>
        <w:t> </w:t>
      </w:r>
      <w:r>
        <w:rPr/>
        <w:t>dollars.</w:t>
      </w:r>
      <w:r>
        <w:rPr>
          <w:spacing w:val="-8"/>
        </w:rPr>
        <w:t> </w:t>
      </w:r>
      <w:r>
        <w:rPr/>
        <w:t>Shortly,</w:t>
      </w:r>
      <w:r>
        <w:rPr>
          <w:spacing w:val="-8"/>
        </w:rPr>
        <w:t> </w:t>
      </w:r>
      <w:r>
        <w:rPr/>
        <w:t>the</w:t>
      </w:r>
      <w:r>
        <w:rPr>
          <w:spacing w:val="-8"/>
        </w:rPr>
        <w:t> </w:t>
      </w:r>
      <w:r>
        <w:rPr/>
        <w:t>County</w:t>
      </w:r>
      <w:r>
        <w:rPr>
          <w:spacing w:val="-8"/>
        </w:rPr>
        <w:t> </w:t>
      </w:r>
      <w:r>
        <w:rPr/>
        <w:t>plans</w:t>
      </w:r>
      <w:r>
        <w:rPr>
          <w:spacing w:val="-8"/>
        </w:rPr>
        <w:t> </w:t>
      </w:r>
      <w:r>
        <w:rPr/>
        <w:t>to</w:t>
      </w:r>
      <w:r>
        <w:rPr>
          <w:spacing w:val="-8"/>
        </w:rPr>
        <w:t> </w:t>
      </w:r>
      <w:r>
        <w:rPr/>
        <w:t>further</w:t>
      </w:r>
      <w:r>
        <w:rPr>
          <w:spacing w:val="-8"/>
        </w:rPr>
        <w:t> </w:t>
      </w:r>
      <w:r>
        <w:rPr/>
        <w:t>restrict</w:t>
      </w:r>
      <w:r>
        <w:rPr>
          <w:spacing w:val="-8"/>
        </w:rPr>
        <w:t> </w:t>
      </w:r>
      <w:r>
        <w:rPr/>
        <w:t>access</w:t>
      </w:r>
      <w:r>
        <w:rPr>
          <w:spacing w:val="-8"/>
        </w:rPr>
        <w:t> </w:t>
      </w:r>
      <w:r>
        <w:rPr/>
        <w:t>to General Relief, allowing employable recipients to claim benefits only 5 months per </w:t>
      </w:r>
      <w:r>
        <w:rPr>
          <w:spacing w:val="-3"/>
        </w:rPr>
        <w:t>year. </w:t>
      </w:r>
      <w:r>
        <w:rPr/>
        <w:t>As in the case of Michigan, which eliminated local relief entirely in the early 1990s, the results are bound to be devastating. The tenuous hold on shelter among the growing ranks of precariously housed households in the region can only be sustained by a major reversal of welfare, employment, and housing subsidy policies at all</w:t>
      </w:r>
      <w:r>
        <w:rPr>
          <w:spacing w:val="-17"/>
        </w:rPr>
        <w:t> </w:t>
      </w:r>
      <w:r>
        <w:rPr/>
        <w:t>levels.</w:t>
      </w:r>
    </w:p>
    <w:p>
      <w:pPr>
        <w:pStyle w:val="BodyText"/>
        <w:rPr>
          <w:sz w:val="22"/>
        </w:rPr>
      </w:pPr>
    </w:p>
    <w:p>
      <w:pPr>
        <w:pStyle w:val="BodyText"/>
        <w:spacing w:before="157"/>
        <w:ind w:left="2658"/>
        <w:rPr>
          <w:rFonts w:ascii="Helvetica"/>
        </w:rPr>
      </w:pPr>
      <w:r>
        <w:rPr>
          <w:rFonts w:ascii="Helvetica"/>
        </w:rPr>
        <w:t>REFERENCES</w:t>
      </w:r>
    </w:p>
    <w:p>
      <w:pPr>
        <w:spacing w:line="266" w:lineRule="auto" w:before="128"/>
        <w:ind w:left="426" w:right="125" w:hanging="320"/>
        <w:jc w:val="both"/>
        <w:rPr>
          <w:sz w:val="16"/>
        </w:rPr>
      </w:pPr>
      <w:r>
        <w:rPr>
          <w:sz w:val="16"/>
        </w:rPr>
        <w:t>Baer, W. C. (1986). ‘‘Housing in an internationalizing region: Housing stock dynamics in Southern California and the dilemmas of fairshare,’’ Environment and Planning D: Society and Space </w:t>
      </w:r>
      <w:r>
        <w:rPr>
          <w:b/>
          <w:sz w:val="16"/>
        </w:rPr>
        <w:t>4, </w:t>
      </w:r>
      <w:r>
        <w:rPr>
          <w:sz w:val="16"/>
        </w:rPr>
        <w:t>337–350.</w:t>
      </w:r>
    </w:p>
    <w:p>
      <w:pPr>
        <w:spacing w:line="266" w:lineRule="auto" w:before="0"/>
        <w:ind w:left="426" w:right="125" w:hanging="320"/>
        <w:jc w:val="both"/>
        <w:rPr>
          <w:sz w:val="16"/>
        </w:rPr>
      </w:pPr>
      <w:r>
        <w:rPr>
          <w:sz w:val="16"/>
        </w:rPr>
        <w:t>City of Los Angeles (1995). Consolidated Plan for 1995, City of Los Angeles Community Develop- ment Department, Los Angeles.</w:t>
      </w:r>
    </w:p>
    <w:p>
      <w:pPr>
        <w:spacing w:line="266" w:lineRule="auto" w:before="0"/>
        <w:ind w:left="426" w:right="125" w:hanging="320"/>
        <w:jc w:val="both"/>
        <w:rPr>
          <w:sz w:val="16"/>
        </w:rPr>
      </w:pPr>
      <w:r>
        <w:rPr>
          <w:sz w:val="16"/>
        </w:rPr>
        <w:t>Frey, W. H. (1995). ‘‘Immigration and internal migration ‘‘Flight’’ from U.S. metropolitan areas: Toward a new demographic Balkanisation,’’ Urban Studies </w:t>
      </w:r>
      <w:r>
        <w:rPr>
          <w:b/>
          <w:sz w:val="16"/>
        </w:rPr>
        <w:t>32, </w:t>
      </w:r>
      <w:r>
        <w:rPr>
          <w:sz w:val="16"/>
        </w:rPr>
        <w:t>733–757.</w:t>
      </w:r>
    </w:p>
    <w:p>
      <w:pPr>
        <w:spacing w:line="266" w:lineRule="auto" w:before="0"/>
        <w:ind w:left="426" w:right="124" w:hanging="320"/>
        <w:jc w:val="both"/>
        <w:rPr>
          <w:sz w:val="16"/>
        </w:rPr>
      </w:pPr>
      <w:r>
        <w:rPr>
          <w:sz w:val="16"/>
        </w:rPr>
        <w:t>Hamilton, Robinovitz, and Alschuler, Inc. (1994). Rental Housing Study 1994, City of Los Angeles Department of Housing, Rent Stabilization Division, Los Angeles.</w:t>
      </w:r>
    </w:p>
    <w:p>
      <w:pPr>
        <w:spacing w:line="183" w:lineRule="exact" w:before="0"/>
        <w:ind w:left="107" w:right="0" w:firstLine="0"/>
        <w:jc w:val="left"/>
        <w:rPr>
          <w:sz w:val="16"/>
        </w:rPr>
      </w:pPr>
      <w:r>
        <w:rPr>
          <w:sz w:val="16"/>
        </w:rPr>
        <w:t>Harrison, B., and Blueston, B. (1988). The Great U-Turn, Basic Books, New York.</w:t>
      </w:r>
    </w:p>
    <w:p>
      <w:pPr>
        <w:spacing w:after="0" w:line="183" w:lineRule="exact"/>
        <w:jc w:val="left"/>
        <w:rPr>
          <w:sz w:val="16"/>
        </w:rPr>
        <w:sectPr>
          <w:pgSz w:w="7120" w:h="11820"/>
          <w:pgMar w:header="293" w:footer="0" w:top="500" w:bottom="280" w:left="260" w:right="160"/>
        </w:sectPr>
      </w:pPr>
    </w:p>
    <w:p>
      <w:pPr>
        <w:pStyle w:val="BodyText"/>
        <w:spacing w:before="2"/>
        <w:rPr>
          <w:sz w:val="14"/>
        </w:rPr>
      </w:pPr>
    </w:p>
    <w:p>
      <w:pPr>
        <w:spacing w:line="259" w:lineRule="auto" w:before="93"/>
        <w:ind w:left="426" w:right="123" w:hanging="320"/>
        <w:jc w:val="both"/>
        <w:rPr>
          <w:sz w:val="16"/>
        </w:rPr>
      </w:pPr>
      <w:r>
        <w:rPr>
          <w:sz w:val="16"/>
        </w:rPr>
        <w:t>Heilman, J. (1989). Dynamics of Rental Housing in Los Angeles from 1960–1986: Changes in Affordability</w:t>
      </w:r>
      <w:r>
        <w:rPr>
          <w:spacing w:val="-12"/>
          <w:sz w:val="16"/>
        </w:rPr>
        <w:t> </w:t>
      </w:r>
      <w:r>
        <w:rPr>
          <w:sz w:val="16"/>
        </w:rPr>
        <w:t>and</w:t>
      </w:r>
      <w:r>
        <w:rPr>
          <w:spacing w:val="-12"/>
          <w:sz w:val="16"/>
        </w:rPr>
        <w:t> </w:t>
      </w:r>
      <w:r>
        <w:rPr>
          <w:sz w:val="16"/>
        </w:rPr>
        <w:t>Location</w:t>
      </w:r>
      <w:r>
        <w:rPr>
          <w:spacing w:val="-11"/>
          <w:sz w:val="16"/>
        </w:rPr>
        <w:t> </w:t>
      </w:r>
      <w:r>
        <w:rPr>
          <w:sz w:val="16"/>
        </w:rPr>
        <w:t>of</w:t>
      </w:r>
      <w:r>
        <w:rPr>
          <w:spacing w:val="-12"/>
          <w:sz w:val="16"/>
        </w:rPr>
        <w:t> </w:t>
      </w:r>
      <w:r>
        <w:rPr>
          <w:sz w:val="16"/>
        </w:rPr>
        <w:t>Supply,</w:t>
      </w:r>
      <w:r>
        <w:rPr>
          <w:spacing w:val="-14"/>
          <w:sz w:val="16"/>
        </w:rPr>
        <w:t> </w:t>
      </w:r>
      <w:r>
        <w:rPr>
          <w:sz w:val="16"/>
        </w:rPr>
        <w:t>Working</w:t>
      </w:r>
      <w:r>
        <w:rPr>
          <w:spacing w:val="-12"/>
          <w:sz w:val="16"/>
        </w:rPr>
        <w:t> </w:t>
      </w:r>
      <w:r>
        <w:rPr>
          <w:sz w:val="16"/>
        </w:rPr>
        <w:t>Paper</w:t>
      </w:r>
      <w:r>
        <w:rPr>
          <w:spacing w:val="-11"/>
          <w:sz w:val="16"/>
        </w:rPr>
        <w:t> </w:t>
      </w:r>
      <w:r>
        <w:rPr>
          <w:sz w:val="16"/>
        </w:rPr>
        <w:t>No.</w:t>
      </w:r>
      <w:r>
        <w:rPr>
          <w:spacing w:val="-12"/>
          <w:sz w:val="16"/>
        </w:rPr>
        <w:t> </w:t>
      </w:r>
      <w:r>
        <w:rPr>
          <w:sz w:val="16"/>
        </w:rPr>
        <w:t>21,</w:t>
      </w:r>
      <w:r>
        <w:rPr>
          <w:spacing w:val="-11"/>
          <w:sz w:val="16"/>
        </w:rPr>
        <w:t> </w:t>
      </w:r>
      <w:r>
        <w:rPr>
          <w:sz w:val="16"/>
        </w:rPr>
        <w:t>Los</w:t>
      </w:r>
      <w:r>
        <w:rPr>
          <w:spacing w:val="-20"/>
          <w:sz w:val="16"/>
        </w:rPr>
        <w:t> </w:t>
      </w:r>
      <w:r>
        <w:rPr>
          <w:sz w:val="16"/>
        </w:rPr>
        <w:t>Angeles</w:t>
      </w:r>
      <w:r>
        <w:rPr>
          <w:spacing w:val="-11"/>
          <w:sz w:val="16"/>
        </w:rPr>
        <w:t> </w:t>
      </w:r>
      <w:r>
        <w:rPr>
          <w:sz w:val="16"/>
        </w:rPr>
        <w:t>Homelessness</w:t>
      </w:r>
      <w:r>
        <w:rPr>
          <w:spacing w:val="-12"/>
          <w:sz w:val="16"/>
        </w:rPr>
        <w:t> </w:t>
      </w:r>
      <w:r>
        <w:rPr>
          <w:sz w:val="16"/>
        </w:rPr>
        <w:t>Project, University of Southern California, Los</w:t>
      </w:r>
      <w:r>
        <w:rPr>
          <w:spacing w:val="-25"/>
          <w:sz w:val="16"/>
        </w:rPr>
        <w:t> </w:t>
      </w:r>
      <w:r>
        <w:rPr>
          <w:sz w:val="16"/>
        </w:rPr>
        <w:t>Angeles.</w:t>
      </w:r>
    </w:p>
    <w:p>
      <w:pPr>
        <w:spacing w:line="259" w:lineRule="auto" w:before="3"/>
        <w:ind w:left="426" w:right="124" w:hanging="320"/>
        <w:jc w:val="both"/>
        <w:rPr>
          <w:sz w:val="16"/>
        </w:rPr>
      </w:pPr>
      <w:r>
        <w:rPr>
          <w:sz w:val="16"/>
        </w:rPr>
        <w:t>Lee, W. (1991). Local Outcomes of Welfare State Restructuring: Los Angeles in the 1980s, Working Paper No. 36, Los Angeles Homelessness Project, University of Southern California, Los Angeles.</w:t>
      </w:r>
    </w:p>
    <w:p>
      <w:pPr>
        <w:spacing w:line="259" w:lineRule="auto" w:before="2"/>
        <w:ind w:left="426" w:right="125" w:hanging="320"/>
        <w:jc w:val="both"/>
        <w:rPr>
          <w:sz w:val="16"/>
        </w:rPr>
      </w:pPr>
      <w:r>
        <w:rPr>
          <w:spacing w:val="-3"/>
          <w:sz w:val="16"/>
        </w:rPr>
        <w:t>Levy,</w:t>
      </w:r>
      <w:r>
        <w:rPr>
          <w:spacing w:val="-8"/>
          <w:sz w:val="16"/>
        </w:rPr>
        <w:t> </w:t>
      </w:r>
      <w:r>
        <w:rPr>
          <w:spacing w:val="-7"/>
          <w:sz w:val="16"/>
        </w:rPr>
        <w:t>F.</w:t>
      </w:r>
      <w:r>
        <w:rPr>
          <w:spacing w:val="-8"/>
          <w:sz w:val="16"/>
        </w:rPr>
        <w:t> </w:t>
      </w:r>
      <w:r>
        <w:rPr>
          <w:sz w:val="16"/>
        </w:rPr>
        <w:t>(1995).</w:t>
      </w:r>
      <w:r>
        <w:rPr>
          <w:spacing w:val="-8"/>
          <w:sz w:val="16"/>
        </w:rPr>
        <w:t> </w:t>
      </w:r>
      <w:r>
        <w:rPr>
          <w:sz w:val="16"/>
        </w:rPr>
        <w:t>‘‘Incomes</w:t>
      </w:r>
      <w:r>
        <w:rPr>
          <w:spacing w:val="-8"/>
          <w:sz w:val="16"/>
        </w:rPr>
        <w:t> </w:t>
      </w:r>
      <w:r>
        <w:rPr>
          <w:sz w:val="16"/>
        </w:rPr>
        <w:t>and</w:t>
      </w:r>
      <w:r>
        <w:rPr>
          <w:spacing w:val="-8"/>
          <w:sz w:val="16"/>
        </w:rPr>
        <w:t> </w:t>
      </w:r>
      <w:r>
        <w:rPr>
          <w:sz w:val="16"/>
        </w:rPr>
        <w:t>income</w:t>
      </w:r>
      <w:r>
        <w:rPr>
          <w:spacing w:val="-8"/>
          <w:sz w:val="16"/>
        </w:rPr>
        <w:t> </w:t>
      </w:r>
      <w:r>
        <w:rPr>
          <w:sz w:val="16"/>
        </w:rPr>
        <w:t>inequality,’’</w:t>
      </w:r>
      <w:r>
        <w:rPr>
          <w:spacing w:val="-18"/>
          <w:sz w:val="16"/>
        </w:rPr>
        <w:t> </w:t>
      </w:r>
      <w:r>
        <w:rPr>
          <w:i/>
          <w:sz w:val="16"/>
        </w:rPr>
        <w:t>in</w:t>
      </w:r>
      <w:r>
        <w:rPr>
          <w:i/>
          <w:spacing w:val="-8"/>
          <w:sz w:val="16"/>
        </w:rPr>
        <w:t> </w:t>
      </w:r>
      <w:r>
        <w:rPr>
          <w:sz w:val="16"/>
        </w:rPr>
        <w:t>State</w:t>
      </w:r>
      <w:r>
        <w:rPr>
          <w:spacing w:val="-8"/>
          <w:sz w:val="16"/>
        </w:rPr>
        <w:t> </w:t>
      </w:r>
      <w:r>
        <w:rPr>
          <w:sz w:val="16"/>
        </w:rPr>
        <w:t>of</w:t>
      </w:r>
      <w:r>
        <w:rPr>
          <w:spacing w:val="-8"/>
          <w:sz w:val="16"/>
        </w:rPr>
        <w:t> </w:t>
      </w:r>
      <w:r>
        <w:rPr>
          <w:sz w:val="16"/>
        </w:rPr>
        <w:t>the</w:t>
      </w:r>
      <w:r>
        <w:rPr>
          <w:spacing w:val="-8"/>
          <w:sz w:val="16"/>
        </w:rPr>
        <w:t> </w:t>
      </w:r>
      <w:r>
        <w:rPr>
          <w:sz w:val="16"/>
        </w:rPr>
        <w:t>Union,</w:t>
      </w:r>
      <w:r>
        <w:rPr>
          <w:spacing w:val="-10"/>
          <w:sz w:val="16"/>
        </w:rPr>
        <w:t> </w:t>
      </w:r>
      <w:r>
        <w:rPr>
          <w:spacing w:val="-6"/>
          <w:sz w:val="16"/>
        </w:rPr>
        <w:t>Vol.</w:t>
      </w:r>
      <w:r>
        <w:rPr>
          <w:spacing w:val="-8"/>
          <w:sz w:val="16"/>
        </w:rPr>
        <w:t> </w:t>
      </w:r>
      <w:r>
        <w:rPr>
          <w:sz w:val="16"/>
        </w:rPr>
        <w:t>1:</w:t>
      </w:r>
      <w:r>
        <w:rPr>
          <w:spacing w:val="-8"/>
          <w:sz w:val="16"/>
        </w:rPr>
        <w:t> </w:t>
      </w:r>
      <w:r>
        <w:rPr>
          <w:sz w:val="16"/>
        </w:rPr>
        <w:t>Economic</w:t>
      </w:r>
      <w:r>
        <w:rPr>
          <w:spacing w:val="-11"/>
          <w:sz w:val="16"/>
        </w:rPr>
        <w:t> </w:t>
      </w:r>
      <w:r>
        <w:rPr>
          <w:sz w:val="16"/>
        </w:rPr>
        <w:t>Trends</w:t>
      </w:r>
      <w:r>
        <w:rPr>
          <w:spacing w:val="-8"/>
          <w:sz w:val="16"/>
        </w:rPr>
        <w:t> </w:t>
      </w:r>
      <w:r>
        <w:rPr>
          <w:sz w:val="16"/>
        </w:rPr>
        <w:t>(R. Farley, Ed.), pp. 1–58. Russell Sage, New</w:t>
      </w:r>
      <w:r>
        <w:rPr>
          <w:spacing w:val="-28"/>
          <w:sz w:val="16"/>
        </w:rPr>
        <w:t> </w:t>
      </w:r>
      <w:r>
        <w:rPr>
          <w:spacing w:val="-4"/>
          <w:sz w:val="16"/>
        </w:rPr>
        <w:t>York.</w:t>
      </w:r>
    </w:p>
    <w:p>
      <w:pPr>
        <w:spacing w:line="259" w:lineRule="auto" w:before="2"/>
        <w:ind w:left="426" w:right="104" w:hanging="320"/>
        <w:jc w:val="both"/>
        <w:rPr>
          <w:sz w:val="16"/>
        </w:rPr>
      </w:pPr>
      <w:r>
        <w:rPr>
          <w:sz w:val="16"/>
        </w:rPr>
        <w:t>Link, B., </w:t>
      </w:r>
      <w:r>
        <w:rPr>
          <w:i/>
          <w:sz w:val="16"/>
        </w:rPr>
        <w:t>et al. </w:t>
      </w:r>
      <w:r>
        <w:rPr>
          <w:sz w:val="16"/>
        </w:rPr>
        <w:t>(1994). ‘‘Lifetime and five-year prevalence of homelessness in the United States,’’ American Journal of Public Health </w:t>
      </w:r>
      <w:r>
        <w:rPr>
          <w:b/>
          <w:sz w:val="16"/>
        </w:rPr>
        <w:t>84, </w:t>
      </w:r>
      <w:r>
        <w:rPr>
          <w:sz w:val="16"/>
        </w:rPr>
        <w:t>1970–1912.</w:t>
      </w:r>
    </w:p>
    <w:p>
      <w:pPr>
        <w:spacing w:line="259" w:lineRule="auto" w:before="2"/>
        <w:ind w:left="426" w:right="114" w:hanging="320"/>
        <w:jc w:val="both"/>
        <w:rPr>
          <w:sz w:val="16"/>
        </w:rPr>
      </w:pPr>
      <w:r>
        <w:rPr>
          <w:sz w:val="16"/>
        </w:rPr>
        <w:t>Myers, D., Baer, W. C., and Choi, S.-Y. (1996). ‘‘The changing problem of overcrowded housing,’’ Journal of the American Planning Association </w:t>
      </w:r>
      <w:r>
        <w:rPr>
          <w:b/>
          <w:sz w:val="16"/>
        </w:rPr>
        <w:t>62, </w:t>
      </w:r>
      <w:r>
        <w:rPr>
          <w:sz w:val="16"/>
        </w:rPr>
        <w:t>66–84.</w:t>
      </w:r>
    </w:p>
    <w:p>
      <w:pPr>
        <w:spacing w:line="259" w:lineRule="auto" w:before="1"/>
        <w:ind w:left="426" w:right="125" w:hanging="320"/>
        <w:jc w:val="both"/>
        <w:rPr>
          <w:sz w:val="16"/>
        </w:rPr>
      </w:pPr>
      <w:r>
        <w:rPr>
          <w:sz w:val="16"/>
        </w:rPr>
        <w:t>Myers, D., </w:t>
      </w:r>
      <w:r>
        <w:rPr>
          <w:i/>
          <w:sz w:val="16"/>
        </w:rPr>
        <w:t>et al. </w:t>
      </w:r>
      <w:r>
        <w:rPr>
          <w:sz w:val="16"/>
        </w:rPr>
        <w:t>(1995). The Changing Immigrants of Southern California, Research Report No. LCRI-95-04R, Lusk Center Research Institute, University of Southern California, Los Angeles.</w:t>
      </w:r>
    </w:p>
    <w:p>
      <w:pPr>
        <w:spacing w:line="259" w:lineRule="auto" w:before="2"/>
        <w:ind w:left="426" w:right="125" w:hanging="320"/>
        <w:jc w:val="both"/>
        <w:rPr>
          <w:sz w:val="16"/>
        </w:rPr>
      </w:pPr>
      <w:r>
        <w:rPr>
          <w:sz w:val="16"/>
        </w:rPr>
        <w:t>Myers, D., and </w:t>
      </w:r>
      <w:r>
        <w:rPr>
          <w:spacing w:val="-3"/>
          <w:sz w:val="16"/>
        </w:rPr>
        <w:t>Wolch, </w:t>
      </w:r>
      <w:r>
        <w:rPr>
          <w:sz w:val="16"/>
        </w:rPr>
        <w:t>J. (1995). </w:t>
      </w:r>
      <w:r>
        <w:rPr>
          <w:spacing w:val="-3"/>
          <w:sz w:val="16"/>
        </w:rPr>
        <w:t>‘‘The </w:t>
      </w:r>
      <w:r>
        <w:rPr>
          <w:sz w:val="16"/>
        </w:rPr>
        <w:t>polarization of housing status,’’ </w:t>
      </w:r>
      <w:r>
        <w:rPr>
          <w:i/>
          <w:sz w:val="16"/>
        </w:rPr>
        <w:t>in </w:t>
      </w:r>
      <w:r>
        <w:rPr>
          <w:sz w:val="16"/>
        </w:rPr>
        <w:t>State of the Union, </w:t>
      </w:r>
      <w:r>
        <w:rPr>
          <w:spacing w:val="-6"/>
          <w:sz w:val="16"/>
        </w:rPr>
        <w:t>Vol. </w:t>
      </w:r>
      <w:r>
        <w:rPr>
          <w:sz w:val="16"/>
        </w:rPr>
        <w:t>1: Economic Trends (R. Farley, Ed.), pp. 269–334, Russell Sage, New </w:t>
      </w:r>
      <w:r>
        <w:rPr>
          <w:spacing w:val="-4"/>
          <w:sz w:val="16"/>
        </w:rPr>
        <w:t>York.</w:t>
      </w:r>
    </w:p>
    <w:p>
      <w:pPr>
        <w:spacing w:line="259" w:lineRule="auto" w:before="2"/>
        <w:ind w:left="426" w:right="126" w:hanging="320"/>
        <w:jc w:val="both"/>
        <w:rPr>
          <w:sz w:val="16"/>
        </w:rPr>
      </w:pPr>
      <w:r>
        <w:rPr>
          <w:sz w:val="16"/>
        </w:rPr>
        <w:t>Reed, D., Haber, M. G., and Mameesh, L. (1996). The Distribution of Income in California, Public Policy Institute of California, San Francisco.</w:t>
      </w:r>
    </w:p>
    <w:p>
      <w:pPr>
        <w:spacing w:line="259" w:lineRule="auto" w:before="2"/>
        <w:ind w:left="426" w:right="125" w:hanging="320"/>
        <w:jc w:val="both"/>
        <w:rPr>
          <w:sz w:val="16"/>
        </w:rPr>
      </w:pPr>
      <w:r>
        <w:rPr>
          <w:sz w:val="16"/>
        </w:rPr>
        <w:t>Research Group on the Los Angeles Economy (1989). The Widening Divide: Income Inequality and Poverty in Los Angeles, University of California, Los Angeles.</w:t>
      </w:r>
    </w:p>
    <w:p>
      <w:pPr>
        <w:spacing w:line="259" w:lineRule="auto" w:before="1"/>
        <w:ind w:left="426" w:right="124" w:hanging="320"/>
        <w:jc w:val="both"/>
        <w:rPr>
          <w:sz w:val="16"/>
        </w:rPr>
      </w:pPr>
      <w:r>
        <w:rPr>
          <w:sz w:val="16"/>
        </w:rPr>
        <w:t>Scott, A. J. (1993). </w:t>
      </w:r>
      <w:r>
        <w:rPr>
          <w:spacing w:val="-3"/>
          <w:sz w:val="16"/>
        </w:rPr>
        <w:t>‘‘The </w:t>
      </w:r>
      <w:r>
        <w:rPr>
          <w:sz w:val="16"/>
        </w:rPr>
        <w:t>new Southern Californian economy: Pathways to industrial resurgence,’’ </w:t>
      </w:r>
      <w:r>
        <w:rPr>
          <w:i/>
          <w:sz w:val="16"/>
        </w:rPr>
        <w:t>in </w:t>
      </w:r>
      <w:r>
        <w:rPr>
          <w:sz w:val="16"/>
        </w:rPr>
        <w:t>Policy Options for Southern California (A. J. Scott, Ed.), pp. 179–195. Working Paper No. 4, Lewis Center for Regional Research, University of California, Los Angeles.</w:t>
      </w:r>
    </w:p>
    <w:p>
      <w:pPr>
        <w:spacing w:line="259" w:lineRule="auto" w:before="3"/>
        <w:ind w:left="426" w:right="125" w:hanging="320"/>
        <w:jc w:val="both"/>
        <w:rPr>
          <w:sz w:val="16"/>
        </w:rPr>
      </w:pPr>
      <w:r>
        <w:rPr>
          <w:sz w:val="16"/>
        </w:rPr>
        <w:t>Scott, L. (1996). ‘‘Peripheralization at the core: Income polarization in Los Angeles,’’ unpublished manuscript, Department of Geography, University of Southern California, Los Angeles.</w:t>
      </w:r>
    </w:p>
    <w:p>
      <w:pPr>
        <w:spacing w:line="259" w:lineRule="auto" w:before="2"/>
        <w:ind w:left="426" w:right="125" w:hanging="320"/>
        <w:jc w:val="both"/>
        <w:rPr>
          <w:sz w:val="16"/>
        </w:rPr>
      </w:pPr>
      <w:r>
        <w:rPr>
          <w:sz w:val="16"/>
        </w:rPr>
        <w:t>Southern California Interuniversity Consortium on Homelessness and Poverty (1995). Jobs, Welfare and Homelessness, SCICHP, Los Angeles.</w:t>
      </w:r>
    </w:p>
    <w:p>
      <w:pPr>
        <w:spacing w:line="259" w:lineRule="auto" w:before="1"/>
        <w:ind w:left="426" w:right="125" w:hanging="320"/>
        <w:jc w:val="both"/>
        <w:rPr>
          <w:sz w:val="16"/>
        </w:rPr>
      </w:pPr>
      <w:r>
        <w:rPr>
          <w:spacing w:val="-3"/>
          <w:sz w:val="16"/>
        </w:rPr>
        <w:t>Wolch,</w:t>
      </w:r>
      <w:r>
        <w:rPr>
          <w:spacing w:val="-6"/>
          <w:sz w:val="16"/>
        </w:rPr>
        <w:t> </w:t>
      </w:r>
      <w:r>
        <w:rPr>
          <w:sz w:val="16"/>
        </w:rPr>
        <w:t>J.,</w:t>
      </w:r>
      <w:r>
        <w:rPr>
          <w:spacing w:val="-6"/>
          <w:sz w:val="16"/>
        </w:rPr>
        <w:t> </w:t>
      </w:r>
      <w:r>
        <w:rPr>
          <w:sz w:val="16"/>
        </w:rPr>
        <w:t>and</w:t>
      </w:r>
      <w:r>
        <w:rPr>
          <w:spacing w:val="-5"/>
          <w:sz w:val="16"/>
        </w:rPr>
        <w:t> </w:t>
      </w:r>
      <w:r>
        <w:rPr>
          <w:sz w:val="16"/>
        </w:rPr>
        <w:t>Dear,</w:t>
      </w:r>
      <w:r>
        <w:rPr>
          <w:spacing w:val="-6"/>
          <w:sz w:val="16"/>
        </w:rPr>
        <w:t> </w:t>
      </w:r>
      <w:r>
        <w:rPr>
          <w:sz w:val="16"/>
        </w:rPr>
        <w:t>M.</w:t>
      </w:r>
      <w:r>
        <w:rPr>
          <w:spacing w:val="-6"/>
          <w:sz w:val="16"/>
        </w:rPr>
        <w:t> </w:t>
      </w:r>
      <w:r>
        <w:rPr>
          <w:sz w:val="16"/>
        </w:rPr>
        <w:t>(1993).</w:t>
      </w:r>
      <w:r>
        <w:rPr>
          <w:spacing w:val="-5"/>
          <w:sz w:val="16"/>
        </w:rPr>
        <w:t> </w:t>
      </w:r>
      <w:r>
        <w:rPr>
          <w:sz w:val="16"/>
        </w:rPr>
        <w:t>Malign</w:t>
      </w:r>
      <w:r>
        <w:rPr>
          <w:spacing w:val="-6"/>
          <w:sz w:val="16"/>
        </w:rPr>
        <w:t> </w:t>
      </w:r>
      <w:r>
        <w:rPr>
          <w:sz w:val="16"/>
        </w:rPr>
        <w:t>Neglect:</w:t>
      </w:r>
      <w:r>
        <w:rPr>
          <w:spacing w:val="-6"/>
          <w:sz w:val="16"/>
        </w:rPr>
        <w:t> </w:t>
      </w:r>
      <w:r>
        <w:rPr>
          <w:sz w:val="16"/>
        </w:rPr>
        <w:t>Homelessness</w:t>
      </w:r>
      <w:r>
        <w:rPr>
          <w:spacing w:val="-5"/>
          <w:sz w:val="16"/>
        </w:rPr>
        <w:t> </w:t>
      </w:r>
      <w:r>
        <w:rPr>
          <w:sz w:val="16"/>
        </w:rPr>
        <w:t>in</w:t>
      </w:r>
      <w:r>
        <w:rPr>
          <w:spacing w:val="-6"/>
          <w:sz w:val="16"/>
        </w:rPr>
        <w:t> </w:t>
      </w:r>
      <w:r>
        <w:rPr>
          <w:sz w:val="16"/>
        </w:rPr>
        <w:t>an</w:t>
      </w:r>
      <w:r>
        <w:rPr>
          <w:spacing w:val="-15"/>
          <w:sz w:val="16"/>
        </w:rPr>
        <w:t> </w:t>
      </w:r>
      <w:r>
        <w:rPr>
          <w:sz w:val="16"/>
        </w:rPr>
        <w:t>American</w:t>
      </w:r>
      <w:r>
        <w:rPr>
          <w:spacing w:val="-5"/>
          <w:sz w:val="16"/>
        </w:rPr>
        <w:t> </w:t>
      </w:r>
      <w:r>
        <w:rPr>
          <w:spacing w:val="-3"/>
          <w:sz w:val="16"/>
        </w:rPr>
        <w:t>City,</w:t>
      </w:r>
      <w:r>
        <w:rPr>
          <w:spacing w:val="-6"/>
          <w:sz w:val="16"/>
        </w:rPr>
        <w:t> </w:t>
      </w:r>
      <w:r>
        <w:rPr>
          <w:sz w:val="16"/>
        </w:rPr>
        <w:t>Jossey-Bass,</w:t>
      </w:r>
      <w:r>
        <w:rPr>
          <w:spacing w:val="-6"/>
          <w:sz w:val="16"/>
        </w:rPr>
        <w:t> </w:t>
      </w:r>
      <w:r>
        <w:rPr>
          <w:spacing w:val="-5"/>
          <w:sz w:val="16"/>
        </w:rPr>
        <w:t>San </w:t>
      </w:r>
      <w:r>
        <w:rPr>
          <w:sz w:val="16"/>
        </w:rPr>
        <w:t>Francisco.</w:t>
      </w:r>
    </w:p>
    <w:p>
      <w:pPr>
        <w:spacing w:line="259" w:lineRule="auto" w:before="2"/>
        <w:ind w:left="426" w:right="125" w:hanging="320"/>
        <w:jc w:val="both"/>
        <w:rPr>
          <w:sz w:val="16"/>
        </w:rPr>
      </w:pPr>
      <w:r>
        <w:rPr>
          <w:sz w:val="16"/>
        </w:rPr>
        <w:t>Wolch, J., and Akita, A. (1988). ‘‘The federal response to homelessness and its implications for American cities,’’ Urban Geography </w:t>
      </w:r>
      <w:r>
        <w:rPr>
          <w:b/>
          <w:sz w:val="16"/>
        </w:rPr>
        <w:t>9, </w:t>
      </w:r>
      <w:r>
        <w:rPr>
          <w:sz w:val="16"/>
        </w:rPr>
        <w:t>62–85.</w:t>
      </w:r>
    </w:p>
    <w:sectPr>
      <w:pgSz w:w="7120" w:h="11820"/>
      <w:pgMar w:header="294" w:footer="0" w:top="500" w:bottom="280" w:left="26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
    <w:altName w:val="Helvetica"/>
    <w:charset w:val="0"/>
    <w:family w:val="swiss"/>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6.357pt;margin-top:13.659472pt;width:19pt;height:13.15pt;mso-position-horizontal-relative:page;mso-position-vertical-relative:page;z-index:-35608" type="#_x0000_t202" filled="false" stroked="false">
          <v:textbox inset="0,0,0,0">
            <w:txbxContent>
              <w:p>
                <w:pPr>
                  <w:pStyle w:val="BodyText"/>
                  <w:spacing w:before="11"/>
                  <w:ind w:left="40"/>
                </w:pPr>
                <w:r>
                  <w:rPr/>
                  <w:fldChar w:fldCharType="begin"/>
                </w:r>
                <w:r>
                  <w:rPr/>
                  <w:instrText> PAGE </w:instrText>
                </w:r>
                <w:r>
                  <w:rPr/>
                  <w:fldChar w:fldCharType="separate"/>
                </w:r>
                <w:r>
                  <w:rPr/>
                  <w:t>316</w:t>
                </w:r>
                <w:r>
                  <w:rPr/>
                  <w:fldChar w:fldCharType="end"/>
                </w:r>
              </w:p>
            </w:txbxContent>
          </v:textbox>
          <w10:wrap type="none"/>
        </v:shape>
      </w:pict>
    </w:r>
    <w:r>
      <w:rPr/>
      <w:pict>
        <v:shape style="position:absolute;margin-left:149.264999pt;margin-top:15.438134pt;width:61.5pt;height:10.85pt;mso-position-horizontal-relative:page;mso-position-vertical-relative:page;z-index:-35584" type="#_x0000_t202" filled="false" stroked="false">
          <v:textbox inset="0,0,0,0">
            <w:txbxContent>
              <w:p>
                <w:pPr>
                  <w:spacing w:before="13"/>
                  <w:ind w:left="20" w:right="0" w:firstLine="0"/>
                  <w:jc w:val="left"/>
                  <w:rPr>
                    <w:sz w:val="16"/>
                  </w:rPr>
                </w:pPr>
                <w:r>
                  <w:rPr>
                    <w:sz w:val="16"/>
                  </w:rPr>
                  <w:t>WOLCH AND LI</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24.675995pt;margin-top:13.659272pt;width:19pt;height:13.15pt;mso-position-horizontal-relative:page;mso-position-vertical-relative:page;z-index:-35560" type="#_x0000_t202" filled="false" stroked="false">
          <v:textbox inset="0,0,0,0">
            <w:txbxContent>
              <w:p>
                <w:pPr>
                  <w:pStyle w:val="BodyText"/>
                  <w:spacing w:before="11"/>
                  <w:ind w:left="40"/>
                </w:pPr>
                <w:r>
                  <w:rPr/>
                  <w:fldChar w:fldCharType="begin"/>
                </w:r>
                <w:r>
                  <w:rPr/>
                  <w:instrText> PAGE </w:instrText>
                </w:r>
                <w:r>
                  <w:rPr/>
                  <w:fldChar w:fldCharType="separate"/>
                </w:r>
                <w:r>
                  <w:rPr/>
                  <w:t>313</w:t>
                </w:r>
                <w:r>
                  <w:rPr/>
                  <w:fldChar w:fldCharType="end"/>
                </w:r>
              </w:p>
            </w:txbxContent>
          </v:textbox>
          <w10:wrap type="none"/>
        </v:shape>
      </w:pict>
    </w:r>
    <w:r>
      <w:rPr/>
      <w:pict>
        <v:shape style="position:absolute;margin-left:126.975998pt;margin-top:15.438134pt;width:106.15pt;height:10.85pt;mso-position-horizontal-relative:page;mso-position-vertical-relative:page;z-index:-35536" type="#_x0000_t202" filled="false" stroked="false">
          <v:textbox inset="0,0,0,0">
            <w:txbxContent>
              <w:p>
                <w:pPr>
                  <w:spacing w:before="13"/>
                  <w:ind w:left="20" w:right="0" w:firstLine="0"/>
                  <w:jc w:val="left"/>
                  <w:rPr>
                    <w:sz w:val="16"/>
                  </w:rPr>
                </w:pPr>
                <w:r>
                  <w:rPr>
                    <w:sz w:val="16"/>
                  </w:rPr>
                  <w:t>HOUSING IN LOS ANGELES</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spacing w:before="4" w:line="175" w:lineRule="exac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Wolch, J., et al</dc:creator>
  <dc:subject>SOCIAL SCIENCE RESEARCH</dc:subject>
  <dc:title>Shifting Margins of Housing Status in Los Angeles</dc:title>
  <dcterms:created xsi:type="dcterms:W3CDTF">2019-10-22T22:38:28Z</dcterms:created>
  <dcterms:modified xsi:type="dcterms:W3CDTF">2019-10-22T22:38:28Z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1997-09-04T00:00:00Z</vt:filetime>
  </property>
  <property fmtid="{D5CDD505-2E9C-101B-9397-08002B2CF9AE}" pid="3" name="LastSaved">
    <vt:filetime>2019-10-22T00:00:00Z</vt:filetime>
  </property>
</Properties>
</file>