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FLOTUV / DATENSTANDARD</w:t>
      </w:r>
    </w:p>
    <w:p>
      <w:pPr>
        <w:pStyle w:val="Title"/>
      </w:pPr>
      <w:r>
        <w:t>Techno-ökonomische</w:t>
        <w:br/>
        <w:t>Beschreibung von Lkw-Antrieben</w:t>
      </w:r>
    </w:p>
    <w:p>
      <w:pPr>
        <w:pStyle w:val="Subtitle"/>
      </w:pPr>
      <w:r>
        <w:t>Editierbare Word-Vorlage mit zwei ausgefüllten Beispielen</w:t>
      </w:r>
    </w:p>
    <w:p>
      <w:r>
        <w:t>Diesel · Batterieelektrisch · LNG/Bio-LNG · Wasserstoff</w:t>
      </w:r>
    </w:p>
    <w:p>
      <w:r>
        <w:t>Bezugsraum: Deutschland / europäischer Fahrzeugmarkt</w:t>
        <w:br/>
        <w:t>Recherchestand: 20. Oktober 2026 | Geldwerte der Beispiele: netto, EUR 2026</w:t>
      </w:r>
    </w:p>
    <w:p>
      <w:pPr>
        <w:pStyle w:val="Heading2"/>
      </w:pPr>
      <w:r>
        <w:t>Zweck und Umfang</w:t>
      </w:r>
    </w:p>
    <w:p>
      <w:r>
        <w:t>Die Vorlage strukturiert Fahrzeugdaten für den Vergleich von Antriebstechnologien und für die strategische Flotten- und operative Tourenplanung. Sie trennt Fahrzeugklasse, Antrieb, Energiebereitstellung, Transportkapazität und Kostenursachen. Dies entspricht dem Bedarf des FloTUV-Projekts nach technischen und infrastrukturellen Daten sowie konsistenten Kosten-, Zeit- und Emissionsparametern [P1].</w:t>
      </w:r>
    </w:p>
    <w:tbl>
      <w:tblPr>
        <w:tblStyle w:val="LightShading-Accent1"/>
        <w:tblW w:type="auto" w:w="0"/>
        <w:jc w:val="center"/>
        <w:tblLayout w:type="fixed"/>
        <w:tblLook w:firstColumn="1" w:firstRow="1" w:lastColumn="0" w:lastRow="0" w:noHBand="0" w:noVBand="1" w:val="04A0"/>
      </w:tblPr>
      <w:tblGrid>
        <w:gridCol w:w="5018"/>
        <w:gridCol w:w="5018"/>
      </w:tblGrid>
      <w:tr>
        <w:trPr>
          <w:cantSplit/>
          <w:tblHeader/>
        </w:trPr>
        <w:tc>
          <w:tcPr>
            <w:tcW w:type="dxa" w:w="1984"/>
            <w:vAlign w:val="center"/>
          </w:tcPr>
          <w:p>
            <w:pPr>
              <w:spacing w:after="60" w:before="40"/>
            </w:pPr>
            <w:r>
              <w:rPr>
                <w:b/>
                <w:color w:val="173B4B"/>
                <w:sz w:val="18"/>
              </w:rPr>
              <w:t>Baustein</w:t>
            </w:r>
          </w:p>
        </w:tc>
        <w:tc>
          <w:tcPr>
            <w:tcW w:type="dxa" w:w="7937"/>
            <w:vAlign w:val="center"/>
          </w:tcPr>
          <w:p>
            <w:pPr>
              <w:spacing w:after="60" w:before="40"/>
            </w:pPr>
            <w:r>
              <w:rPr>
                <w:b/>
                <w:color w:val="173B4B"/>
                <w:sz w:val="18"/>
              </w:rPr>
              <w:t>Inhalt</w:t>
            </w:r>
          </w:p>
        </w:tc>
      </w:tr>
      <w:tr>
        <w:trPr>
          <w:cantSplit/>
        </w:trPr>
        <w:tc>
          <w:tcPr>
            <w:tcW w:type="dxa" w:w="1984"/>
            <w:vAlign w:val="center"/>
          </w:tcPr>
          <w:p>
            <w:pPr>
              <w:spacing w:after="60" w:before="40"/>
            </w:pPr>
            <w:r>
              <w:rPr>
                <w:sz w:val="18"/>
              </w:rPr>
              <w:t>Methodik</w:t>
            </w:r>
          </w:p>
        </w:tc>
        <w:tc>
          <w:tcPr>
            <w:tcW w:type="dxa" w:w="7937"/>
            <w:vAlign w:val="center"/>
          </w:tcPr>
          <w:p>
            <w:pPr>
              <w:spacing w:after="60" w:before="40"/>
            </w:pPr>
            <w:r>
              <w:rPr>
                <w:sz w:val="18"/>
              </w:rPr>
              <w:t>Datenqualität, Systemgrenze, Kostenformeln und Marktübersicht</w:t>
            </w:r>
          </w:p>
        </w:tc>
      </w:tr>
      <w:tr>
        <w:trPr>
          <w:cantSplit/>
        </w:trPr>
        <w:tc>
          <w:tcPr>
            <w:tcW w:type="dxa" w:w="1984"/>
            <w:vAlign w:val="center"/>
          </w:tcPr>
          <w:p>
            <w:pPr>
              <w:spacing w:after="60" w:before="40"/>
            </w:pPr>
            <w:r>
              <w:rPr>
                <w:sz w:val="18"/>
              </w:rPr>
              <w:t>Kopiervorlage</w:t>
            </w:r>
          </w:p>
        </w:tc>
        <w:tc>
          <w:tcPr>
            <w:tcW w:type="dxa" w:w="7937"/>
            <w:vAlign w:val="center"/>
          </w:tcPr>
          <w:p>
            <w:pPr>
              <w:spacing w:after="60" w:before="40"/>
            </w:pPr>
            <w:r>
              <w:rPr>
                <w:sz w:val="18"/>
              </w:rPr>
              <w:t>Vier Seiten für technische Daten, Ökonomie, Lebensdauern und Ergebniskennzahlen</w:t>
            </w:r>
          </w:p>
        </w:tc>
      </w:tr>
      <w:tr>
        <w:trPr>
          <w:cantSplit/>
        </w:trPr>
        <w:tc>
          <w:tcPr>
            <w:tcW w:type="dxa" w:w="1984"/>
            <w:vAlign w:val="center"/>
          </w:tcPr>
          <w:p>
            <w:pPr>
              <w:spacing w:after="60" w:before="40"/>
            </w:pPr>
            <w:r>
              <w:rPr>
                <w:sz w:val="18"/>
              </w:rPr>
              <w:t>Beispiel 1</w:t>
            </w:r>
          </w:p>
        </w:tc>
        <w:tc>
          <w:tcPr>
            <w:tcW w:type="dxa" w:w="7937"/>
            <w:vAlign w:val="center"/>
          </w:tcPr>
          <w:p>
            <w:pPr>
              <w:spacing w:after="60" w:before="40"/>
            </w:pPr>
            <w:r>
              <w:rPr>
                <w:sz w:val="18"/>
              </w:rPr>
              <w:t>Diesel-Sattelzugmaschine: Mercedes-Benz Actros L ProCabin / OM 471</w:t>
            </w:r>
          </w:p>
        </w:tc>
      </w:tr>
      <w:tr>
        <w:trPr>
          <w:cantSplit/>
        </w:trPr>
        <w:tc>
          <w:tcPr>
            <w:tcW w:type="dxa" w:w="1984"/>
            <w:vAlign w:val="center"/>
          </w:tcPr>
          <w:p>
            <w:pPr>
              <w:spacing w:after="60" w:before="40"/>
            </w:pPr>
            <w:r>
              <w:rPr>
                <w:sz w:val="18"/>
              </w:rPr>
              <w:t>Beispiel 2</w:t>
            </w:r>
          </w:p>
        </w:tc>
        <w:tc>
          <w:tcPr>
            <w:tcW w:type="dxa" w:w="7937"/>
            <w:vAlign w:val="center"/>
          </w:tcPr>
          <w:p>
            <w:pPr>
              <w:spacing w:after="60" w:before="40"/>
            </w:pPr>
            <w:r>
              <w:rPr>
                <w:sz w:val="18"/>
              </w:rPr>
              <w:t>BEV-Sattelzugmaschine: Mercedes-Benz eActros 600</w:t>
            </w:r>
          </w:p>
        </w:tc>
      </w:tr>
      <w:tr>
        <w:trPr>
          <w:cantSplit/>
        </w:trPr>
        <w:tc>
          <w:tcPr>
            <w:tcW w:type="dxa" w:w="1984"/>
            <w:vAlign w:val="center"/>
          </w:tcPr>
          <w:p>
            <w:pPr>
              <w:spacing w:after="60" w:before="40"/>
            </w:pPr>
            <w:r>
              <w:rPr>
                <w:sz w:val="18"/>
              </w:rPr>
              <w:t>Auswertung</w:t>
            </w:r>
          </w:p>
        </w:tc>
        <w:tc>
          <w:tcPr>
            <w:tcW w:type="dxa" w:w="7937"/>
            <w:vAlign w:val="center"/>
          </w:tcPr>
          <w:p>
            <w:pPr>
              <w:spacing w:after="60" w:before="40"/>
            </w:pPr>
            <w:r>
              <w:rPr>
                <w:sz w:val="18"/>
              </w:rPr>
              <w:t>Vergleich, Sensitivitäten, Überführung in Planungsmodelle und Quellen</w:t>
            </w:r>
          </w:p>
        </w:tc>
      </w:tr>
    </w:tbl>
    <w:p>
      <w:pPr>
        <w:pStyle w:val="Heading2"/>
      </w:pPr>
      <w:r>
        <w:t>Wissenschaftlicher Nutzungshinweis</w:t>
      </w:r>
    </w:p>
    <w:p>
      <w:r>
        <w:t>Die Beispiele kombinieren belegte Herstellerinformationen mit ausdrücklich als Annahmen gekennzeichneten Rechenwerten. Insbesondere Kaufpreise, Restwerte, Komponentenaustauschkosten, Verbräuche und Wartungssätze sind keine eingeholten Angebote und keine statistisch abgesicherten Marktmittelwerte.</w:t>
      </w:r>
    </w:p>
    <w:p>
      <w:r>
        <w:t>Die berechneten Kostensätze sind ein Referenzjahresvergleich unter 2026-Bedingungen mit annualisierten Investitionen. Sie sind keine achtjährige TCO-Prognose: Energiepreise, Maut und Steuern müssen bei mehrjähriger Anwendung jahresspezifisch fortgeschrieben werden.</w:t>
      </w:r>
    </w:p>
    <w:p>
      <w:r>
        <w:rPr>
          <w:i/>
          <w:color w:val="526775"/>
          <w:sz w:val="18"/>
        </w:rPr>
        <w:t>Bearbeitung: Seiten mit „KOPIERVORLAGE“ für jeden Fahrzeugtyp duplizieren. Eckige Platzhalter ersetzen. Tabellen und Texte sind ungeschützt editierbar; die Zahlenfelder berechnen sich in Word nicht automatisch.</w:t>
      </w:r>
    </w:p>
    <w:p>
      <w:r>
        <w:br w:type="page"/>
      </w:r>
    </w:p>
    <w:p>
      <w:pPr>
        <w:pStyle w:val="Heading1"/>
      </w:pPr>
      <w:r>
        <w:t>1  Datenerhebung und Kostenmethodik</w:t>
      </w:r>
    </w:p>
    <w:p>
      <w:pPr>
        <w:pStyle w:val="Heading2"/>
      </w:pPr>
      <w:r>
        <w:t>1.1  Systemgrenze und Nachweisstandard</w:t>
      </w:r>
    </w:p>
    <w:p>
      <w:r>
        <w:t>Ein Datensatz bezeichnet eine konkrete Fahrzeugkonfiguration in einem definierten Einsatzprofil, nicht pauschal eine Marke. Fahrzeuganschaffung: Zugmaschine; Kostenvergleich: Zugmaschine einschließlich einheitlich angesetztem Auflieger. Infrastruktur wird separat erfasst und verursachungsgerecht zugeteilt. Gewinne, Umsatzsteuer und nicht spezifizierte Gemeinkosten sind ausgeschlossen. Literatur zu TCO berücksichtigt ebenfalls Anschaffung, Energie, Wartung sowie Maut und Abgaben [Q1].</w:t>
      </w:r>
    </w:p>
    <w:tbl>
      <w:tblPr>
        <w:tblStyle w:val="LightShading-Accent1"/>
        <w:tblW w:type="auto" w:w="0"/>
        <w:jc w:val="center"/>
        <w:tblLayout w:type="fixed"/>
        <w:tblLook w:firstColumn="1" w:firstRow="1" w:lastColumn="0" w:lastRow="0" w:noHBand="0" w:noVBand="1" w:val="04A0"/>
      </w:tblPr>
      <w:tblGrid>
        <w:gridCol w:w="5018"/>
        <w:gridCol w:w="5018"/>
      </w:tblGrid>
      <w:tr>
        <w:trPr>
          <w:cantSplit/>
          <w:tblHeader/>
        </w:trPr>
        <w:tc>
          <w:tcPr>
            <w:tcW w:type="dxa" w:w="1247"/>
            <w:vAlign w:val="center"/>
          </w:tcPr>
          <w:p>
            <w:pPr>
              <w:spacing w:after="60" w:before="40"/>
            </w:pPr>
            <w:r>
              <w:rPr>
                <w:b/>
                <w:color w:val="173B4B"/>
                <w:sz w:val="18"/>
              </w:rPr>
              <w:t>Code</w:t>
            </w:r>
          </w:p>
        </w:tc>
        <w:tc>
          <w:tcPr>
            <w:tcW w:type="dxa" w:w="8674"/>
            <w:vAlign w:val="center"/>
          </w:tcPr>
          <w:p>
            <w:pPr>
              <w:spacing w:after="60" w:before="40"/>
            </w:pPr>
            <w:r>
              <w:rPr>
                <w:b/>
                <w:color w:val="173B4B"/>
                <w:sz w:val="18"/>
              </w:rPr>
              <w:t>Bedeutung und verpflichtende Dokumentation</w:t>
            </w:r>
          </w:p>
        </w:tc>
      </w:tr>
      <w:tr>
        <w:trPr>
          <w:cantSplit/>
        </w:trPr>
        <w:tc>
          <w:tcPr>
            <w:tcW w:type="dxa" w:w="1247"/>
            <w:vAlign w:val="center"/>
          </w:tcPr>
          <w:p>
            <w:pPr>
              <w:spacing w:after="60" w:before="40"/>
            </w:pPr>
            <w:r>
              <w:rPr>
                <w:sz w:val="18"/>
              </w:rPr>
              <w:t>H</w:t>
            </w:r>
          </w:p>
        </w:tc>
        <w:tc>
          <w:tcPr>
            <w:tcW w:type="dxa" w:w="8674"/>
            <w:vAlign w:val="center"/>
          </w:tcPr>
          <w:p>
            <w:pPr>
              <w:spacing w:after="60" w:before="40"/>
            </w:pPr>
            <w:r>
              <w:rPr>
                <w:sz w:val="18"/>
              </w:rPr>
              <w:t>Hersteller-/Primärangabe: Modellvariante, Dokument, Stand, Seite/Abschnitt, Messbedingungen.</w:t>
            </w:r>
          </w:p>
        </w:tc>
      </w:tr>
      <w:tr>
        <w:trPr>
          <w:cantSplit/>
        </w:trPr>
        <w:tc>
          <w:tcPr>
            <w:tcW w:type="dxa" w:w="1247"/>
            <w:vAlign w:val="center"/>
          </w:tcPr>
          <w:p>
            <w:pPr>
              <w:spacing w:after="60" w:before="40"/>
            </w:pPr>
            <w:r>
              <w:rPr>
                <w:sz w:val="18"/>
              </w:rPr>
              <w:t>L</w:t>
            </w:r>
          </w:p>
        </w:tc>
        <w:tc>
          <w:tcPr>
            <w:tcW w:type="dxa" w:w="8674"/>
            <w:vAlign w:val="center"/>
          </w:tcPr>
          <w:p>
            <w:pPr>
              <w:spacing w:after="60" w:before="40"/>
            </w:pPr>
            <w:r>
              <w:rPr>
                <w:sz w:val="18"/>
              </w:rPr>
              <w:t>Literatur-/empirischer Wert: Stichprobe, Bezugsjahr, Region und Systemgrenze.</w:t>
            </w:r>
          </w:p>
        </w:tc>
      </w:tr>
      <w:tr>
        <w:trPr>
          <w:cantSplit/>
        </w:trPr>
        <w:tc>
          <w:tcPr>
            <w:tcW w:type="dxa" w:w="1247"/>
            <w:vAlign w:val="center"/>
          </w:tcPr>
          <w:p>
            <w:pPr>
              <w:spacing w:after="60" w:before="40"/>
            </w:pPr>
            <w:r>
              <w:rPr>
                <w:sz w:val="18"/>
              </w:rPr>
              <w:t>A</w:t>
            </w:r>
          </w:p>
        </w:tc>
        <w:tc>
          <w:tcPr>
            <w:tcW w:type="dxa" w:w="8674"/>
            <w:vAlign w:val="center"/>
          </w:tcPr>
          <w:p>
            <w:pPr>
              <w:spacing w:after="60" w:before="40"/>
            </w:pPr>
            <w:r>
              <w:rPr>
                <w:sz w:val="18"/>
              </w:rPr>
              <w:t>Explizite Szenarioannahme: Begründung und Sensitivitätsintervall; keine Marktbehauptung.</w:t>
            </w:r>
          </w:p>
        </w:tc>
      </w:tr>
      <w:tr>
        <w:trPr>
          <w:cantSplit/>
        </w:trPr>
        <w:tc>
          <w:tcPr>
            <w:tcW w:type="dxa" w:w="1247"/>
            <w:vAlign w:val="center"/>
          </w:tcPr>
          <w:p>
            <w:pPr>
              <w:spacing w:after="60" w:before="40"/>
            </w:pPr>
            <w:r>
              <w:rPr>
                <w:sz w:val="18"/>
              </w:rPr>
              <w:t>R</w:t>
            </w:r>
          </w:p>
        </w:tc>
        <w:tc>
          <w:tcPr>
            <w:tcW w:type="dxa" w:w="8674"/>
            <w:vAlign w:val="center"/>
          </w:tcPr>
          <w:p>
            <w:pPr>
              <w:spacing w:after="60" w:before="40"/>
            </w:pPr>
            <w:r>
              <w:rPr>
                <w:sz w:val="18"/>
              </w:rPr>
              <w:t>Rechenergebnis: Formel und zugrunde liegende Eingangsgrößen.</w:t>
            </w:r>
          </w:p>
        </w:tc>
      </w:tr>
      <w:tr>
        <w:trPr>
          <w:cantSplit/>
        </w:trPr>
        <w:tc>
          <w:tcPr>
            <w:tcW w:type="dxa" w:w="1247"/>
            <w:vAlign w:val="center"/>
          </w:tcPr>
          <w:p>
            <w:pPr>
              <w:spacing w:after="60" w:before="40"/>
            </w:pPr>
            <w:r>
              <w:rPr>
                <w:sz w:val="18"/>
              </w:rPr>
              <w:t>n. v. / n. a.</w:t>
            </w:r>
          </w:p>
        </w:tc>
        <w:tc>
          <w:tcPr>
            <w:tcW w:type="dxa" w:w="8674"/>
            <w:vAlign w:val="center"/>
          </w:tcPr>
          <w:p>
            <w:pPr>
              <w:spacing w:after="60" w:before="40"/>
            </w:pPr>
            <w:r>
              <w:rPr>
                <w:sz w:val="18"/>
              </w:rPr>
              <w:t>Nicht verfügbar / nicht anwendbar. Fehlende Daten niemals stillschweigend mit null belegen.</w:t>
            </w:r>
          </w:p>
        </w:tc>
      </w:tr>
    </w:tbl>
    <w:p>
      <w:pPr>
        <w:pStyle w:val="Heading2"/>
      </w:pPr>
      <w:r>
        <w:t>1.2  Einheitliche Berechnung</w:t>
      </w:r>
    </w:p>
    <w:p>
      <w:r>
        <w:t>Symbole: P Anschaffung, Rₙ Restwert am Nutzungsende, n wirtschaftliche Nutzungsjahre, i Kalkulationszins; L jährliche Fahrzeugkilometer; Hᵥ zugerechnete Fahrzeug-Einsatzstunden; H𝒹 bezahlte Fahrer-/Personalstunden; Q tatsächlich erbrachte Transportleistung in tkm.</w:t>
      </w:r>
    </w:p>
    <w:p>
      <w:r>
        <w:t>A(P,Rₙ,n,i) = [P − Rₙ/(1+i)ⁿ] · i/[1 − (1+i)⁻ⁿ]  [EUR/Jahr]</w:t>
      </w:r>
    </w:p>
    <w:p>
      <w:r>
        <w:t>Bei i = 0: A = (P − Rₙ)/n. Alle Geldgrößen müssen zum gewählten realen oder nominalen Zins passen.</w:t>
      </w:r>
    </w:p>
    <w:p>
      <w:r>
        <w:t>F = Fahrzeug- und Aufliegerannuität + fixe Versicherungen/Steuern/Verwaltung + zugeteilte Infrastrukturfixkosten.</w:t>
      </w:r>
    </w:p>
    <w:p>
      <w:r>
        <w:t>cₖₘ,var = Energieverbrauch je km · Energiepreis + Betriebsstoffe + Wartung/Verschleiß je km + Maut je km.</w:t>
      </w:r>
    </w:p>
    <w:p>
      <w:r>
        <w:t>K = F + L · cₖₘ,var + H𝒹 · c𝒹 + sonstige, nicht bereits enthaltene Ereigniskosten.</w:t>
      </w:r>
    </w:p>
    <w:p>
      <w:r>
        <w:t>cₕ,F = F/Hᵥ;  cₖₘ,voll = K/L;  cₜₖₘ = K/Q;  Q = Σₐ (Nutzlastₐ · Distanzₐ).</w:t>
      </w:r>
    </w:p>
    <w:p>
      <w:r>
        <w:t>Für BEV bei batteriebezogenem Verbrauch: eNetz = eBatterie/ηLaden. Bei Messung am Netzanschlusspunkt sind Ladeverluste bereits enthalten. Bei LNG mit Zünddiesel sind beide Kraftstoffströme getrennt zu erfassen.</w:t>
      </w:r>
    </w:p>
    <w:p>
      <w:pPr>
        <w:pStyle w:val="Heading2"/>
      </w:pPr>
      <w:r>
        <w:t>1.3  Zeitabhängigkeit richtig interpretieren</w:t>
      </w:r>
    </w:p>
    <w:p>
      <w:r>
        <w:t>Kapitalbindung, kalendarische Alterung, Versicherung, Steuer, Telematik und reservierte Infrastrukturkapazität bestehen auch ohne Fahrleistung. F/Hᵥ ist deren kalkulatorischer Verrechnungssatz, kein kurzfristiger Grenzkostensatz einer zusätzlichen Warte- oder Ladestunde. Zeitabhängige Zusatzkosten können hingegen Personal, Parkplatz-/Blockiergebühren oder entgangene Kapazität sein; Opportunitätskosten nur mit explizitem Alternativszenario ansetzen.</w:t>
      </w:r>
    </w:p>
    <w:p>
      <w:r>
        <w:rPr>
          <w:i/>
          <w:color w:val="526775"/>
          <w:sz w:val="18"/>
        </w:rPr>
        <w:t>Keine Doppelzählung: Entweder jährliche Fixkosten/Fahrzeugaktivierung im Modell ODER deren Stunden-/Kilometerumlage verwenden. Ebenso nicht Anschaffung plus Annuität oder Wartungspauschale plus bereits darin enthaltene Komponentenreserve addieren.</w:t>
      </w:r>
    </w:p>
    <w:p>
      <w:r>
        <w:br w:type="page"/>
      </w:r>
    </w:p>
    <w:p>
      <w:pPr>
        <w:pStyle w:val="Heading1"/>
      </w:pPr>
      <w:r>
        <w:t>2  Antriebstechnologien und Marktbeispiele</w:t>
      </w:r>
    </w:p>
    <w:p>
      <w:r>
        <w:t>Kurze, nicht vollständige Modellliste. „Verfügbar“ bedeutet hier öffentlich dokumentiertes Serienprodukt bzw. kommerzieller Kundeneinsatz in Europa; Lieferzeit, deutsche Typgenehmigung und konkrete Bestellung sind gesondert zu bestätigen. Recherche: 20.10.2026.</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1191"/>
            <w:vAlign w:val="center"/>
          </w:tcPr>
          <w:p>
            <w:pPr>
              <w:spacing w:after="60" w:before="40"/>
            </w:pPr>
            <w:r>
              <w:rPr>
                <w:b/>
                <w:color w:val="173B4B"/>
                <w:sz w:val="18"/>
              </w:rPr>
              <w:t>Antrieb</w:t>
            </w:r>
          </w:p>
        </w:tc>
        <w:tc>
          <w:tcPr>
            <w:tcW w:type="dxa" w:w="4025"/>
            <w:vAlign w:val="center"/>
          </w:tcPr>
          <w:p>
            <w:pPr>
              <w:spacing w:after="60" w:before="40"/>
            </w:pPr>
            <w:r>
              <w:rPr>
                <w:b/>
                <w:color w:val="173B4B"/>
                <w:sz w:val="18"/>
              </w:rPr>
              <w:t>Technische Kurzbeschreibung</w:t>
            </w:r>
          </w:p>
        </w:tc>
        <w:tc>
          <w:tcPr>
            <w:tcW w:type="dxa" w:w="4706"/>
            <w:vAlign w:val="center"/>
          </w:tcPr>
          <w:p>
            <w:pPr>
              <w:spacing w:after="60" w:before="40"/>
            </w:pPr>
            <w:r>
              <w:rPr>
                <w:b/>
                <w:color w:val="173B4B"/>
                <w:sz w:val="18"/>
              </w:rPr>
              <w:t>Belegte Modellbeispiele / Marktstatus</w:t>
            </w:r>
          </w:p>
        </w:tc>
      </w:tr>
      <w:tr>
        <w:trPr>
          <w:cantSplit/>
        </w:trPr>
        <w:tc>
          <w:tcPr>
            <w:tcW w:type="dxa" w:w="1191"/>
            <w:vAlign w:val="center"/>
          </w:tcPr>
          <w:p>
            <w:pPr>
              <w:spacing w:after="60" w:before="40"/>
            </w:pPr>
            <w:r>
              <w:rPr>
                <w:sz w:val="18"/>
              </w:rPr>
              <w:t>Diesel-ICEV</w:t>
            </w:r>
          </w:p>
        </w:tc>
        <w:tc>
          <w:tcPr>
            <w:tcW w:type="dxa" w:w="4025"/>
            <w:vAlign w:val="center"/>
          </w:tcPr>
          <w:p>
            <w:pPr>
              <w:spacing w:after="60" w:before="40"/>
            </w:pPr>
            <w:r>
              <w:rPr>
                <w:sz w:val="18"/>
              </w:rPr>
              <w:t>Dieselmotor wandelt chemische Energie in mechanische Arbeit um; Getriebe/Kardanwelle treiben die Achse. Abgasnachbehandlung und AdBlue-Verbrauch separat erfassen.</w:t>
            </w:r>
          </w:p>
        </w:tc>
        <w:tc>
          <w:tcPr>
            <w:tcW w:type="dxa" w:w="4706"/>
            <w:vAlign w:val="center"/>
          </w:tcPr>
          <w:p>
            <w:pPr>
              <w:spacing w:after="60" w:before="40"/>
            </w:pPr>
            <w:r>
              <w:rPr>
                <w:sz w:val="18"/>
              </w:rPr>
              <w:t>Mercedes-Benz Actros L ProCabin: aktuelle Dieselbaureihe, Produktionsbeginn der Generation Dezember 2024 [Q2]. Volvo FH Aero Diesel: Herstellerangebot [Q6].</w:t>
            </w:r>
          </w:p>
        </w:tc>
      </w:tr>
      <w:tr>
        <w:trPr>
          <w:cantSplit/>
        </w:trPr>
        <w:tc>
          <w:tcPr>
            <w:tcW w:type="dxa" w:w="1191"/>
            <w:vAlign w:val="center"/>
          </w:tcPr>
          <w:p>
            <w:pPr>
              <w:spacing w:after="60" w:before="40"/>
            </w:pPr>
            <w:r>
              <w:rPr>
                <w:sz w:val="18"/>
              </w:rPr>
              <w:t>BEV</w:t>
            </w:r>
          </w:p>
        </w:tc>
        <w:tc>
          <w:tcPr>
            <w:tcW w:type="dxa" w:w="4025"/>
            <w:vAlign w:val="center"/>
          </w:tcPr>
          <w:p>
            <w:pPr>
              <w:spacing w:after="60" w:before="40"/>
            </w:pPr>
            <w:r>
              <w:rPr>
                <w:sz w:val="18"/>
              </w:rPr>
              <w:t>Traktionsbatterie, Leistungselektronik und Elektromotor(en)/E-Achse; Rekuperation. Ladeverluste und Batteriedegradation beeinflussen Energiebedarf und nutzbare Reichweite.</w:t>
            </w:r>
          </w:p>
        </w:tc>
        <w:tc>
          <w:tcPr>
            <w:tcW w:type="dxa" w:w="4706"/>
            <w:vAlign w:val="center"/>
          </w:tcPr>
          <w:p>
            <w:pPr>
              <w:spacing w:after="60" w:before="40"/>
            </w:pPr>
            <w:r>
              <w:rPr>
                <w:sz w:val="18"/>
              </w:rPr>
              <w:t>Mercedes-Benz eActros 600: Serie seit Ende November 2024, Kundenauslieferungen ab Dezember 2024 [Q3]. Volvo FH Aero Electric, einschließlich Extended Range: Produktionsstart der neuen Generation September 2026 [Q7].</w:t>
            </w:r>
          </w:p>
        </w:tc>
      </w:tr>
      <w:tr>
        <w:trPr>
          <w:cantSplit/>
        </w:trPr>
        <w:tc>
          <w:tcPr>
            <w:tcW w:type="dxa" w:w="1191"/>
            <w:vAlign w:val="center"/>
          </w:tcPr>
          <w:p>
            <w:pPr>
              <w:spacing w:after="60" w:before="40"/>
            </w:pPr>
            <w:r>
              <w:rPr>
                <w:sz w:val="18"/>
              </w:rPr>
              <w:t>LNG / Bio-LNG</w:t>
            </w:r>
          </w:p>
        </w:tc>
        <w:tc>
          <w:tcPr>
            <w:tcW w:type="dxa" w:w="4025"/>
            <w:vAlign w:val="center"/>
          </w:tcPr>
          <w:p>
            <w:pPr>
              <w:spacing w:after="60" w:before="40"/>
            </w:pPr>
            <w:r>
              <w:rPr>
                <w:sz w:val="18"/>
              </w:rPr>
              <w:t>Kryogen gespeichertes Methan speist einen Verbrennungsmotor. Fremdzündung und Dual-Fuel-/Zünddieselkonzepte unterscheiden. LNG-Tank, Haltezeit, mögliche Verdampfungsverluste und Methanemissionen dokumentieren.</w:t>
            </w:r>
          </w:p>
        </w:tc>
        <w:tc>
          <w:tcPr>
            <w:tcW w:type="dxa" w:w="4706"/>
            <w:vAlign w:val="center"/>
          </w:tcPr>
          <w:p>
            <w:pPr>
              <w:spacing w:after="60" w:before="40"/>
            </w:pPr>
            <w:r>
              <w:rPr>
                <w:sz w:val="18"/>
              </w:rPr>
              <w:t>IVECO S-Way Natural Gas: aktuelles Herstellerprogramm; CNG-/LNG-Ausführung konkret unterscheiden [Q8]. Volvo FH Aero gas-powered: LNG/Bio-LNG-Angebot, Pilotkraftstoff separat erfassen [Q9].</w:t>
            </w:r>
          </w:p>
        </w:tc>
      </w:tr>
      <w:tr>
        <w:trPr>
          <w:cantSplit/>
        </w:trPr>
        <w:tc>
          <w:tcPr>
            <w:tcW w:type="dxa" w:w="1191"/>
            <w:vAlign w:val="center"/>
          </w:tcPr>
          <w:p>
            <w:pPr>
              <w:spacing w:after="60" w:before="40"/>
            </w:pPr>
            <w:r>
              <w:rPr>
                <w:sz w:val="18"/>
              </w:rPr>
              <w:t>H₂-FCEV</w:t>
            </w:r>
          </w:p>
        </w:tc>
        <w:tc>
          <w:tcPr>
            <w:tcW w:type="dxa" w:w="4025"/>
            <w:vAlign w:val="center"/>
          </w:tcPr>
          <w:p>
            <w:pPr>
              <w:spacing w:after="60" w:before="40"/>
            </w:pPr>
            <w:r>
              <w:rPr>
                <w:sz w:val="18"/>
              </w:rPr>
              <w:t>Brennstoffzelle erzeugt Strom aus Wasserstoff; Pufferbatterie, Wechselrichter und Elektromotor treiben das Fahrzeug. Brennstoffzellenstunden, Tankdruck und H₂-Qualität dokumentieren.</w:t>
            </w:r>
          </w:p>
        </w:tc>
        <w:tc>
          <w:tcPr>
            <w:tcW w:type="dxa" w:w="4706"/>
            <w:vAlign w:val="center"/>
          </w:tcPr>
          <w:p>
            <w:pPr>
              <w:spacing w:after="60" w:before="40"/>
            </w:pPr>
            <w:r>
              <w:rPr>
                <w:sz w:val="18"/>
              </w:rPr>
              <w:t>Hyundai XCIENT Fuel Cell: kommerzieller Europa-Einsatz; Hersteller berichtet im Februar 2026 über 165 Fahrzeuge in fünf Ländern [Q10]. Markt-/Vertriebskanäle und Konfiguration separat bestätigen.</w:t>
            </w:r>
          </w:p>
        </w:tc>
      </w:tr>
      <w:tr>
        <w:trPr>
          <w:cantSplit/>
        </w:trPr>
        <w:tc>
          <w:tcPr>
            <w:tcW w:type="dxa" w:w="1191"/>
            <w:vAlign w:val="center"/>
          </w:tcPr>
          <w:p>
            <w:pPr>
              <w:spacing w:after="60" w:before="40"/>
            </w:pPr>
            <w:r>
              <w:rPr>
                <w:sz w:val="18"/>
              </w:rPr>
              <w:t>H₂-ICE (gesondert)</w:t>
            </w:r>
          </w:p>
        </w:tc>
        <w:tc>
          <w:tcPr>
            <w:tcW w:type="dxa" w:w="4025"/>
            <w:vAlign w:val="center"/>
          </w:tcPr>
          <w:p>
            <w:pPr>
              <w:spacing w:after="60" w:before="40"/>
            </w:pPr>
            <w:r>
              <w:rPr>
                <w:sz w:val="18"/>
              </w:rPr>
              <w:t>Wasserstoff wird im Verbrennungsmotor genutzt, nicht in einer Brennstoffzelle. Kein FCEV; eigener Datensatz mit Abgas-/Wirkungsgradmerkmalen.</w:t>
            </w:r>
          </w:p>
        </w:tc>
        <w:tc>
          <w:tcPr>
            <w:tcW w:type="dxa" w:w="4706"/>
            <w:vAlign w:val="center"/>
          </w:tcPr>
          <w:p>
            <w:pPr>
              <w:spacing w:after="60" w:before="40"/>
            </w:pPr>
            <w:r>
              <w:rPr>
                <w:sz w:val="18"/>
              </w:rPr>
              <w:t>Keine pauschale Verfügbarkeitsbehauptung. Modell, Zulassung und Serien-/Pilotstatus vor Aufnahme belegen.</w:t>
            </w:r>
          </w:p>
        </w:tc>
      </w:tr>
    </w:tbl>
    <w:p>
      <w:pPr>
        <w:pStyle w:val="Heading2"/>
      </w:pPr>
      <w:r>
        <w:t>Technologiespezifische Pflichtfelder</w:t>
      </w:r>
    </w:p>
    <w:p>
      <w:r>
        <w:t>Diesel: Abgasstufe, CO₂-Mautklasse, AdBlue. BEV: Brutto-/Nettokapazität, SoC-Fenster, SoH-Grenze, Ladeleistung und Ladeprofil. LNG: Tanktyp, nutzbare Kraftstoffmasse, Pilotdiesel, Standverluste. H₂: Brennstoffzelle oder Verbrennung, 350/700 bar bzw. Flüssig-H₂, nutzbare Masse, Stack-Leistung und Tankprüfungen.</w:t>
      </w:r>
    </w:p>
    <w:p>
      <w:r>
        <w:rPr>
          <w:i/>
          <w:color w:val="526775"/>
          <w:sz w:val="18"/>
        </w:rPr>
        <w:t>Marktstatus ist zeit- und länderspezifisch. Eine Modellfamilie kann mehrere Achs-, Leistungs- und Gewichtskonfigurationen enthalten. Hersteller-Reichweiten sind keine garantierten Einsatzreichweiten.</w:t>
      </w:r>
    </w:p>
    <w:p>
      <w:r>
        <w:br w:type="page"/>
      </w:r>
    </w:p>
    <w:p>
      <w:pPr>
        <w:pStyle w:val="Subtitle"/>
      </w:pPr>
      <w:r>
        <w:t>KOPIERVORLAGE · Seite 1 von 4</w:t>
      </w:r>
    </w:p>
    <w:p>
      <w:pPr>
        <w:pStyle w:val="Heading1"/>
      </w:pPr>
      <w:r>
        <w:t>3  Identifikation und technische Daten</w:t>
      </w:r>
    </w:p>
    <w:tbl>
      <w:tblPr>
        <w:tblStyle w:val="LightShading-Accent1"/>
        <w:tblW w:type="auto" w:w="0"/>
        <w:jc w:val="center"/>
        <w:tblLayout w:type="fixed"/>
        <w:tblLook w:firstColumn="1" w:firstRow="1" w:lastColumn="0" w:lastRow="0" w:noHBand="0" w:noVBand="1" w:val="04A0"/>
      </w:tblPr>
      <w:tblGrid>
        <w:gridCol w:w="5018"/>
        <w:gridCol w:w="5018"/>
      </w:tblGrid>
      <w:tr>
        <w:trPr>
          <w:cantSplit/>
          <w:tblHeader/>
        </w:trPr>
        <w:tc>
          <w:tcPr>
            <w:tcW w:type="dxa" w:w="3061"/>
            <w:vAlign w:val="center"/>
          </w:tcPr>
          <w:p>
            <w:pPr>
              <w:spacing w:after="60" w:before="40"/>
            </w:pPr>
            <w:r>
              <w:rPr>
                <w:b/>
                <w:color w:val="173B4B"/>
                <w:sz w:val="18"/>
              </w:rPr>
              <w:t>Feld</w:t>
            </w:r>
          </w:p>
        </w:tc>
        <w:tc>
          <w:tcPr>
            <w:tcW w:type="dxa" w:w="6860"/>
            <w:vAlign w:val="center"/>
          </w:tcPr>
          <w:p>
            <w:pPr>
              <w:spacing w:after="60" w:before="40"/>
            </w:pPr>
            <w:r>
              <w:rPr>
                <w:b/>
                <w:color w:val="173B4B"/>
                <w:sz w:val="18"/>
              </w:rPr>
              <w:t>Eintrag</w:t>
            </w:r>
          </w:p>
        </w:tc>
      </w:tr>
      <w:tr>
        <w:trPr>
          <w:cantSplit/>
        </w:trPr>
        <w:tc>
          <w:tcPr>
            <w:tcW w:type="dxa" w:w="3061"/>
            <w:vAlign w:val="center"/>
          </w:tcPr>
          <w:p>
            <w:pPr>
              <w:spacing w:after="60" w:before="40"/>
            </w:pPr>
            <w:r>
              <w:rPr>
                <w:sz w:val="18"/>
              </w:rPr>
              <w:t>Datensatz-ID / Version / Bearbeitung</w:t>
            </w:r>
          </w:p>
        </w:tc>
        <w:tc>
          <w:tcPr>
            <w:tcW w:type="dxa" w:w="6860"/>
            <w:vAlign w:val="center"/>
          </w:tcPr>
          <w:p>
            <w:pPr>
              <w:spacing w:after="60" w:before="40"/>
            </w:pPr>
            <w:r>
              <w:rPr>
                <w:sz w:val="18"/>
              </w:rPr>
              <w:t>[eintragen]</w:t>
            </w:r>
          </w:p>
        </w:tc>
      </w:tr>
      <w:tr>
        <w:trPr>
          <w:cantSplit/>
        </w:trPr>
        <w:tc>
          <w:tcPr>
            <w:tcW w:type="dxa" w:w="3061"/>
            <w:vAlign w:val="center"/>
          </w:tcPr>
          <w:p>
            <w:pPr>
              <w:spacing w:after="60" w:before="40"/>
            </w:pPr>
            <w:r>
              <w:rPr>
                <w:sz w:val="18"/>
              </w:rPr>
              <w:t>Technologie / Modell / Baujahr</w:t>
            </w:r>
          </w:p>
        </w:tc>
        <w:tc>
          <w:tcPr>
            <w:tcW w:type="dxa" w:w="6860"/>
            <w:vAlign w:val="center"/>
          </w:tcPr>
          <w:p>
            <w:pPr>
              <w:spacing w:after="60" w:before="40"/>
            </w:pPr>
            <w:r>
              <w:rPr>
                <w:sz w:val="18"/>
              </w:rPr>
              <w:t>[Diesel | BEV | LNG | H₂-FCEV | H₂-ICE] / [eintragen]</w:t>
            </w:r>
          </w:p>
        </w:tc>
      </w:tr>
      <w:tr>
        <w:trPr>
          <w:cantSplit/>
        </w:trPr>
        <w:tc>
          <w:tcPr>
            <w:tcW w:type="dxa" w:w="3061"/>
            <w:vAlign w:val="center"/>
          </w:tcPr>
          <w:p>
            <w:pPr>
              <w:spacing w:after="60" w:before="40"/>
            </w:pPr>
            <w:r>
              <w:rPr>
                <w:sz w:val="18"/>
              </w:rPr>
              <w:t>Achsformel / Aufbau / Fahrzeugklasse</w:t>
            </w:r>
          </w:p>
        </w:tc>
        <w:tc>
          <w:tcPr>
            <w:tcW w:type="dxa" w:w="6860"/>
            <w:vAlign w:val="center"/>
          </w:tcPr>
          <w:p>
            <w:pPr>
              <w:spacing w:after="60" w:before="40"/>
            </w:pPr>
            <w:r>
              <w:rPr>
                <w:sz w:val="18"/>
              </w:rPr>
              <w:t>[z. B. 4×2-Sattelzugmaschine, N3]</w:t>
            </w:r>
          </w:p>
        </w:tc>
      </w:tr>
      <w:tr>
        <w:trPr>
          <w:cantSplit/>
        </w:trPr>
        <w:tc>
          <w:tcPr>
            <w:tcW w:type="dxa" w:w="3061"/>
            <w:vAlign w:val="center"/>
          </w:tcPr>
          <w:p>
            <w:pPr>
              <w:spacing w:after="60" w:before="40"/>
            </w:pPr>
            <w:r>
              <w:rPr>
                <w:sz w:val="18"/>
              </w:rPr>
              <w:t>Markt / Preisbasis / Datenstand</w:t>
            </w:r>
          </w:p>
        </w:tc>
        <w:tc>
          <w:tcPr>
            <w:tcW w:type="dxa" w:w="6860"/>
            <w:vAlign w:val="center"/>
          </w:tcPr>
          <w:p>
            <w:pPr>
              <w:spacing w:after="60" w:before="40"/>
            </w:pPr>
            <w:r>
              <w:rPr>
                <w:sz w:val="18"/>
              </w:rPr>
              <w:t>[Region, netto/brutto, EUR des Jahres, Recherchetag]</w:t>
            </w:r>
          </w:p>
        </w:tc>
      </w:tr>
      <w:tr>
        <w:trPr>
          <w:cantSplit/>
        </w:trPr>
        <w:tc>
          <w:tcPr>
            <w:tcW w:type="dxa" w:w="3061"/>
            <w:vAlign w:val="center"/>
          </w:tcPr>
          <w:p>
            <w:pPr>
              <w:spacing w:after="60" w:before="40"/>
            </w:pPr>
            <w:r>
              <w:rPr>
                <w:sz w:val="18"/>
              </w:rPr>
              <w:t>Einsatzprofil / Systemgrenze</w:t>
            </w:r>
          </w:p>
        </w:tc>
        <w:tc>
          <w:tcPr>
            <w:tcW w:type="dxa" w:w="6860"/>
            <w:vAlign w:val="center"/>
          </w:tcPr>
          <w:p>
            <w:pPr>
              <w:spacing w:after="60" w:before="40"/>
            </w:pPr>
            <w:r>
              <w:rPr>
                <w:sz w:val="18"/>
              </w:rPr>
              <w:t>[Fern-/Regional-/Verteilerverkehr; Zugmaschine/Auflieger/Infrastruktur]</w:t>
            </w:r>
          </w:p>
        </w:tc>
      </w:tr>
    </w:tbl>
    <w:p>
      <w:pPr>
        <w:pStyle w:val="Heading2"/>
      </w:pPr>
      <w:r>
        <w:t>3.1  Technische Kurzbeschreibung</w:t>
      </w:r>
    </w:p>
    <w:p>
      <w:r>
        <w:t>[In 80–150 Wörtern: Energiepfad vom Speicher zum Rad, Hauptkomponenten, Energiespeicherung, Energiebereitstellung, Rekuperation, betriebliche Grenzen und infrastrukturelle Voraussetzungen beschreiben.]</w:t>
      </w:r>
    </w:p>
    <w:p>
      <w:pPr>
        <w:pStyle w:val="Heading2"/>
      </w:pPr>
      <w:r>
        <w:t>3.2  Technische Kenngrößen</w:t>
      </w:r>
    </w:p>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3118"/>
            <w:vAlign w:val="center"/>
          </w:tcPr>
          <w:p>
            <w:pPr>
              <w:spacing w:after="60" w:before="40"/>
            </w:pPr>
            <w:r>
              <w:rPr>
                <w:b/>
                <w:color w:val="173B4B"/>
                <w:sz w:val="18"/>
              </w:rPr>
              <w:t>Parameter / Symbol</w:t>
            </w:r>
          </w:p>
        </w:tc>
        <w:tc>
          <w:tcPr>
            <w:tcW w:type="dxa" w:w="1417"/>
            <w:vAlign w:val="center"/>
          </w:tcPr>
          <w:p>
            <w:pPr>
              <w:spacing w:after="60" w:before="40"/>
            </w:pPr>
            <w:r>
              <w:rPr>
                <w:b/>
                <w:color w:val="173B4B"/>
                <w:sz w:val="18"/>
              </w:rPr>
              <w:t>Einheit</w:t>
            </w:r>
          </w:p>
        </w:tc>
        <w:tc>
          <w:tcPr>
            <w:tcW w:type="dxa" w:w="1984"/>
            <w:vAlign w:val="center"/>
          </w:tcPr>
          <w:p>
            <w:pPr>
              <w:spacing w:after="60" w:before="40"/>
            </w:pPr>
            <w:r>
              <w:rPr>
                <w:b/>
                <w:color w:val="173B4B"/>
                <w:sz w:val="18"/>
              </w:rPr>
              <w:t>Wert / Bandbreite</w:t>
            </w:r>
          </w:p>
        </w:tc>
        <w:tc>
          <w:tcPr>
            <w:tcW w:type="dxa" w:w="3402"/>
            <w:vAlign w:val="center"/>
          </w:tcPr>
          <w:p>
            <w:pPr>
              <w:spacing w:after="60" w:before="40"/>
            </w:pPr>
            <w:r>
              <w:rPr>
                <w:b/>
                <w:color w:val="173B4B"/>
                <w:sz w:val="18"/>
              </w:rPr>
              <w:t>Status / Quelle / Bedingung</w:t>
            </w:r>
          </w:p>
        </w:tc>
      </w:tr>
      <w:tr>
        <w:trPr>
          <w:cantSplit/>
        </w:trPr>
        <w:tc>
          <w:tcPr>
            <w:tcW w:type="dxa" w:w="3118"/>
            <w:vAlign w:val="center"/>
          </w:tcPr>
          <w:p>
            <w:pPr>
              <w:spacing w:after="60" w:before="40"/>
            </w:pPr>
            <w:r>
              <w:rPr>
                <w:sz w:val="18"/>
              </w:rPr>
              <w:t>Gesamtzugmasse / Achslasten</w:t>
            </w:r>
          </w:p>
        </w:tc>
        <w:tc>
          <w:tcPr>
            <w:tcW w:type="dxa" w:w="1417"/>
            <w:vAlign w:val="center"/>
          </w:tcPr>
          <w:p>
            <w:pPr>
              <w:spacing w:after="60" w:before="40"/>
            </w:pPr>
            <w:r>
              <w:rPr>
                <w:sz w:val="18"/>
              </w:rPr>
              <w:t>t</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[rechtlich vs. technisch]</w:t>
            </w:r>
          </w:p>
        </w:tc>
      </w:tr>
      <w:tr>
        <w:trPr>
          <w:cantSplit/>
        </w:trPr>
        <w:tc>
          <w:tcPr>
            <w:tcW w:type="dxa" w:w="3118"/>
            <w:vAlign w:val="center"/>
          </w:tcPr>
          <w:p>
            <w:pPr>
              <w:spacing w:after="60" w:before="40"/>
            </w:pPr>
            <w:r>
              <w:rPr>
                <w:sz w:val="18"/>
              </w:rPr>
              <w:t>Leergewicht Zugmaschine / Auflieger</w:t>
            </w:r>
          </w:p>
        </w:tc>
        <w:tc>
          <w:tcPr>
            <w:tcW w:type="dxa" w:w="1417"/>
            <w:vAlign w:val="center"/>
          </w:tcPr>
          <w:p>
            <w:pPr>
              <w:spacing w:after="60" w:before="40"/>
            </w:pPr>
            <w:r>
              <w:rPr>
                <w:sz w:val="18"/>
              </w:rPr>
              <w:t>t</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[Ausstattung]</w:t>
            </w:r>
          </w:p>
        </w:tc>
      </w:tr>
      <w:tr>
        <w:trPr>
          <w:cantSplit/>
        </w:trPr>
        <w:tc>
          <w:tcPr>
            <w:tcW w:type="dxa" w:w="3118"/>
            <w:vAlign w:val="center"/>
          </w:tcPr>
          <w:p>
            <w:pPr>
              <w:spacing w:after="60" w:before="40"/>
            </w:pPr>
            <w:r>
              <w:rPr>
                <w:sz w:val="18"/>
              </w:rPr>
              <w:t>Zulässige Nutzlast / Volumen / Stellplätze</w:t>
            </w:r>
          </w:p>
        </w:tc>
        <w:tc>
          <w:tcPr>
            <w:tcW w:type="dxa" w:w="1417"/>
            <w:vAlign w:val="center"/>
          </w:tcPr>
          <w:p>
            <w:pPr>
              <w:spacing w:after="60" w:before="40"/>
            </w:pPr>
            <w:r>
              <w:rPr>
                <w:sz w:val="18"/>
              </w:rPr>
              <w:t>t / m³ / Anzahl</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[Kapazitätsgrenzen]</w:t>
            </w:r>
          </w:p>
        </w:tc>
      </w:tr>
      <w:tr>
        <w:trPr>
          <w:cantSplit/>
        </w:trPr>
        <w:tc>
          <w:tcPr>
            <w:tcW w:type="dxa" w:w="3118"/>
            <w:vAlign w:val="center"/>
          </w:tcPr>
          <w:p>
            <w:pPr>
              <w:spacing w:after="60" w:before="40"/>
            </w:pPr>
            <w:r>
              <w:rPr>
                <w:sz w:val="18"/>
              </w:rPr>
              <w:t>Dauer-/Spitzenleistung; Nebenaggregate</w:t>
            </w:r>
          </w:p>
        </w:tc>
        <w:tc>
          <w:tcPr>
            <w:tcW w:type="dxa" w:w="1417"/>
            <w:vAlign w:val="center"/>
          </w:tcPr>
          <w:p>
            <w:pPr>
              <w:spacing w:after="60" w:before="40"/>
            </w:pPr>
            <w:r>
              <w:rPr>
                <w:sz w:val="18"/>
              </w:rPr>
              <w:t>kW</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[Leistungsdefinition]</w:t>
            </w:r>
          </w:p>
        </w:tc>
      </w:tr>
      <w:tr>
        <w:trPr>
          <w:cantSplit/>
        </w:trPr>
        <w:tc>
          <w:tcPr>
            <w:tcW w:type="dxa" w:w="3118"/>
            <w:vAlign w:val="center"/>
          </w:tcPr>
          <w:p>
            <w:pPr>
              <w:spacing w:after="60" w:before="40"/>
            </w:pPr>
            <w:r>
              <w:rPr>
                <w:sz w:val="18"/>
              </w:rPr>
              <w:t>Energiespeicher brutto / nutzbar</w:t>
            </w:r>
          </w:p>
        </w:tc>
        <w:tc>
          <w:tcPr>
            <w:tcW w:type="dxa" w:w="1417"/>
            <w:vAlign w:val="center"/>
          </w:tcPr>
          <w:p>
            <w:pPr>
              <w:spacing w:after="60" w:before="40"/>
            </w:pPr>
            <w:r>
              <w:rPr>
                <w:sz w:val="18"/>
              </w:rPr>
              <w:t>l / kg / kWh</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[SoC, Temperatur]</w:t>
            </w:r>
          </w:p>
        </w:tc>
      </w:tr>
      <w:tr>
        <w:trPr>
          <w:cantSplit/>
        </w:trPr>
        <w:tc>
          <w:tcPr>
            <w:tcW w:type="dxa" w:w="3118"/>
            <w:vAlign w:val="center"/>
          </w:tcPr>
          <w:p>
            <w:pPr>
              <w:spacing w:after="60" w:before="40"/>
            </w:pPr>
            <w:r>
              <w:rPr>
                <w:sz w:val="18"/>
              </w:rPr>
              <w:t>Verbrauch leer / beladen</w:t>
            </w:r>
          </w:p>
        </w:tc>
        <w:tc>
          <w:tcPr>
            <w:tcW w:type="dxa" w:w="1417"/>
            <w:vAlign w:val="center"/>
          </w:tcPr>
          <w:p>
            <w:pPr>
              <w:spacing w:after="60" w:before="40"/>
            </w:pPr>
            <w:r>
              <w:rPr>
                <w:sz w:val="18"/>
              </w:rPr>
              <w:t>Einheit/100 km</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[Netz/Tank/Batterie]</w:t>
            </w:r>
          </w:p>
        </w:tc>
      </w:tr>
      <w:tr>
        <w:trPr>
          <w:cantSplit/>
        </w:trPr>
        <w:tc>
          <w:tcPr>
            <w:tcW w:type="dxa" w:w="3118"/>
            <w:vAlign w:val="center"/>
          </w:tcPr>
          <w:p>
            <w:pPr>
              <w:spacing w:after="60" w:before="40"/>
            </w:pPr>
            <w:r>
              <w:rPr>
                <w:sz w:val="18"/>
              </w:rPr>
              <w:t>Hilfsenergie / Leerlauf</w:t>
            </w:r>
          </w:p>
        </w:tc>
        <w:tc>
          <w:tcPr>
            <w:tcW w:type="dxa" w:w="1417"/>
            <w:vAlign w:val="center"/>
          </w:tcPr>
          <w:p>
            <w:pPr>
              <w:spacing w:after="60" w:before="40"/>
            </w:pPr>
            <w:r>
              <w:rPr>
                <w:sz w:val="18"/>
              </w:rPr>
              <w:t>kWh/h; l/h; kg/h</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[Kühlung, Heizung, PTO]</w:t>
            </w:r>
          </w:p>
        </w:tc>
      </w:tr>
      <w:tr>
        <w:trPr>
          <w:cantSplit/>
        </w:trPr>
        <w:tc>
          <w:tcPr>
            <w:tcW w:type="dxa" w:w="3118"/>
            <w:vAlign w:val="center"/>
          </w:tcPr>
          <w:p>
            <w:pPr>
              <w:spacing w:after="60" w:before="40"/>
            </w:pPr>
            <w:r>
              <w:rPr>
                <w:sz w:val="18"/>
              </w:rPr>
              <w:t>Lade-/Tankleistung und -zeit</w:t>
            </w:r>
          </w:p>
        </w:tc>
        <w:tc>
          <w:tcPr>
            <w:tcW w:type="dxa" w:w="1417"/>
            <w:vAlign w:val="center"/>
          </w:tcPr>
          <w:p>
            <w:pPr>
              <w:spacing w:after="60" w:before="40"/>
            </w:pPr>
            <w:r>
              <w:rPr>
                <w:sz w:val="18"/>
              </w:rPr>
              <w:t>kW / kg/min; min</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[Fenster, Ø vs. Peak]</w:t>
            </w:r>
          </w:p>
        </w:tc>
      </w:tr>
      <w:tr>
        <w:trPr>
          <w:cantSplit/>
        </w:trPr>
        <w:tc>
          <w:tcPr>
            <w:tcW w:type="dxa" w:w="3118"/>
            <w:vAlign w:val="center"/>
          </w:tcPr>
          <w:p>
            <w:pPr>
              <w:spacing w:after="60" w:before="40"/>
            </w:pPr>
            <w:r>
              <w:rPr>
                <w:sz w:val="18"/>
              </w:rPr>
              <w:t>Einsatzreichweite / Reserve</w:t>
            </w:r>
          </w:p>
        </w:tc>
        <w:tc>
          <w:tcPr>
            <w:tcW w:type="dxa" w:w="1417"/>
            <w:vAlign w:val="center"/>
          </w:tcPr>
          <w:p>
            <w:pPr>
              <w:spacing w:after="60" w:before="40"/>
            </w:pPr>
            <w:r>
              <w:rPr>
                <w:sz w:val="18"/>
              </w:rPr>
              <w:t>km / %</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[Beladung, Wetter, Alter]</w:t>
            </w:r>
          </w:p>
        </w:tc>
      </w:tr>
      <w:tr>
        <w:trPr>
          <w:cantSplit/>
        </w:trPr>
        <w:tc>
          <w:tcPr>
            <w:tcW w:type="dxa" w:w="3118"/>
            <w:vAlign w:val="center"/>
          </w:tcPr>
          <w:p>
            <w:pPr>
              <w:spacing w:after="60" w:before="40"/>
            </w:pPr>
            <w:r>
              <w:rPr>
                <w:sz w:val="18"/>
              </w:rPr>
              <w:t>Lade-/Tankanschluss, Zugang</w:t>
            </w:r>
          </w:p>
        </w:tc>
        <w:tc>
          <w:tcPr>
            <w:tcW w:type="dxa" w:w="1417"/>
            <w:vAlign w:val="center"/>
          </w:tcPr>
          <w:p>
            <w:pPr>
              <w:spacing w:after="60" w:before="40"/>
            </w:pPr>
            <w:r>
              <w:rPr>
                <w:sz w:val="18"/>
              </w:rPr>
              <w:t>Typ / Zeiten</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[Depot/öffentlich]</w:t>
            </w:r>
          </w:p>
        </w:tc>
      </w:tr>
      <w:tr>
        <w:trPr>
          <w:cantSplit/>
        </w:trPr>
        <w:tc>
          <w:tcPr>
            <w:tcW w:type="dxa" w:w="3118"/>
            <w:vAlign w:val="center"/>
          </w:tcPr>
          <w:p>
            <w:pPr>
              <w:spacing w:after="60" w:before="40"/>
            </w:pPr>
            <w:r>
              <w:rPr>
                <w:sz w:val="18"/>
              </w:rPr>
              <w:t>Verfügbarkeit / Wartung / Ausfall</w:t>
            </w:r>
          </w:p>
        </w:tc>
        <w:tc>
          <w:tcPr>
            <w:tcW w:type="dxa" w:w="1417"/>
            <w:vAlign w:val="center"/>
          </w:tcPr>
          <w:p>
            <w:pPr>
              <w:spacing w:after="60" w:before="40"/>
            </w:pPr>
            <w:r>
              <w:rPr>
                <w:sz w:val="18"/>
              </w:rPr>
              <w:t>% / h/Jahr</w:t>
            </w:r>
          </w:p>
        </w:tc>
        <w:tc>
          <w:tcPr>
            <w:tcW w:type="dxa" w:w="1984"/>
            <w:vAlign w:val="center"/>
          </w:tcPr>
          <w:p>
            <w:pPr>
              <w:spacing w:after="60" w:before="40"/>
            </w:pPr>
            <w:r>
              <w:rPr>
                <w:sz w:val="18"/>
              </w:rPr>
              <w:t>[eintragen]</w:t>
            </w:r>
          </w:p>
        </w:tc>
        <w:tc>
          <w:tcPr>
            <w:tcW w:type="dxa" w:w="3402"/>
            <w:vAlign w:val="center"/>
          </w:tcPr>
          <w:p>
            <w:pPr>
              <w:spacing w:after="60" w:before="40"/>
            </w:pPr>
            <w:r>
              <w:rPr>
                <w:sz w:val="18"/>
              </w:rPr>
              <w:t>[Nicht doppelt in L,H]</w:t>
            </w:r>
          </w:p>
        </w:tc>
      </w:tr>
    </w:tbl>
    <w:p>
      <w:pPr>
        <w:pStyle w:val="Heading2"/>
      </w:pPr>
      <w:r>
        <w:t>3.3  Aktuell verfügbare Modelle</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2948"/>
            <w:vAlign w:val="center"/>
          </w:tcPr>
          <w:p>
            <w:pPr>
              <w:spacing w:after="60" w:before="40"/>
            </w:pPr>
            <w:r>
              <w:rPr>
                <w:b/>
                <w:color w:val="173B4B"/>
                <w:sz w:val="18"/>
              </w:rPr>
              <w:t>Hersteller / Modell</w:t>
            </w:r>
          </w:p>
        </w:tc>
        <w:tc>
          <w:tcPr>
            <w:tcW w:type="dxa" w:w="2721"/>
            <w:vAlign w:val="center"/>
          </w:tcPr>
          <w:p>
            <w:pPr>
              <w:spacing w:after="60" w:before="40"/>
            </w:pPr>
            <w:r>
              <w:rPr>
                <w:b/>
                <w:color w:val="173B4B"/>
                <w:sz w:val="18"/>
              </w:rPr>
              <w:t>Ausführung / Region</w:t>
            </w:r>
          </w:p>
        </w:tc>
        <w:tc>
          <w:tcPr>
            <w:tcW w:type="dxa" w:w="4252"/>
            <w:vAlign w:val="center"/>
          </w:tcPr>
          <w:p>
            <w:pPr>
              <w:spacing w:after="60" w:before="40"/>
            </w:pPr>
            <w:r>
              <w:rPr>
                <w:b/>
                <w:color w:val="173B4B"/>
                <w:sz w:val="18"/>
              </w:rPr>
              <w:t>Status / Nachweisdatum / Quelle</w:t>
            </w:r>
          </w:p>
        </w:tc>
      </w:tr>
      <w:tr>
        <w:trPr>
          <w:cantSplit/>
        </w:trPr>
        <w:tc>
          <w:tcPr>
            <w:tcW w:type="dxa" w:w="2948"/>
            <w:vAlign w:val="center"/>
          </w:tcPr>
          <w:p>
            <w:pPr>
              <w:spacing w:after="60" w:before="40"/>
            </w:pPr>
            <w:r>
              <w:rPr>
                <w:sz w:val="18"/>
              </w:rPr>
              <w:t>[eintragen]</w:t>
            </w:r>
          </w:p>
        </w:tc>
        <w:tc>
          <w:tcPr>
            <w:tcW w:type="dxa" w:w="2721"/>
            <w:vAlign w:val="center"/>
          </w:tcPr>
          <w:p>
            <w:pPr>
              <w:spacing w:after="60" w:before="40"/>
            </w:pPr>
            <w:r>
              <w:rPr>
                <w:sz w:val="18"/>
              </w:rPr>
              <w:t>[eintragen]</w:t>
            </w:r>
          </w:p>
        </w:tc>
        <w:tc>
          <w:tcPr>
            <w:tcW w:type="dxa" w:w="4252"/>
            <w:vAlign w:val="center"/>
          </w:tcPr>
          <w:p>
            <w:pPr>
              <w:spacing w:after="60" w:before="40"/>
            </w:pPr>
            <w:r>
              <w:rPr>
                <w:sz w:val="18"/>
              </w:rPr>
              <w:t>[Serie / Bestellbarkeit / Pilot; Beleg]</w:t>
            </w:r>
          </w:p>
        </w:tc>
      </w:tr>
      <w:tr>
        <w:trPr>
          <w:cantSplit/>
        </w:trPr>
        <w:tc>
          <w:tcPr>
            <w:tcW w:type="dxa" w:w="2948"/>
            <w:vAlign w:val="center"/>
          </w:tcPr>
          <w:p>
            <w:pPr>
              <w:spacing w:after="60" w:before="40"/>
            </w:pPr>
            <w:r>
              <w:rPr>
                <w:sz w:val="18"/>
              </w:rPr>
              <w:t>[eintragen]</w:t>
            </w:r>
          </w:p>
        </w:tc>
        <w:tc>
          <w:tcPr>
            <w:tcW w:type="dxa" w:w="2721"/>
            <w:vAlign w:val="center"/>
          </w:tcPr>
          <w:p>
            <w:pPr>
              <w:spacing w:after="60" w:before="40"/>
            </w:pPr>
            <w:r>
              <w:rPr>
                <w:sz w:val="18"/>
              </w:rPr>
              <w:t>[eintragen]</w:t>
            </w:r>
          </w:p>
        </w:tc>
        <w:tc>
          <w:tcPr>
            <w:tcW w:type="dxa" w:w="4252"/>
            <w:vAlign w:val="center"/>
          </w:tcPr>
          <w:p>
            <w:pPr>
              <w:spacing w:after="60" w:before="40"/>
            </w:pPr>
            <w:r>
              <w:rPr>
                <w:sz w:val="18"/>
              </w:rPr>
              <w:t>[eintragen]</w:t>
            </w:r>
          </w:p>
        </w:tc>
      </w:tr>
      <w:tr>
        <w:trPr>
          <w:cantSplit/>
        </w:trPr>
        <w:tc>
          <w:tcPr>
            <w:tcW w:type="dxa" w:w="2948"/>
            <w:vAlign w:val="center"/>
          </w:tcPr>
          <w:p>
            <w:pPr>
              <w:spacing w:after="60" w:before="40"/>
            </w:pPr>
            <w:r>
              <w:rPr>
                <w:sz w:val="18"/>
              </w:rPr>
              <w:t>[optional]</w:t>
            </w:r>
          </w:p>
        </w:tc>
        <w:tc>
          <w:tcPr>
            <w:tcW w:type="dxa" w:w="2721"/>
            <w:vAlign w:val="center"/>
          </w:tcPr>
          <w:p>
            <w:pPr>
              <w:spacing w:after="60" w:before="40"/>
            </w:pPr>
            <w:r>
              <w:rPr>
                <w:sz w:val="18"/>
              </w:rPr>
              <w:t>[eintragen]</w:t>
            </w:r>
          </w:p>
        </w:tc>
        <w:tc>
          <w:tcPr>
            <w:tcW w:type="dxa" w:w="4252"/>
            <w:vAlign w:val="center"/>
          </w:tcPr>
          <w:p>
            <w:pPr>
              <w:spacing w:after="60" w:before="40"/>
            </w:pPr>
            <w:r>
              <w:rPr>
                <w:sz w:val="18"/>
              </w:rPr>
              <w:t>[eintragen]</w:t>
            </w:r>
          </w:p>
        </w:tc>
      </w:tr>
    </w:tbl>
    <w:p>
      <w:r>
        <w:br w:type="page"/>
      </w:r>
    </w:p>
    <w:p>
      <w:pPr>
        <w:pStyle w:val="Subtitle"/>
      </w:pPr>
      <w:r>
        <w:t>KOPIERVORLAGE · Seite 2 von 4</w:t>
      </w:r>
    </w:p>
    <w:p>
      <w:pPr>
        <w:pStyle w:val="Heading1"/>
      </w:pPr>
      <w:r>
        <w:t>4  Ökonomische Eingangsparameter</w:t>
      </w:r>
    </w:p>
    <w:p>
      <w:r>
        <w:t>Für jede Zeile einen konkreten Basiswert und, soweit möglich, einen niedrigen und hohen Szenariowert angeben. Status H/L/A und Quellen-ID ergänzen; Preisstand, Zahlungszeitpunkt und enthaltene Leistungen dokumentieren.</w:t>
      </w:r>
    </w:p>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3118"/>
            <w:vAlign w:val="center"/>
          </w:tcPr>
          <w:p>
            <w:pPr>
              <w:spacing w:after="60" w:before="40"/>
            </w:pPr>
            <w:r>
              <w:rPr>
                <w:b/>
                <w:color w:val="173B4B"/>
                <w:sz w:val="18"/>
              </w:rPr>
              <w:t>Parameter / Symbol</w:t>
            </w:r>
          </w:p>
        </w:tc>
        <w:tc>
          <w:tcPr>
            <w:tcW w:type="dxa" w:w="1587"/>
            <w:vAlign w:val="center"/>
          </w:tcPr>
          <w:p>
            <w:pPr>
              <w:spacing w:after="60" w:before="40"/>
            </w:pPr>
            <w:r>
              <w:rPr>
                <w:b/>
                <w:color w:val="173B4B"/>
                <w:sz w:val="18"/>
              </w:rPr>
              <w:t>Einheit</w:t>
            </w:r>
          </w:p>
        </w:tc>
        <w:tc>
          <w:tcPr>
            <w:tcW w:type="dxa" w:w="1814"/>
            <w:vAlign w:val="center"/>
          </w:tcPr>
          <w:p>
            <w:pPr>
              <w:spacing w:after="60" w:before="40"/>
            </w:pPr>
            <w:r>
              <w:rPr>
                <w:b/>
                <w:color w:val="173B4B"/>
                <w:sz w:val="18"/>
              </w:rPr>
              <w:t>Basis [niedrig; hoch]</w:t>
            </w:r>
          </w:p>
        </w:tc>
        <w:tc>
          <w:tcPr>
            <w:tcW w:type="dxa" w:w="3402"/>
            <w:vAlign w:val="center"/>
          </w:tcPr>
          <w:p>
            <w:pPr>
              <w:spacing w:after="60" w:before="40"/>
            </w:pPr>
            <w:r>
              <w:rPr>
                <w:b/>
                <w:color w:val="173B4B"/>
                <w:sz w:val="18"/>
              </w:rPr>
              <w:t>Status / Quelle / Abgrenzung</w:t>
            </w:r>
          </w:p>
        </w:tc>
      </w:tr>
      <w:tr>
        <w:trPr>
          <w:cantSplit/>
        </w:trPr>
        <w:tc>
          <w:tcPr>
            <w:tcW w:type="dxa" w:w="3118"/>
            <w:vAlign w:val="center"/>
          </w:tcPr>
          <w:p>
            <w:pPr>
              <w:spacing w:after="60" w:before="40"/>
            </w:pPr>
            <w:r>
              <w:rPr>
                <w:sz w:val="18"/>
              </w:rPr>
              <w:t>Kaufpreis Zugmaschine Pᵥ</w:t>
            </w:r>
          </w:p>
        </w:tc>
        <w:tc>
          <w:tcPr>
            <w:tcW w:type="dxa" w:w="1587"/>
            <w:vAlign w:val="center"/>
          </w:tcPr>
          <w:p>
            <w:pPr>
              <w:spacing w:after="60" w:before="40"/>
            </w:pPr>
            <w:r>
              <w:rPr>
                <w:sz w:val="18"/>
              </w:rPr>
              <w:t>EUR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[inkl./exkl. Batterie, Tank, Optionen]</w:t>
            </w:r>
          </w:p>
        </w:tc>
      </w:tr>
      <w:tr>
        <w:trPr>
          <w:cantSplit/>
        </w:trPr>
        <w:tc>
          <w:tcPr>
            <w:tcW w:type="dxa" w:w="3118"/>
            <w:vAlign w:val="center"/>
          </w:tcPr>
          <w:p>
            <w:pPr>
              <w:spacing w:after="60" w:before="40"/>
            </w:pPr>
            <w:r>
              <w:rPr>
                <w:sz w:val="18"/>
              </w:rPr>
              <w:t>Auflieger / Aufbau Pₜ</w:t>
            </w:r>
          </w:p>
        </w:tc>
        <w:tc>
          <w:tcPr>
            <w:tcW w:type="dxa" w:w="1587"/>
            <w:vAlign w:val="center"/>
          </w:tcPr>
          <w:p>
            <w:pPr>
              <w:spacing w:after="60" w:before="40"/>
            </w:pPr>
            <w:r>
              <w:rPr>
                <w:sz w:val="18"/>
              </w:rPr>
              <w:t>EUR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[gemeinsam oder typspezifisch]</w:t>
            </w:r>
          </w:p>
        </w:tc>
      </w:tr>
      <w:tr>
        <w:trPr>
          <w:cantSplit/>
        </w:trPr>
        <w:tc>
          <w:tcPr>
            <w:tcW w:type="dxa" w:w="3118"/>
            <w:vAlign w:val="center"/>
          </w:tcPr>
          <w:p>
            <w:pPr>
              <w:spacing w:after="60" w:before="40"/>
            </w:pPr>
            <w:r>
              <w:rPr>
                <w:sz w:val="18"/>
              </w:rPr>
              <w:t>Förderung / Zuschuss S</w:t>
            </w:r>
          </w:p>
        </w:tc>
        <w:tc>
          <w:tcPr>
            <w:tcW w:type="dxa" w:w="1587"/>
            <w:vAlign w:val="center"/>
          </w:tcPr>
          <w:p>
            <w:pPr>
              <w:spacing w:after="60" w:before="40"/>
            </w:pPr>
            <w:r>
              <w:rPr>
                <w:sz w:val="18"/>
              </w:rPr>
              <w:t>EUR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[Bewilligung / Auszahlung / Auflagen]</w:t>
            </w:r>
          </w:p>
        </w:tc>
      </w:tr>
      <w:tr>
        <w:trPr>
          <w:cantSplit/>
        </w:trPr>
        <w:tc>
          <w:tcPr>
            <w:tcW w:type="dxa" w:w="3118"/>
            <w:vAlign w:val="center"/>
          </w:tcPr>
          <w:p>
            <w:pPr>
              <w:spacing w:after="60" w:before="40"/>
            </w:pPr>
            <w:r>
              <w:rPr>
                <w:sz w:val="18"/>
              </w:rPr>
              <w:t>Leasingalternative</w:t>
            </w:r>
          </w:p>
        </w:tc>
        <w:tc>
          <w:tcPr>
            <w:tcW w:type="dxa" w:w="1587"/>
            <w:vAlign w:val="center"/>
          </w:tcPr>
          <w:p>
            <w:pPr>
              <w:spacing w:after="60" w:before="40"/>
            </w:pPr>
            <w:r>
              <w:rPr>
                <w:sz w:val="18"/>
              </w:rPr>
              <w:t>EUR/Monat</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[Sonderzahlung, km, Restwertregel]</w:t>
            </w:r>
          </w:p>
        </w:tc>
      </w:tr>
      <w:tr>
        <w:trPr>
          <w:cantSplit/>
        </w:trPr>
        <w:tc>
          <w:tcPr>
            <w:tcW w:type="dxa" w:w="3118"/>
            <w:vAlign w:val="center"/>
          </w:tcPr>
          <w:p>
            <w:pPr>
              <w:spacing w:after="60" w:before="40"/>
            </w:pPr>
            <w:r>
              <w:rPr>
                <w:sz w:val="18"/>
              </w:rPr>
              <w:t>Wirtschaftliche Nutzungsdauer n</w:t>
            </w:r>
          </w:p>
        </w:tc>
        <w:tc>
          <w:tcPr>
            <w:tcW w:type="dxa" w:w="1587"/>
            <w:vAlign w:val="center"/>
          </w:tcPr>
          <w:p>
            <w:pPr>
              <w:spacing w:after="60" w:before="40"/>
            </w:pPr>
            <w:r>
              <w:rPr>
                <w:sz w:val="18"/>
              </w:rPr>
              <w:t>Jahre</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[nicht gleich technische Lebensdauer]</w:t>
            </w:r>
          </w:p>
        </w:tc>
      </w:tr>
      <w:tr>
        <w:trPr>
          <w:cantSplit/>
        </w:trPr>
        <w:tc>
          <w:tcPr>
            <w:tcW w:type="dxa" w:w="3118"/>
            <w:vAlign w:val="center"/>
          </w:tcPr>
          <w:p>
            <w:pPr>
              <w:spacing w:after="60" w:before="40"/>
            </w:pPr>
            <w:r>
              <w:rPr>
                <w:sz w:val="18"/>
              </w:rPr>
              <w:t>Restwert Fahrzeug / Auflieger Rₙ</w:t>
            </w:r>
          </w:p>
        </w:tc>
        <w:tc>
          <w:tcPr>
            <w:tcW w:type="dxa" w:w="1587"/>
            <w:vAlign w:val="center"/>
          </w:tcPr>
          <w:p>
            <w:pPr>
              <w:spacing w:after="60" w:before="40"/>
            </w:pPr>
            <w:r>
              <w:rPr>
                <w:sz w:val="18"/>
              </w:rPr>
              <w:t>EUR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[Endzeitpunkt, Batteriezustand]</w:t>
            </w:r>
          </w:p>
        </w:tc>
      </w:tr>
      <w:tr>
        <w:trPr>
          <w:cantSplit/>
        </w:trPr>
        <w:tc>
          <w:tcPr>
            <w:tcW w:type="dxa" w:w="3118"/>
            <w:vAlign w:val="center"/>
          </w:tcPr>
          <w:p>
            <w:pPr>
              <w:spacing w:after="60" w:before="40"/>
            </w:pPr>
            <w:r>
              <w:rPr>
                <w:sz w:val="18"/>
              </w:rPr>
              <w:t>Kalkulationszins i</w:t>
            </w:r>
          </w:p>
        </w:tc>
        <w:tc>
          <w:tcPr>
            <w:tcW w:type="dxa" w:w="1587"/>
            <w:vAlign w:val="center"/>
          </w:tcPr>
          <w:p>
            <w:pPr>
              <w:spacing w:after="60" w:before="40"/>
            </w:pPr>
            <w:r>
              <w:rPr>
                <w:sz w:val="18"/>
              </w:rPr>
              <w:t>%/Jahr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[real/nominal; Steuersicht]</w:t>
            </w:r>
          </w:p>
        </w:tc>
      </w:tr>
      <w:tr>
        <w:trPr>
          <w:cantSplit/>
        </w:trPr>
        <w:tc>
          <w:tcPr>
            <w:tcW w:type="dxa" w:w="3118"/>
            <w:vAlign w:val="center"/>
          </w:tcPr>
          <w:p>
            <w:pPr>
              <w:spacing w:after="60" w:before="40"/>
            </w:pPr>
            <w:r>
              <w:rPr>
                <w:sz w:val="18"/>
              </w:rPr>
              <w:t>Energiepreis Diesel / LNG / H₂ / Strom</w:t>
            </w:r>
          </w:p>
        </w:tc>
        <w:tc>
          <w:tcPr>
            <w:tcW w:type="dxa" w:w="1587"/>
            <w:vAlign w:val="center"/>
          </w:tcPr>
          <w:p>
            <w:pPr>
              <w:spacing w:after="60" w:before="40"/>
            </w:pPr>
            <w:r>
              <w:rPr>
                <w:sz w:val="18"/>
              </w:rPr>
              <w:t>EUR/l; EUR/kg; EUR/kWh</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[Lieferpunkt, Netzentgelte, Abgaben]</w:t>
            </w:r>
          </w:p>
        </w:tc>
      </w:tr>
      <w:tr>
        <w:trPr>
          <w:cantSplit/>
        </w:trPr>
        <w:tc>
          <w:tcPr>
            <w:tcW w:type="dxa" w:w="3118"/>
            <w:vAlign w:val="center"/>
          </w:tcPr>
          <w:p>
            <w:pPr>
              <w:spacing w:after="60" w:before="40"/>
            </w:pPr>
            <w:r>
              <w:rPr>
                <w:sz w:val="18"/>
              </w:rPr>
              <w:t>AdBlue / Pilotkraftstoff / sonstige Medien</w:t>
            </w:r>
          </w:p>
        </w:tc>
        <w:tc>
          <w:tcPr>
            <w:tcW w:type="dxa" w:w="1587"/>
            <w:vAlign w:val="center"/>
          </w:tcPr>
          <w:p>
            <w:pPr>
              <w:spacing w:after="60" w:before="40"/>
            </w:pPr>
            <w:r>
              <w:rPr>
                <w:sz w:val="18"/>
              </w:rPr>
              <w:t>EUR/l oder kg</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[Verbrauch zusätzlich erfassen]</w:t>
            </w:r>
          </w:p>
        </w:tc>
      </w:tr>
      <w:tr>
        <w:trPr>
          <w:cantSplit/>
        </w:trPr>
        <w:tc>
          <w:tcPr>
            <w:tcW w:type="dxa" w:w="3118"/>
            <w:vAlign w:val="center"/>
          </w:tcPr>
          <w:p>
            <w:pPr>
              <w:spacing w:after="60" w:before="40"/>
            </w:pPr>
            <w:r>
              <w:rPr>
                <w:sz w:val="18"/>
              </w:rPr>
              <w:t>Lade-/Betankungswirkungsgrad η</w:t>
            </w:r>
          </w:p>
        </w:tc>
        <w:tc>
          <w:tcPr>
            <w:tcW w:type="dxa" w:w="1587"/>
            <w:vAlign w:val="center"/>
          </w:tcPr>
          <w:p>
            <w:pPr>
              <w:spacing w:after="60" w:before="40"/>
            </w:pPr>
            <w:r>
              <w:rPr>
                <w:sz w:val="18"/>
              </w:rPr>
              <w:t>Anteil</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[Messgrenze, Verlustvermeidung]</w:t>
            </w:r>
          </w:p>
        </w:tc>
      </w:tr>
      <w:tr>
        <w:trPr>
          <w:cantSplit/>
        </w:trPr>
        <w:tc>
          <w:tcPr>
            <w:tcW w:type="dxa" w:w="3118"/>
            <w:vAlign w:val="center"/>
          </w:tcPr>
          <w:p>
            <w:pPr>
              <w:spacing w:after="60" w:before="40"/>
            </w:pPr>
            <w:r>
              <w:rPr>
                <w:sz w:val="18"/>
              </w:rPr>
              <w:t>Wartung / Reparatur</w:t>
            </w:r>
          </w:p>
        </w:tc>
        <w:tc>
          <w:tcPr>
            <w:tcW w:type="dxa" w:w="1587"/>
            <w:vAlign w:val="center"/>
          </w:tcPr>
          <w:p>
            <w:pPr>
              <w:spacing w:after="60" w:before="40"/>
            </w:pPr>
            <w:r>
              <w:rPr>
                <w:sz w:val="18"/>
              </w:rPr>
              <w:t>EUR/km + EUR/Jahr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[Komponententausch enthalten?]</w:t>
            </w:r>
          </w:p>
        </w:tc>
      </w:tr>
      <w:tr>
        <w:trPr>
          <w:cantSplit/>
        </w:trPr>
        <w:tc>
          <w:tcPr>
            <w:tcW w:type="dxa" w:w="3118"/>
            <w:vAlign w:val="center"/>
          </w:tcPr>
          <w:p>
            <w:pPr>
              <w:spacing w:after="60" w:before="40"/>
            </w:pPr>
            <w:r>
              <w:rPr>
                <w:sz w:val="18"/>
              </w:rPr>
              <w:t>Reifen / Verschleiß</w:t>
            </w:r>
          </w:p>
        </w:tc>
        <w:tc>
          <w:tcPr>
            <w:tcW w:type="dxa" w:w="1587"/>
            <w:vAlign w:val="center"/>
          </w:tcPr>
          <w:p>
            <w:pPr>
              <w:spacing w:after="60" w:before="40"/>
            </w:pPr>
            <w:r>
              <w:rPr>
                <w:sz w:val="18"/>
              </w:rPr>
              <w:t>EUR/km</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[Zugmaschine + Auflieger?]</w:t>
            </w:r>
          </w:p>
        </w:tc>
      </w:tr>
      <w:tr>
        <w:trPr>
          <w:cantSplit/>
        </w:trPr>
        <w:tc>
          <w:tcPr>
            <w:tcW w:type="dxa" w:w="3118"/>
            <w:vAlign w:val="center"/>
          </w:tcPr>
          <w:p>
            <w:pPr>
              <w:spacing w:after="60" w:before="40"/>
            </w:pPr>
            <w:r>
              <w:rPr>
                <w:sz w:val="18"/>
              </w:rPr>
              <w:t>Versicherung / Steuer / Prüfungen</w:t>
            </w:r>
          </w:p>
        </w:tc>
        <w:tc>
          <w:tcPr>
            <w:tcW w:type="dxa" w:w="1587"/>
            <w:vAlign w:val="center"/>
          </w:tcPr>
          <w:p>
            <w:pPr>
              <w:spacing w:after="60" w:before="40"/>
            </w:pPr>
            <w:r>
              <w:rPr>
                <w:sz w:val="18"/>
              </w:rPr>
              <w:t>EUR/Jahr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[jeweils getrennt ausweisen]</w:t>
            </w:r>
          </w:p>
        </w:tc>
      </w:tr>
      <w:tr>
        <w:trPr>
          <w:cantSplit/>
        </w:trPr>
        <w:tc>
          <w:tcPr>
            <w:tcW w:type="dxa" w:w="3118"/>
            <w:vAlign w:val="center"/>
          </w:tcPr>
          <w:p>
            <w:pPr>
              <w:spacing w:after="60" w:before="40"/>
            </w:pPr>
            <w:r>
              <w:rPr>
                <w:sz w:val="18"/>
              </w:rPr>
              <w:t>Telematik / Verwaltung / Stellplatz</w:t>
            </w:r>
          </w:p>
        </w:tc>
        <w:tc>
          <w:tcPr>
            <w:tcW w:type="dxa" w:w="1587"/>
            <w:vAlign w:val="center"/>
          </w:tcPr>
          <w:p>
            <w:pPr>
              <w:spacing w:after="60" w:before="40"/>
            </w:pPr>
            <w:r>
              <w:rPr>
                <w:sz w:val="18"/>
              </w:rPr>
              <w:t>EUR/Jahr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[inkrementell vs. Umlage]</w:t>
            </w:r>
          </w:p>
        </w:tc>
      </w:tr>
      <w:tr>
        <w:trPr>
          <w:cantSplit/>
        </w:trPr>
        <w:tc>
          <w:tcPr>
            <w:tcW w:type="dxa" w:w="3118"/>
            <w:vAlign w:val="center"/>
          </w:tcPr>
          <w:p>
            <w:pPr>
              <w:spacing w:after="60" w:before="40"/>
            </w:pPr>
            <w:r>
              <w:rPr>
                <w:sz w:val="18"/>
              </w:rPr>
              <w:t>Mautsatz m; mautpflichtiger Anteil α</w:t>
            </w:r>
          </w:p>
        </w:tc>
        <w:tc>
          <w:tcPr>
            <w:tcW w:type="dxa" w:w="1587"/>
            <w:vAlign w:val="center"/>
          </w:tcPr>
          <w:p>
            <w:pPr>
              <w:spacing w:after="60" w:before="40"/>
            </w:pPr>
            <w:r>
              <w:rPr>
                <w:sz w:val="18"/>
              </w:rPr>
              <w:t>EUR/km; Anteil</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[Land, Klasse, Gültigkeit]</w:t>
            </w:r>
          </w:p>
        </w:tc>
      </w:tr>
      <w:tr>
        <w:trPr>
          <w:cantSplit/>
        </w:trPr>
        <w:tc>
          <w:tcPr>
            <w:tcW w:type="dxa" w:w="3118"/>
            <w:vAlign w:val="center"/>
          </w:tcPr>
          <w:p>
            <w:pPr>
              <w:spacing w:after="60" w:before="40"/>
            </w:pPr>
            <w:r>
              <w:rPr>
                <w:sz w:val="18"/>
              </w:rPr>
              <w:t>Personalvollkostensatz c𝒹</w:t>
            </w:r>
          </w:p>
        </w:tc>
        <w:tc>
          <w:tcPr>
            <w:tcW w:type="dxa" w:w="1587"/>
            <w:vAlign w:val="center"/>
          </w:tcPr>
          <w:p>
            <w:pPr>
              <w:spacing w:after="60" w:before="40"/>
            </w:pPr>
            <w:r>
              <w:rPr>
                <w:sz w:val="18"/>
              </w:rPr>
              <w:t>EUR/bezahlter h</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[Lohn, Arbeitgeberanteile, Spesen]</w:t>
            </w:r>
          </w:p>
        </w:tc>
      </w:tr>
      <w:tr>
        <w:trPr>
          <w:cantSplit/>
        </w:trPr>
        <w:tc>
          <w:tcPr>
            <w:tcW w:type="dxa" w:w="3118"/>
            <w:vAlign w:val="center"/>
          </w:tcPr>
          <w:p>
            <w:pPr>
              <w:spacing w:after="60" w:before="40"/>
            </w:pPr>
            <w:r>
              <w:rPr>
                <w:sz w:val="18"/>
              </w:rPr>
              <w:t>Lade-/Park-/Blockiergebühren</w:t>
            </w:r>
          </w:p>
        </w:tc>
        <w:tc>
          <w:tcPr>
            <w:tcW w:type="dxa" w:w="1587"/>
            <w:vAlign w:val="center"/>
          </w:tcPr>
          <w:p>
            <w:pPr>
              <w:spacing w:after="60" w:before="40"/>
            </w:pPr>
            <w:r>
              <w:rPr>
                <w:sz w:val="18"/>
              </w:rPr>
              <w:t>EUR/h; EUR/Vorgang</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[freie Frist und Ereignis]</w:t>
            </w:r>
          </w:p>
        </w:tc>
      </w:tr>
      <w:tr>
        <w:trPr>
          <w:cantSplit/>
        </w:trPr>
        <w:tc>
          <w:tcPr>
            <w:tcW w:type="dxa" w:w="3118"/>
            <w:vAlign w:val="center"/>
          </w:tcPr>
          <w:p>
            <w:pPr>
              <w:spacing w:after="60" w:before="40"/>
            </w:pPr>
            <w:r>
              <w:rPr>
                <w:sz w:val="18"/>
              </w:rPr>
              <w:t>Flottenauslastung L / Hᵥ / H𝒹</w:t>
            </w:r>
          </w:p>
        </w:tc>
        <w:tc>
          <w:tcPr>
            <w:tcW w:type="dxa" w:w="1587"/>
            <w:vAlign w:val="center"/>
          </w:tcPr>
          <w:p>
            <w:pPr>
              <w:spacing w:after="60" w:before="40"/>
            </w:pPr>
            <w:r>
              <w:rPr>
                <w:sz w:val="18"/>
              </w:rPr>
              <w:t>km/Jahr; h/Jahr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[Zeitbasen separat definieren]</w:t>
            </w:r>
          </w:p>
        </w:tc>
      </w:tr>
      <w:tr>
        <w:trPr>
          <w:cantSplit/>
        </w:trPr>
        <w:tc>
          <w:tcPr>
            <w:tcW w:type="dxa" w:w="3118"/>
            <w:vAlign w:val="center"/>
          </w:tcPr>
          <w:p>
            <w:pPr>
              <w:spacing w:after="60" w:before="40"/>
            </w:pPr>
            <w:r>
              <w:rPr>
                <w:sz w:val="18"/>
              </w:rPr>
              <w:t>Leerfahrtanteil ε / Lastfahrtnutzlast q</w:t>
            </w:r>
          </w:p>
        </w:tc>
        <w:tc>
          <w:tcPr>
            <w:tcW w:type="dxa" w:w="1587"/>
            <w:vAlign w:val="center"/>
          </w:tcPr>
          <w:p>
            <w:pPr>
              <w:spacing w:after="60" w:before="40"/>
            </w:pPr>
            <w:r>
              <w:rPr>
                <w:sz w:val="18"/>
              </w:rPr>
              <w:t>Anteil; t</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[distanzgewichtet; q ≤ Nutzlast]</w:t>
            </w:r>
          </w:p>
        </w:tc>
      </w:tr>
      <w:tr>
        <w:trPr>
          <w:cantSplit/>
        </w:trPr>
        <w:tc>
          <w:tcPr>
            <w:tcW w:type="dxa" w:w="3118"/>
            <w:vAlign w:val="center"/>
          </w:tcPr>
          <w:p>
            <w:pPr>
              <w:spacing w:after="60" w:before="40"/>
            </w:pPr>
            <w:r>
              <w:rPr>
                <w:sz w:val="18"/>
              </w:rPr>
              <w:t>Transportleistung Q</w:t>
            </w:r>
          </w:p>
        </w:tc>
        <w:tc>
          <w:tcPr>
            <w:tcW w:type="dxa" w:w="1587"/>
            <w:vAlign w:val="center"/>
          </w:tcPr>
          <w:p>
            <w:pPr>
              <w:spacing w:after="60" w:before="40"/>
            </w:pPr>
            <w:r>
              <w:rPr>
                <w:sz w:val="18"/>
              </w:rPr>
              <w:t>tkm/Jahr</w:t>
            </w:r>
          </w:p>
        </w:tc>
        <w:tc>
          <w:tcPr>
            <w:tcW w:type="dxa" w:w="1814"/>
            <w:vAlign w:val="center"/>
          </w:tcPr>
          <w:p>
            <w:pPr>
              <w:spacing w:after="60" w:before="40"/>
            </w:pPr>
            <w:r>
              <w:rPr>
                <w:sz w:val="18"/>
              </w:rPr>
              <w:t>[eintragen]</w:t>
            </w:r>
          </w:p>
        </w:tc>
        <w:tc>
          <w:tcPr>
            <w:tcW w:type="dxa" w:w="3402"/>
            <w:vAlign w:val="center"/>
          </w:tcPr>
          <w:p>
            <w:pPr>
              <w:spacing w:after="60" w:before="40"/>
            </w:pPr>
            <w:r>
              <w:rPr>
                <w:sz w:val="18"/>
              </w:rPr>
              <w:t>[Σ Nutzlast × Distanz; Datenbasis]</w:t>
            </w:r>
          </w:p>
        </w:tc>
      </w:tr>
    </w:tbl>
    <w:p>
      <w:r>
        <w:rPr>
          <w:i/>
          <w:color w:val="526775"/>
          <w:sz w:val="18"/>
        </w:rPr>
        <w:t>Für einen belastbaren Vergleich bevorzugt Angebote, Wartungsverträge und Telemetrie einsetzen. Kraftstoffpreise netto und zum gleichen Bezugszeitraum erfassen. CO₂-Preisbestandteile in Energie/Maut nicht nochmals pauschal addieren.</w:t>
      </w:r>
    </w:p>
    <w:p>
      <w:r>
        <w:br w:type="page"/>
      </w:r>
    </w:p>
    <w:p>
      <w:pPr>
        <w:pStyle w:val="Subtitle"/>
      </w:pPr>
      <w:r>
        <w:t>KOPIERVORLAGE · Seite 3 von 4</w:t>
      </w:r>
    </w:p>
    <w:p>
      <w:pPr>
        <w:pStyle w:val="Heading1"/>
      </w:pPr>
      <w:r>
        <w:t>5  Teilsysteme und Infrastruktur</w:t>
      </w:r>
    </w:p>
    <w:p>
      <w:pPr>
        <w:pStyle w:val="Heading2"/>
      </w:pPr>
      <w:r>
        <w:t>5.1  Lebensdauern und Ersatzinvestitionen</w:t>
      </w:r>
    </w:p>
    <w:p>
      <w:r>
        <w:t>Zeit-, Laufleistungs- und Betriebsstundengrenzen sind getrennt zu erheben. Bei verbindlichen Grenzwerten gilt die zuerst erreichte Grenze. Auslegungsziel, empirische Lebensdauer, wirtschaftliche Haltedauer und Garantie sind unterschiedliche Größen.</w:t>
      </w:r>
    </w:p>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2438"/>
            <w:vAlign w:val="center"/>
          </w:tcPr>
          <w:p>
            <w:pPr>
              <w:spacing w:after="60" w:before="40"/>
            </w:pPr>
            <w:r>
              <w:rPr>
                <w:b/>
                <w:color w:val="173B4B"/>
                <w:sz w:val="18"/>
              </w:rPr>
              <w:t>Teilsystem</w:t>
            </w:r>
          </w:p>
        </w:tc>
        <w:tc>
          <w:tcPr>
            <w:tcW w:type="dxa" w:w="2438"/>
            <w:vAlign w:val="center"/>
          </w:tcPr>
          <w:p>
            <w:pPr>
              <w:spacing w:after="60" w:before="40"/>
            </w:pPr>
            <w:r>
              <w:rPr>
                <w:b/>
                <w:color w:val="173B4B"/>
                <w:sz w:val="18"/>
              </w:rPr>
              <w:t>Lebensdauer / Kriterium</w:t>
            </w:r>
          </w:p>
        </w:tc>
        <w:tc>
          <w:tcPr>
            <w:tcW w:type="dxa" w:w="1871"/>
            <w:vAlign w:val="center"/>
          </w:tcPr>
          <w:p>
            <w:pPr>
              <w:spacing w:after="60" w:before="40"/>
            </w:pPr>
            <w:r>
              <w:rPr>
                <w:b/>
                <w:color w:val="173B4B"/>
                <w:sz w:val="18"/>
              </w:rPr>
              <w:t>Tauschkosten / Jahr</w:t>
            </w:r>
          </w:p>
        </w:tc>
        <w:tc>
          <w:tcPr>
            <w:tcW w:type="dxa" w:w="3175"/>
            <w:vAlign w:val="center"/>
          </w:tcPr>
          <w:p>
            <w:pPr>
              <w:spacing w:after="60" w:before="40"/>
            </w:pPr>
            <w:r>
              <w:rPr>
                <w:b/>
                <w:color w:val="173B4B"/>
                <w:sz w:val="18"/>
              </w:rPr>
              <w:t>Garantie / Nachweis / Kostenbehandlung</w:t>
            </w:r>
          </w:p>
        </w:tc>
      </w:tr>
      <w:tr>
        <w:trPr>
          <w:cantSplit/>
        </w:trPr>
        <w:tc>
          <w:tcPr>
            <w:tcW w:type="dxa" w:w="2438"/>
            <w:vAlign w:val="center"/>
          </w:tcPr>
          <w:p>
            <w:pPr>
              <w:spacing w:after="60" w:before="40"/>
            </w:pPr>
            <w:r>
              <w:rPr>
                <w:sz w:val="18"/>
              </w:rPr>
              <w:t>Chassis / Kabine / Auflieger</w:t>
            </w:r>
          </w:p>
        </w:tc>
        <w:tc>
          <w:tcPr>
            <w:tcW w:type="dxa" w:w="2438"/>
            <w:vAlign w:val="center"/>
          </w:tcPr>
          <w:p>
            <w:pPr>
              <w:spacing w:after="60" w:before="40"/>
            </w:pPr>
            <w:r>
              <w:rPr>
                <w:sz w:val="18"/>
              </w:rPr>
              <w:t>[Jahre; km]</w:t>
            </w:r>
          </w:p>
        </w:tc>
        <w:tc>
          <w:tcPr>
            <w:tcW w:type="dxa" w:w="1871"/>
            <w:vAlign w:val="center"/>
          </w:tcPr>
          <w:p>
            <w:pPr>
              <w:spacing w:after="60" w:before="40"/>
            </w:pPr>
            <w:r>
              <w:rPr>
                <w:sz w:val="18"/>
              </w:rPr>
              <w:t>[EUR; t]</w:t>
            </w:r>
          </w:p>
        </w:tc>
        <w:tc>
          <w:tcPr>
            <w:tcW w:type="dxa" w:w="3175"/>
            <w:vAlign w:val="center"/>
          </w:tcPr>
          <w:p>
            <w:pPr>
              <w:spacing w:after="60" w:before="40"/>
            </w:pPr>
            <w:r>
              <w:rPr>
                <w:sz w:val="18"/>
              </w:rPr>
              <w:t>[H/L/A; Quelle]</w:t>
            </w:r>
          </w:p>
        </w:tc>
      </w:tr>
      <w:tr>
        <w:trPr>
          <w:cantSplit/>
        </w:trPr>
        <w:tc>
          <w:tcPr>
            <w:tcW w:type="dxa" w:w="2438"/>
            <w:vAlign w:val="center"/>
          </w:tcPr>
          <w:p>
            <w:pPr>
              <w:spacing w:after="60" w:before="40"/>
            </w:pPr>
            <w:r>
              <w:rPr>
                <w:sz w:val="18"/>
              </w:rPr>
              <w:t>Diesel-/Gasmotor inkl. Peripherie</w:t>
            </w:r>
          </w:p>
        </w:tc>
        <w:tc>
          <w:tcPr>
            <w:tcW w:type="dxa" w:w="2438"/>
            <w:vAlign w:val="center"/>
          </w:tcPr>
          <w:p>
            <w:pPr>
              <w:spacing w:after="60" w:before="40"/>
            </w:pPr>
            <w:r>
              <w:rPr>
                <w:sz w:val="18"/>
              </w:rPr>
              <w:t>[Jahre; km; h]</w:t>
            </w:r>
          </w:p>
        </w:tc>
        <w:tc>
          <w:tcPr>
            <w:tcW w:type="dxa" w:w="1871"/>
            <w:vAlign w:val="center"/>
          </w:tcPr>
          <w:p>
            <w:pPr>
              <w:spacing w:after="60" w:before="40"/>
            </w:pPr>
            <w:r>
              <w:rPr>
                <w:sz w:val="18"/>
              </w:rPr>
              <w:t>[eintragen]</w:t>
            </w:r>
          </w:p>
        </w:tc>
        <w:tc>
          <w:tcPr>
            <w:tcW w:type="dxa" w:w="3175"/>
            <w:vAlign w:val="center"/>
          </w:tcPr>
          <w:p>
            <w:pPr>
              <w:spacing w:after="60" w:before="40"/>
            </w:pPr>
            <w:r>
              <w:rPr>
                <w:sz w:val="18"/>
              </w:rPr>
              <w:t>[im Wartungssatz / separat]</w:t>
            </w:r>
          </w:p>
        </w:tc>
      </w:tr>
      <w:tr>
        <w:trPr>
          <w:cantSplit/>
        </w:trPr>
        <w:tc>
          <w:tcPr>
            <w:tcW w:type="dxa" w:w="2438"/>
            <w:vAlign w:val="center"/>
          </w:tcPr>
          <w:p>
            <w:pPr>
              <w:spacing w:after="60" w:before="40"/>
            </w:pPr>
            <w:r>
              <w:rPr>
                <w:sz w:val="18"/>
              </w:rPr>
              <w:t>Getriebe / E-Achse / Inverter</w:t>
            </w:r>
          </w:p>
        </w:tc>
        <w:tc>
          <w:tcPr>
            <w:tcW w:type="dxa" w:w="2438"/>
            <w:vAlign w:val="center"/>
          </w:tcPr>
          <w:p>
            <w:pPr>
              <w:spacing w:after="60" w:before="40"/>
            </w:pPr>
            <w:r>
              <w:rPr>
                <w:sz w:val="18"/>
              </w:rPr>
              <w:t>[Jahre; km; h]</w:t>
            </w:r>
          </w:p>
        </w:tc>
        <w:tc>
          <w:tcPr>
            <w:tcW w:type="dxa" w:w="1871"/>
            <w:vAlign w:val="center"/>
          </w:tcPr>
          <w:p>
            <w:pPr>
              <w:spacing w:after="60" w:before="40"/>
            </w:pPr>
            <w:r>
              <w:rPr>
                <w:sz w:val="18"/>
              </w:rPr>
              <w:t>[eintragen]</w:t>
            </w:r>
          </w:p>
        </w:tc>
        <w:tc>
          <w:tcPr>
            <w:tcW w:type="dxa" w:w="3175"/>
            <w:vAlign w:val="center"/>
          </w:tcPr>
          <w:p>
            <w:pPr>
              <w:spacing w:after="60" w:before="40"/>
            </w:pPr>
            <w:r>
              <w:rPr>
                <w:sz w:val="18"/>
              </w:rPr>
              <w:t>[eintragen]</w:t>
            </w:r>
          </w:p>
        </w:tc>
      </w:tr>
      <w:tr>
        <w:trPr>
          <w:cantSplit/>
        </w:trPr>
        <w:tc>
          <w:tcPr>
            <w:tcW w:type="dxa" w:w="2438"/>
            <w:vAlign w:val="center"/>
          </w:tcPr>
          <w:p>
            <w:pPr>
              <w:spacing w:after="60" w:before="40"/>
            </w:pPr>
            <w:r>
              <w:rPr>
                <w:sz w:val="18"/>
              </w:rPr>
              <w:t>Abgasnachbehandlung / Dosierung</w:t>
            </w:r>
          </w:p>
        </w:tc>
        <w:tc>
          <w:tcPr>
            <w:tcW w:type="dxa" w:w="2438"/>
            <w:vAlign w:val="center"/>
          </w:tcPr>
          <w:p>
            <w:pPr>
              <w:spacing w:after="60" w:before="40"/>
            </w:pPr>
            <w:r>
              <w:rPr>
                <w:sz w:val="18"/>
              </w:rPr>
              <w:t>[Jahre; km]</w:t>
            </w:r>
          </w:p>
        </w:tc>
        <w:tc>
          <w:tcPr>
            <w:tcW w:type="dxa" w:w="1871"/>
            <w:vAlign w:val="center"/>
          </w:tcPr>
          <w:p>
            <w:pPr>
              <w:spacing w:after="60" w:before="40"/>
            </w:pPr>
            <w:r>
              <w:rPr>
                <w:sz w:val="18"/>
              </w:rPr>
              <w:t>[eintragen]</w:t>
            </w:r>
          </w:p>
        </w:tc>
        <w:tc>
          <w:tcPr>
            <w:tcW w:type="dxa" w:w="3175"/>
            <w:vAlign w:val="center"/>
          </w:tcPr>
          <w:p>
            <w:pPr>
              <w:spacing w:after="60" w:before="40"/>
            </w:pPr>
            <w:r>
              <w:rPr>
                <w:sz w:val="18"/>
              </w:rPr>
              <w:t>[eintragen]</w:t>
            </w:r>
          </w:p>
        </w:tc>
      </w:tr>
      <w:tr>
        <w:trPr>
          <w:cantSplit/>
        </w:trPr>
        <w:tc>
          <w:tcPr>
            <w:tcW w:type="dxa" w:w="2438"/>
            <w:vAlign w:val="center"/>
          </w:tcPr>
          <w:p>
            <w:pPr>
              <w:spacing w:after="60" w:before="40"/>
            </w:pPr>
            <w:r>
              <w:rPr>
                <w:sz w:val="18"/>
              </w:rPr>
              <w:t>Traktionsbatterie / Module</w:t>
            </w:r>
          </w:p>
        </w:tc>
        <w:tc>
          <w:tcPr>
            <w:tcW w:type="dxa" w:w="2438"/>
            <w:vAlign w:val="center"/>
          </w:tcPr>
          <w:p>
            <w:pPr>
              <w:spacing w:after="60" w:before="40"/>
            </w:pPr>
            <w:r>
              <w:rPr>
                <w:sz w:val="18"/>
              </w:rPr>
              <w:t>[Jahre; EFC; km; SoH]</w:t>
            </w:r>
          </w:p>
        </w:tc>
        <w:tc>
          <w:tcPr>
            <w:tcW w:type="dxa" w:w="1871"/>
            <w:vAlign w:val="center"/>
          </w:tcPr>
          <w:p>
            <w:pPr>
              <w:spacing w:after="60" w:before="40"/>
            </w:pPr>
            <w:r>
              <w:rPr>
                <w:sz w:val="18"/>
              </w:rPr>
              <w:t>[eintragen]</w:t>
            </w:r>
          </w:p>
        </w:tc>
        <w:tc>
          <w:tcPr>
            <w:tcW w:type="dxa" w:w="3175"/>
            <w:vAlign w:val="center"/>
          </w:tcPr>
          <w:p>
            <w:pPr>
              <w:spacing w:after="60" w:before="40"/>
            </w:pPr>
            <w:r>
              <w:rPr>
                <w:sz w:val="18"/>
              </w:rPr>
              <w:t>[SoC, Temperatur, Garantie]</w:t>
            </w:r>
          </w:p>
        </w:tc>
      </w:tr>
      <w:tr>
        <w:trPr>
          <w:cantSplit/>
        </w:trPr>
        <w:tc>
          <w:tcPr>
            <w:tcW w:type="dxa" w:w="2438"/>
            <w:vAlign w:val="center"/>
          </w:tcPr>
          <w:p>
            <w:pPr>
              <w:spacing w:after="60" w:before="40"/>
            </w:pPr>
            <w:r>
              <w:rPr>
                <w:sz w:val="18"/>
              </w:rPr>
              <w:t>Brennstoffzellen-Stack / BOP</w:t>
            </w:r>
          </w:p>
        </w:tc>
        <w:tc>
          <w:tcPr>
            <w:tcW w:type="dxa" w:w="2438"/>
            <w:vAlign w:val="center"/>
          </w:tcPr>
          <w:p>
            <w:pPr>
              <w:spacing w:after="60" w:before="40"/>
            </w:pPr>
            <w:r>
              <w:rPr>
                <w:sz w:val="18"/>
              </w:rPr>
              <w:t>[Jahre; Betriebsstunden]</w:t>
            </w:r>
          </w:p>
        </w:tc>
        <w:tc>
          <w:tcPr>
            <w:tcW w:type="dxa" w:w="1871"/>
            <w:vAlign w:val="center"/>
          </w:tcPr>
          <w:p>
            <w:pPr>
              <w:spacing w:after="60" w:before="40"/>
            </w:pPr>
            <w:r>
              <w:rPr>
                <w:sz w:val="18"/>
              </w:rPr>
              <w:t>[eintragen]</w:t>
            </w:r>
          </w:p>
        </w:tc>
        <w:tc>
          <w:tcPr>
            <w:tcW w:type="dxa" w:w="3175"/>
            <w:vAlign w:val="center"/>
          </w:tcPr>
          <w:p>
            <w:pPr>
              <w:spacing w:after="60" w:before="40"/>
            </w:pPr>
            <w:r>
              <w:rPr>
                <w:sz w:val="18"/>
              </w:rPr>
              <w:t>[Leistungsabfall; Quelle]</w:t>
            </w:r>
          </w:p>
        </w:tc>
      </w:tr>
      <w:tr>
        <w:trPr>
          <w:cantSplit/>
        </w:trPr>
        <w:tc>
          <w:tcPr>
            <w:tcW w:type="dxa" w:w="2438"/>
            <w:vAlign w:val="center"/>
          </w:tcPr>
          <w:p>
            <w:pPr>
              <w:spacing w:after="60" w:before="40"/>
            </w:pPr>
            <w:r>
              <w:rPr>
                <w:sz w:val="18"/>
              </w:rPr>
              <w:t>LNG-/H₂-Tank und Ventile</w:t>
            </w:r>
          </w:p>
        </w:tc>
        <w:tc>
          <w:tcPr>
            <w:tcW w:type="dxa" w:w="2438"/>
            <w:vAlign w:val="center"/>
          </w:tcPr>
          <w:p>
            <w:pPr>
              <w:spacing w:after="60" w:before="40"/>
            </w:pPr>
            <w:r>
              <w:rPr>
                <w:sz w:val="18"/>
              </w:rPr>
              <w:t>[Jahre; Prüfzyklen]</w:t>
            </w:r>
          </w:p>
        </w:tc>
        <w:tc>
          <w:tcPr>
            <w:tcW w:type="dxa" w:w="1871"/>
            <w:vAlign w:val="center"/>
          </w:tcPr>
          <w:p>
            <w:pPr>
              <w:spacing w:after="60" w:before="40"/>
            </w:pPr>
            <w:r>
              <w:rPr>
                <w:sz w:val="18"/>
              </w:rPr>
              <w:t>[eintragen]</w:t>
            </w:r>
          </w:p>
        </w:tc>
        <w:tc>
          <w:tcPr>
            <w:tcW w:type="dxa" w:w="3175"/>
            <w:vAlign w:val="center"/>
          </w:tcPr>
          <w:p>
            <w:pPr>
              <w:spacing w:after="60" w:before="40"/>
            </w:pPr>
            <w:r>
              <w:rPr>
                <w:sz w:val="18"/>
              </w:rPr>
              <w:t>[zulässige Lebensdauer belegen]</w:t>
            </w:r>
          </w:p>
        </w:tc>
      </w:tr>
      <w:tr>
        <w:trPr>
          <w:cantSplit/>
        </w:trPr>
        <w:tc>
          <w:tcPr>
            <w:tcW w:type="dxa" w:w="2438"/>
            <w:vAlign w:val="center"/>
          </w:tcPr>
          <w:p>
            <w:pPr>
              <w:spacing w:after="60" w:before="40"/>
            </w:pPr>
            <w:r>
              <w:rPr>
                <w:sz w:val="18"/>
              </w:rPr>
              <w:t>HV-Kühlung / DC-DC / Nebenaggregate</w:t>
            </w:r>
          </w:p>
        </w:tc>
        <w:tc>
          <w:tcPr>
            <w:tcW w:type="dxa" w:w="2438"/>
            <w:vAlign w:val="center"/>
          </w:tcPr>
          <w:p>
            <w:pPr>
              <w:spacing w:after="60" w:before="40"/>
            </w:pPr>
            <w:r>
              <w:rPr>
                <w:sz w:val="18"/>
              </w:rPr>
              <w:t>[Jahre; h]</w:t>
            </w:r>
          </w:p>
        </w:tc>
        <w:tc>
          <w:tcPr>
            <w:tcW w:type="dxa" w:w="1871"/>
            <w:vAlign w:val="center"/>
          </w:tcPr>
          <w:p>
            <w:pPr>
              <w:spacing w:after="60" w:before="40"/>
            </w:pPr>
            <w:r>
              <w:rPr>
                <w:sz w:val="18"/>
              </w:rPr>
              <w:t>[eintragen]</w:t>
            </w:r>
          </w:p>
        </w:tc>
        <w:tc>
          <w:tcPr>
            <w:tcW w:type="dxa" w:w="3175"/>
            <w:vAlign w:val="center"/>
          </w:tcPr>
          <w:p>
            <w:pPr>
              <w:spacing w:after="60" w:before="40"/>
            </w:pPr>
            <w:r>
              <w:rPr>
                <w:sz w:val="18"/>
              </w:rPr>
              <w:t>[eintragen]</w:t>
            </w:r>
          </w:p>
        </w:tc>
      </w:tr>
    </w:tbl>
    <w:p>
      <w:r>
        <w:t>EFC = äquivalente Vollzyklen. Planerischer Jahresdurchsatz Batterie = L · eBatterie; EFC/Jahr = Durchsatz / definierte Referenzkapazität. Dies ersetzt kein Degradationsmodell.</w:t>
      </w:r>
    </w:p>
    <w:p>
      <w:pPr>
        <w:pStyle w:val="Heading2"/>
      </w:pPr>
      <w:r>
        <w:t>5.2  Infrastruktur und Zuteilung</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3572"/>
            <w:vAlign w:val="center"/>
          </w:tcPr>
          <w:p>
            <w:pPr>
              <w:spacing w:after="60" w:before="40"/>
            </w:pPr>
            <w:r>
              <w:rPr>
                <w:b/>
                <w:color w:val="173B4B"/>
                <w:sz w:val="18"/>
              </w:rPr>
              <w:t>Infrastrukturparameter</w:t>
            </w:r>
          </w:p>
        </w:tc>
        <w:tc>
          <w:tcPr>
            <w:tcW w:type="dxa" w:w="2438"/>
            <w:vAlign w:val="center"/>
          </w:tcPr>
          <w:p>
            <w:pPr>
              <w:spacing w:after="60" w:before="40"/>
            </w:pPr>
            <w:r>
              <w:rPr>
                <w:b/>
                <w:color w:val="173B4B"/>
                <w:sz w:val="18"/>
              </w:rPr>
              <w:t>Einheit / Eintrag</w:t>
            </w:r>
          </w:p>
        </w:tc>
        <w:tc>
          <w:tcPr>
            <w:tcW w:type="dxa" w:w="3912"/>
            <w:vAlign w:val="center"/>
          </w:tcPr>
          <w:p>
            <w:pPr>
              <w:spacing w:after="60" w:before="40"/>
            </w:pPr>
            <w:r>
              <w:rPr>
                <w:b/>
                <w:color w:val="173B4B"/>
                <w:sz w:val="18"/>
              </w:rPr>
              <w:t>Abgrenzung</w:t>
            </w:r>
          </w:p>
        </w:tc>
      </w:tr>
      <w:tr>
        <w:trPr>
          <w:cantSplit/>
        </w:trPr>
        <w:tc>
          <w:tcPr>
            <w:tcW w:type="dxa" w:w="3572"/>
            <w:vAlign w:val="center"/>
          </w:tcPr>
          <w:p>
            <w:pPr>
              <w:spacing w:after="60" w:before="40"/>
            </w:pPr>
            <w:r>
              <w:rPr>
                <w:sz w:val="18"/>
              </w:rPr>
              <w:t>Ladegerät / Tankanlage, Netzanschluss, Bau</w:t>
            </w:r>
          </w:p>
        </w:tc>
        <w:tc>
          <w:tcPr>
            <w:tcW w:type="dxa" w:w="2438"/>
            <w:vAlign w:val="center"/>
          </w:tcPr>
          <w:p>
            <w:pPr>
              <w:spacing w:after="60" w:before="40"/>
            </w:pPr>
            <w:r>
              <w:rPr>
                <w:sz w:val="18"/>
              </w:rPr>
              <w:t>[EUR je Anlage]</w:t>
            </w:r>
          </w:p>
        </w:tc>
        <w:tc>
          <w:tcPr>
            <w:tcW w:type="dxa" w:w="3912"/>
            <w:vAlign w:val="center"/>
          </w:tcPr>
          <w:p>
            <w:pPr>
              <w:spacing w:after="60" w:before="40"/>
            </w:pPr>
            <w:r>
              <w:rPr>
                <w:sz w:val="18"/>
              </w:rPr>
              <w:t>[Liefer-/Installationsumfang; Förderung]</w:t>
            </w:r>
          </w:p>
        </w:tc>
      </w:tr>
      <w:tr>
        <w:trPr>
          <w:cantSplit/>
        </w:trPr>
        <w:tc>
          <w:tcPr>
            <w:tcW w:type="dxa" w:w="3572"/>
            <w:vAlign w:val="center"/>
          </w:tcPr>
          <w:p>
            <w:pPr>
              <w:spacing w:after="60" w:before="40"/>
            </w:pPr>
            <w:r>
              <w:rPr>
                <w:sz w:val="18"/>
              </w:rPr>
              <w:t>Lebensdauer / Restwert / Zins</w:t>
            </w:r>
          </w:p>
        </w:tc>
        <w:tc>
          <w:tcPr>
            <w:tcW w:type="dxa" w:w="2438"/>
            <w:vAlign w:val="center"/>
          </w:tcPr>
          <w:p>
            <w:pPr>
              <w:spacing w:after="60" w:before="40"/>
            </w:pPr>
            <w:r>
              <w:rPr>
                <w:sz w:val="18"/>
              </w:rPr>
              <w:t>[Jahre / EUR / %]</w:t>
            </w:r>
          </w:p>
        </w:tc>
        <w:tc>
          <w:tcPr>
            <w:tcW w:type="dxa" w:w="3912"/>
            <w:vAlign w:val="center"/>
          </w:tcPr>
          <w:p>
            <w:pPr>
              <w:spacing w:after="60" w:before="40"/>
            </w:pPr>
            <w:r>
              <w:rPr>
                <w:sz w:val="18"/>
              </w:rPr>
              <w:t>[je Komponente separat]</w:t>
            </w:r>
          </w:p>
        </w:tc>
      </w:tr>
      <w:tr>
        <w:trPr>
          <w:cantSplit/>
        </w:trPr>
        <w:tc>
          <w:tcPr>
            <w:tcW w:type="dxa" w:w="3572"/>
            <w:vAlign w:val="center"/>
          </w:tcPr>
          <w:p>
            <w:pPr>
              <w:spacing w:after="60" w:before="40"/>
            </w:pPr>
            <w:r>
              <w:rPr>
                <w:sz w:val="18"/>
              </w:rPr>
              <w:t>Anzahl Fahrzeuge / jährlicher Durchsatz</w:t>
            </w:r>
          </w:p>
        </w:tc>
        <w:tc>
          <w:tcPr>
            <w:tcW w:type="dxa" w:w="2438"/>
            <w:vAlign w:val="center"/>
          </w:tcPr>
          <w:p>
            <w:pPr>
              <w:spacing w:after="60" w:before="40"/>
            </w:pPr>
            <w:r>
              <w:rPr>
                <w:sz w:val="18"/>
              </w:rPr>
              <w:t>[Anzahl / kWh oder kg]</w:t>
            </w:r>
          </w:p>
        </w:tc>
        <w:tc>
          <w:tcPr>
            <w:tcW w:type="dxa" w:w="3912"/>
            <w:vAlign w:val="center"/>
          </w:tcPr>
          <w:p>
            <w:pPr>
              <w:spacing w:after="60" w:before="40"/>
            </w:pPr>
            <w:r>
              <w:rPr>
                <w:sz w:val="18"/>
              </w:rPr>
              <w:t>[Auslastung und Engpassstunden]</w:t>
            </w:r>
          </w:p>
        </w:tc>
      </w:tr>
      <w:tr>
        <w:trPr>
          <w:cantSplit/>
        </w:trPr>
        <w:tc>
          <w:tcPr>
            <w:tcW w:type="dxa" w:w="3572"/>
            <w:vAlign w:val="center"/>
          </w:tcPr>
          <w:p>
            <w:pPr>
              <w:spacing w:after="60" w:before="40"/>
            </w:pPr>
            <w:r>
              <w:rPr>
                <w:sz w:val="18"/>
              </w:rPr>
              <w:t>Kapazitäts-/Leistungspreis, Wartung</w:t>
            </w:r>
          </w:p>
        </w:tc>
        <w:tc>
          <w:tcPr>
            <w:tcW w:type="dxa" w:w="2438"/>
            <w:vAlign w:val="center"/>
          </w:tcPr>
          <w:p>
            <w:pPr>
              <w:spacing w:after="60" w:before="40"/>
            </w:pPr>
            <w:r>
              <w:rPr>
                <w:sz w:val="18"/>
              </w:rPr>
              <w:t>[EUR/kW/Jahr; EUR/Jahr]</w:t>
            </w:r>
          </w:p>
        </w:tc>
        <w:tc>
          <w:tcPr>
            <w:tcW w:type="dxa" w:w="3912"/>
            <w:vAlign w:val="center"/>
          </w:tcPr>
          <w:p>
            <w:pPr>
              <w:spacing w:after="60" w:before="40"/>
            </w:pPr>
            <w:r>
              <w:rPr>
                <w:sz w:val="18"/>
              </w:rPr>
              <w:t>[nicht in Energiepreis enthalten?]</w:t>
            </w:r>
          </w:p>
        </w:tc>
      </w:tr>
      <w:tr>
        <w:trPr>
          <w:cantSplit/>
        </w:trPr>
        <w:tc>
          <w:tcPr>
            <w:tcW w:type="dxa" w:w="3572"/>
            <w:vAlign w:val="center"/>
          </w:tcPr>
          <w:p>
            <w:pPr>
              <w:spacing w:after="60" w:before="40"/>
            </w:pPr>
            <w:r>
              <w:rPr>
                <w:sz w:val="18"/>
              </w:rPr>
              <w:t>Zuordnung zum Fahrzeug</w:t>
            </w:r>
          </w:p>
        </w:tc>
        <w:tc>
          <w:tcPr>
            <w:tcW w:type="dxa" w:w="2438"/>
            <w:vAlign w:val="center"/>
          </w:tcPr>
          <w:p>
            <w:pPr>
              <w:spacing w:after="60" w:before="40"/>
            </w:pPr>
            <w:r>
              <w:rPr>
                <w:sz w:val="18"/>
              </w:rPr>
              <w:t>[Anteil / Schlüssel]</w:t>
            </w:r>
          </w:p>
        </w:tc>
        <w:tc>
          <w:tcPr>
            <w:tcW w:type="dxa" w:w="3912"/>
            <w:vAlign w:val="center"/>
          </w:tcPr>
          <w:p>
            <w:pPr>
              <w:spacing w:after="60" w:before="40"/>
            </w:pPr>
            <w:r>
              <w:rPr>
                <w:sz w:val="18"/>
              </w:rPr>
              <w:t>[belegte Kapazität, Energie oder Zeit]</w:t>
            </w:r>
          </w:p>
        </w:tc>
      </w:tr>
      <w:tr>
        <w:trPr>
          <w:cantSplit/>
        </w:trPr>
        <w:tc>
          <w:tcPr>
            <w:tcW w:type="dxa" w:w="3572"/>
            <w:vAlign w:val="center"/>
          </w:tcPr>
          <w:p>
            <w:pPr>
              <w:spacing w:after="60" w:before="40"/>
            </w:pPr>
            <w:r>
              <w:rPr>
                <w:sz w:val="18"/>
              </w:rPr>
              <w:t>Öffentlicher Energieanteil / Gebühren</w:t>
            </w:r>
          </w:p>
        </w:tc>
        <w:tc>
          <w:tcPr>
            <w:tcW w:type="dxa" w:w="2438"/>
            <w:vAlign w:val="center"/>
          </w:tcPr>
          <w:p>
            <w:pPr>
              <w:spacing w:after="60" w:before="40"/>
            </w:pPr>
            <w:r>
              <w:rPr>
                <w:sz w:val="18"/>
              </w:rPr>
              <w:t>[% / EUR]</w:t>
            </w:r>
          </w:p>
        </w:tc>
        <w:tc>
          <w:tcPr>
            <w:tcW w:type="dxa" w:w="3912"/>
            <w:vAlign w:val="center"/>
          </w:tcPr>
          <w:p>
            <w:pPr>
              <w:spacing w:after="60" w:before="40"/>
            </w:pPr>
            <w:r>
              <w:rPr>
                <w:sz w:val="18"/>
              </w:rPr>
              <w:t>[Infrastruktur im Tarif enthalten?]</w:t>
            </w:r>
          </w:p>
        </w:tc>
      </w:tr>
    </w:tbl>
    <w:p>
      <w:r>
        <w:t>Bei separaten Erneuerungen: PV = P − S + Σⱼ Cⱼ/(1+i)^tⱼ − Rgesamt/(1+i)ⁿ. Annualisierung mit i/[1−(1+i)⁻ⁿ]. Keine zusätzliche Ersatzannuität, wenn die Kosten bereits durch Wartungsvertrag oder Rückstellung abgedeckt sind.</w:t>
      </w:r>
    </w:p>
    <w:p>
      <w:r>
        <w:rPr>
          <w:i/>
          <w:color w:val="526775"/>
          <w:sz w:val="18"/>
        </w:rPr>
        <w:t>Separate Komponentenkosten nicht zum kompletten Fahrzeugpreis addieren, wenn diese dort enthalten sind. Der Restwert am Horizont muss verbleibende Komponentenwerte konsistent erfassen.</w:t>
      </w:r>
    </w:p>
    <w:p>
      <w:r>
        <w:br w:type="page"/>
      </w:r>
    </w:p>
    <w:p>
      <w:pPr>
        <w:pStyle w:val="Subtitle"/>
      </w:pPr>
      <w:r>
        <w:t>KOPIERVORLAGE · Seite 4 von 4</w:t>
      </w:r>
    </w:p>
    <w:p>
      <w:pPr>
        <w:pStyle w:val="Heading1"/>
      </w:pPr>
      <w:r>
        <w:t>6  Kostenblatt und Qualitätsprüfung</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3231"/>
            <w:vAlign w:val="center"/>
          </w:tcPr>
          <w:p>
            <w:pPr>
              <w:spacing w:after="60" w:before="40"/>
            </w:pPr>
            <w:r>
              <w:rPr>
                <w:b/>
                <w:color w:val="173B4B"/>
                <w:sz w:val="18"/>
              </w:rPr>
              <w:t>Ausgabegröße</w:t>
            </w:r>
          </w:p>
        </w:tc>
        <w:tc>
          <w:tcPr>
            <w:tcW w:type="dxa" w:w="4422"/>
            <w:vAlign w:val="center"/>
          </w:tcPr>
          <w:p>
            <w:pPr>
              <w:spacing w:after="60" w:before="40"/>
            </w:pPr>
            <w:r>
              <w:rPr>
                <w:b/>
                <w:color w:val="173B4B"/>
                <w:sz w:val="18"/>
              </w:rPr>
              <w:t>Formel / Einheit</w:t>
            </w:r>
          </w:p>
        </w:tc>
        <w:tc>
          <w:tcPr>
            <w:tcW w:type="dxa" w:w="2268"/>
            <w:vAlign w:val="center"/>
          </w:tcPr>
          <w:p>
            <w:pPr>
              <w:spacing w:after="60" w:before="40"/>
            </w:pPr>
            <w:r>
              <w:rPr>
                <w:b/>
                <w:color w:val="173B4B"/>
                <w:sz w:val="18"/>
              </w:rPr>
              <w:t>Ergebnis / Quelle</w:t>
            </w:r>
          </w:p>
        </w:tc>
      </w:tr>
      <w:tr>
        <w:trPr>
          <w:cantSplit/>
        </w:trPr>
        <w:tc>
          <w:tcPr>
            <w:tcW w:type="dxa" w:w="3231"/>
            <w:vAlign w:val="center"/>
          </w:tcPr>
          <w:p>
            <w:pPr>
              <w:spacing w:after="60" w:before="40"/>
            </w:pPr>
            <w:r>
              <w:rPr>
                <w:sz w:val="18"/>
              </w:rPr>
              <w:t>Kapitaldienst Fahrzeug / Auflieger</w:t>
            </w:r>
          </w:p>
        </w:tc>
        <w:tc>
          <w:tcPr>
            <w:tcW w:type="dxa" w:w="4422"/>
            <w:vAlign w:val="center"/>
          </w:tcPr>
          <w:p>
            <w:pPr>
              <w:spacing w:after="60" w:before="40"/>
            </w:pPr>
            <w:r>
              <w:rPr>
                <w:sz w:val="18"/>
              </w:rPr>
              <w:t>Aᵥ + Aₜ; EUR/Jahr</w:t>
            </w:r>
          </w:p>
        </w:tc>
        <w:tc>
          <w:tcPr>
            <w:tcW w:type="dxa" w:w="2268"/>
            <w:vAlign w:val="center"/>
          </w:tcPr>
          <w:p>
            <w:pPr>
              <w:spacing w:after="60" w:before="40"/>
            </w:pPr>
            <w:r>
              <w:rPr>
                <w:sz w:val="18"/>
              </w:rPr>
              <w:t>[eintragen; R]</w:t>
            </w:r>
          </w:p>
        </w:tc>
      </w:tr>
      <w:tr>
        <w:trPr>
          <w:cantSplit/>
        </w:trPr>
        <w:tc>
          <w:tcPr>
            <w:tcW w:type="dxa" w:w="3231"/>
            <w:vAlign w:val="center"/>
          </w:tcPr>
          <w:p>
            <w:pPr>
              <w:spacing w:after="60" w:before="40"/>
            </w:pPr>
            <w:r>
              <w:rPr>
                <w:sz w:val="18"/>
              </w:rPr>
              <w:t>Infrastrukturfixkosten Fahrzeuganteil</w:t>
            </w:r>
          </w:p>
        </w:tc>
        <w:tc>
          <w:tcPr>
            <w:tcW w:type="dxa" w:w="4422"/>
            <w:vAlign w:val="center"/>
          </w:tcPr>
          <w:p>
            <w:pPr>
              <w:spacing w:after="60" w:before="40"/>
            </w:pPr>
            <w:r>
              <w:rPr>
                <w:sz w:val="18"/>
              </w:rPr>
              <w:t>Ainfra + fixe OPEX; EUR/Jahr</w:t>
            </w:r>
          </w:p>
        </w:tc>
        <w:tc>
          <w:tcPr>
            <w:tcW w:type="dxa" w:w="2268"/>
            <w:vAlign w:val="center"/>
          </w:tcPr>
          <w:p>
            <w:pPr>
              <w:spacing w:after="60" w:before="40"/>
            </w:pPr>
            <w:r>
              <w:rPr>
                <w:sz w:val="18"/>
              </w:rPr>
              <w:t>[eintragen; R]</w:t>
            </w:r>
          </w:p>
        </w:tc>
      </w:tr>
      <w:tr>
        <w:trPr>
          <w:cantSplit/>
        </w:trPr>
        <w:tc>
          <w:tcPr>
            <w:tcW w:type="dxa" w:w="3231"/>
            <w:vAlign w:val="center"/>
          </w:tcPr>
          <w:p>
            <w:pPr>
              <w:spacing w:after="60" w:before="40"/>
            </w:pPr>
            <w:r>
              <w:rPr>
                <w:sz w:val="18"/>
              </w:rPr>
              <w:t>Sonstige jährliche Fixkosten</w:t>
            </w:r>
          </w:p>
        </w:tc>
        <w:tc>
          <w:tcPr>
            <w:tcW w:type="dxa" w:w="4422"/>
            <w:vAlign w:val="center"/>
          </w:tcPr>
          <w:p>
            <w:pPr>
              <w:spacing w:after="60" w:before="40"/>
            </w:pPr>
            <w:r>
              <w:rPr>
                <w:sz w:val="18"/>
              </w:rPr>
              <w:t>Versicherung + Steuer + Verwaltung; EUR/Jahr</w:t>
            </w:r>
          </w:p>
        </w:tc>
        <w:tc>
          <w:tcPr>
            <w:tcW w:type="dxa" w:w="2268"/>
            <w:vAlign w:val="center"/>
          </w:tcPr>
          <w:p>
            <w:pPr>
              <w:spacing w:after="60" w:before="40"/>
            </w:pPr>
            <w:r>
              <w:rPr>
                <w:sz w:val="18"/>
              </w:rPr>
              <w:t>[eintragen; R]</w:t>
            </w:r>
          </w:p>
        </w:tc>
      </w:tr>
      <w:tr>
        <w:trPr>
          <w:cantSplit/>
        </w:trPr>
        <w:tc>
          <w:tcPr>
            <w:tcW w:type="dxa" w:w="3231"/>
            <w:vAlign w:val="center"/>
          </w:tcPr>
          <w:p>
            <w:pPr>
              <w:spacing w:after="60" w:before="40"/>
            </w:pPr>
            <w:r>
              <w:rPr>
                <w:sz w:val="18"/>
              </w:rPr>
              <w:t>Summe Fixkosten F</w:t>
            </w:r>
          </w:p>
        </w:tc>
        <w:tc>
          <w:tcPr>
            <w:tcW w:type="dxa" w:w="4422"/>
            <w:vAlign w:val="center"/>
          </w:tcPr>
          <w:p>
            <w:pPr>
              <w:spacing w:after="60" w:before="40"/>
            </w:pPr>
            <w:r>
              <w:rPr>
                <w:sz w:val="18"/>
              </w:rPr>
              <w:t>EUR/Jahr</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Energie- und Betriebsstoffkosten</w:t>
            </w:r>
          </w:p>
        </w:tc>
        <w:tc>
          <w:tcPr>
            <w:tcW w:type="dxa" w:w="4422"/>
            <w:vAlign w:val="center"/>
          </w:tcPr>
          <w:p>
            <w:pPr>
              <w:spacing w:after="60" w:before="40"/>
            </w:pPr>
            <w:r>
              <w:rPr>
                <w:sz w:val="18"/>
              </w:rPr>
              <w:t>Σ Verbrauchₖ × Preisₖ; EUR/km</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Wartung / Reifen / Maut</w:t>
            </w:r>
          </w:p>
        </w:tc>
        <w:tc>
          <w:tcPr>
            <w:tcW w:type="dxa" w:w="4422"/>
            <w:vAlign w:val="center"/>
          </w:tcPr>
          <w:p>
            <w:pPr>
              <w:spacing w:after="60" w:before="40"/>
            </w:pPr>
            <w:r>
              <w:rPr>
                <w:sz w:val="18"/>
              </w:rPr>
              <w:t>einzeln ausweisen; EUR/km</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Variable Distanzkosten cₖₘ,var</w:t>
            </w:r>
          </w:p>
        </w:tc>
        <w:tc>
          <w:tcPr>
            <w:tcW w:type="dxa" w:w="4422"/>
            <w:vAlign w:val="center"/>
          </w:tcPr>
          <w:p>
            <w:pPr>
              <w:spacing w:after="60" w:before="40"/>
            </w:pPr>
            <w:r>
              <w:rPr>
                <w:sz w:val="18"/>
              </w:rPr>
              <w:t>EUR/km</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Verrechnete Zeitkosten ohne Personal</w:t>
            </w:r>
          </w:p>
        </w:tc>
        <w:tc>
          <w:tcPr>
            <w:tcW w:type="dxa" w:w="4422"/>
            <w:vAlign w:val="center"/>
          </w:tcPr>
          <w:p>
            <w:pPr>
              <w:spacing w:after="60" w:before="40"/>
            </w:pPr>
            <w:r>
              <w:rPr>
                <w:sz w:val="18"/>
              </w:rPr>
              <w:t>F/Hᵥ; EUR/Fahrzeug-Einsatzstunde</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Personal c𝒹; ggf. Zeitgebühren</w:t>
            </w:r>
          </w:p>
        </w:tc>
        <w:tc>
          <w:tcPr>
            <w:tcW w:type="dxa" w:w="4422"/>
            <w:vAlign w:val="center"/>
          </w:tcPr>
          <w:p>
            <w:pPr>
              <w:spacing w:after="60" w:before="40"/>
            </w:pPr>
            <w:r>
              <w:rPr>
                <w:sz w:val="18"/>
              </w:rPr>
              <w:t>EUR/bezahlter h; EUR/h</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Jahresgesamtkosten K</w:t>
            </w:r>
          </w:p>
        </w:tc>
        <w:tc>
          <w:tcPr>
            <w:tcW w:type="dxa" w:w="4422"/>
            <w:vAlign w:val="center"/>
          </w:tcPr>
          <w:p>
            <w:pPr>
              <w:spacing w:after="60" w:before="40"/>
            </w:pPr>
            <w:r>
              <w:rPr>
                <w:sz w:val="18"/>
              </w:rPr>
              <w:t>F + L·cₖₘ,var + H𝒹·c𝒹 + Extras</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Vollkostensatz Kilometer</w:t>
            </w:r>
          </w:p>
        </w:tc>
        <w:tc>
          <w:tcPr>
            <w:tcW w:type="dxa" w:w="4422"/>
            <w:vAlign w:val="center"/>
          </w:tcPr>
          <w:p>
            <w:pPr>
              <w:spacing w:after="60" w:before="40"/>
            </w:pPr>
            <w:r>
              <w:rPr>
                <w:sz w:val="18"/>
              </w:rPr>
              <w:t>K/L; EUR/Fahrzeug-km</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Vollkostensatz Transportleistung</w:t>
            </w:r>
          </w:p>
        </w:tc>
        <w:tc>
          <w:tcPr>
            <w:tcW w:type="dxa" w:w="4422"/>
            <w:vAlign w:val="center"/>
          </w:tcPr>
          <w:p>
            <w:pPr>
              <w:spacing w:after="60" w:before="40"/>
            </w:pPr>
            <w:r>
              <w:rPr>
                <w:sz w:val="18"/>
              </w:rPr>
              <w:t>K/Q; EUR/tkm</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Optional: reiner Stunden-Vollkostensatz</w:t>
            </w:r>
          </w:p>
        </w:tc>
        <w:tc>
          <w:tcPr>
            <w:tcW w:type="dxa" w:w="4422"/>
            <w:vAlign w:val="center"/>
          </w:tcPr>
          <w:p>
            <w:pPr>
              <w:spacing w:after="60" w:before="40"/>
            </w:pPr>
            <w:r>
              <w:rPr>
                <w:sz w:val="18"/>
              </w:rPr>
              <w:t>K/Hᵥ; EUR/h; alle km-Kosten umgelegt</w:t>
            </w:r>
          </w:p>
        </w:tc>
        <w:tc>
          <w:tcPr>
            <w:tcW w:type="dxa" w:w="2268"/>
            <w:vAlign w:val="center"/>
          </w:tcPr>
          <w:p>
            <w:pPr>
              <w:spacing w:after="60" w:before="40"/>
            </w:pPr>
            <w:r>
              <w:rPr>
                <w:sz w:val="18"/>
              </w:rPr>
              <w:t>[eintragen]</w:t>
            </w:r>
          </w:p>
        </w:tc>
      </w:tr>
      <w:tr>
        <w:trPr>
          <w:cantSplit/>
        </w:trPr>
        <w:tc>
          <w:tcPr>
            <w:tcW w:type="dxa" w:w="3231"/>
            <w:vAlign w:val="center"/>
          </w:tcPr>
          <w:p>
            <w:pPr>
              <w:spacing w:after="60" w:before="40"/>
            </w:pPr>
            <w:r>
              <w:rPr>
                <w:sz w:val="18"/>
              </w:rPr>
              <w:t>Sensitivität / Szenarioband</w:t>
            </w:r>
          </w:p>
        </w:tc>
        <w:tc>
          <w:tcPr>
            <w:tcW w:type="dxa" w:w="4422"/>
            <w:vAlign w:val="center"/>
          </w:tcPr>
          <w:p>
            <w:pPr>
              <w:spacing w:after="60" w:before="40"/>
            </w:pPr>
            <w:r>
              <w:rPr>
                <w:sz w:val="18"/>
              </w:rPr>
              <w:t>EUR/km, EUR/tkm</w:t>
            </w:r>
          </w:p>
        </w:tc>
        <w:tc>
          <w:tcPr>
            <w:tcW w:type="dxa" w:w="2268"/>
            <w:vAlign w:val="center"/>
          </w:tcPr>
          <w:p>
            <w:pPr>
              <w:spacing w:after="60" w:before="40"/>
            </w:pPr>
            <w:r>
              <w:rPr>
                <w:sz w:val="18"/>
              </w:rPr>
              <w:t>[Szenarien und Grenzen]</w:t>
            </w:r>
          </w:p>
        </w:tc>
      </w:tr>
    </w:tbl>
    <w:p>
      <w:pPr>
        <w:pStyle w:val="Heading2"/>
      </w:pPr>
      <w:r>
        <w:t>6.1  Freigabecheck</w:t>
      </w:r>
    </w:p>
    <w:p>
      <w:r>
        <w:t>□ Gleiche Fahrzeugklasse, Einsatzbedingungen und Abgrenzung; tatsächliche Nutzlastrestriktionen geprüft.</w:t>
      </w:r>
    </w:p>
    <w:p>
      <w:r>
        <w:t>□ Preise netto, Bezugsjahr und Region konsistent; Annahmen eindeutig von Messwerten getrennt.</w:t>
      </w:r>
    </w:p>
    <w:p>
      <w:r>
        <w:t>□ Batterie-/Netzverbrauch und Ladeverluste nicht doppelt angesetzt; LNG-Pilotdiesel berücksichtigt.</w:t>
      </w:r>
    </w:p>
    <w:p>
      <w:r>
        <w:t>□ Technische Lebensdauer, Garantie und wirtschaftliche Nutzungsdauer sauber getrennt.</w:t>
      </w:r>
    </w:p>
    <w:p>
      <w:r>
        <w:t>□ Energie-/Infrastrukturpreise und Komponentenreserven ohne Doppelzählung.</w:t>
      </w:r>
    </w:p>
    <w:p>
      <w:r>
        <w:t>□ Leerfahrten im km-Nenner und im tkm-Nenner konsistent; Leerkilometer erzeugen keine tkm.</w:t>
      </w:r>
    </w:p>
    <w:p>
      <w:r>
        <w:t>□ Fahr-, Stand-, Lade-, Service- und bezahlte Personalzeiten abgegrenzt; Überlappungen berücksichtigt.</w:t>
      </w:r>
    </w:p>
    <w:p>
      <w:r>
        <w:t>□ Maut, Förderung und Steuerbefreiung zeitlich gültig; mehrjährige Rechtsänderungen modelliert.</w:t>
      </w:r>
    </w:p>
    <w:p>
      <w:r>
        <w:t>□ Fixkosten-/Stundenumlage nicht als marginale Betriebskosten interpretiert; Quellen geprüft.</w:t>
      </w:r>
    </w:p>
    <w:p>
      <w:r>
        <w:t>Freigabe durch: [Name]  |  Datum: [Datum]  |  Datenlücken / Auflagen: [eintragen]</w:t>
      </w:r>
    </w:p>
    <w:p>
      <w:r>
        <w:br w:type="page"/>
      </w:r>
    </w:p>
    <w:p>
      <w:pPr>
        <w:pStyle w:val="Subtitle"/>
      </w:pPr>
      <w:r>
        <w:t>AUSGEFÜLLTE BEISPIELE · Rechenannahmen</w:t>
      </w:r>
    </w:p>
    <w:p>
      <w:pPr>
        <w:pStyle w:val="Heading1"/>
      </w:pPr>
      <w:r>
        <w:t>7  Gemeinsames Referenzszenario</w:t>
      </w:r>
    </w:p>
    <w:p>
      <w:r>
        <w:t>Beide Beispiele beschreiben Fernverkehr mit 4×2-Zugmaschine und demselben dreiachsigen Standardauflieger. Alle Werte dieser Seite sind A: transparente Setzungen zur Demonstration des Templates, keine erhobenen Marktpreise. Mautregelungen auf den Beispielseiten sind separat belegt.</w:t>
      </w:r>
    </w:p>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3572"/>
            <w:vAlign w:val="center"/>
          </w:tcPr>
          <w:p>
            <w:pPr>
              <w:spacing w:after="60" w:before="40"/>
            </w:pPr>
            <w:r>
              <w:rPr>
                <w:b/>
                <w:color w:val="173B4B"/>
                <w:sz w:val="18"/>
              </w:rPr>
              <w:t>Parameter</w:t>
            </w:r>
          </w:p>
        </w:tc>
        <w:tc>
          <w:tcPr>
            <w:tcW w:type="dxa" w:w="1984"/>
            <w:vAlign w:val="center"/>
          </w:tcPr>
          <w:p>
            <w:pPr>
              <w:spacing w:after="60" w:before="40"/>
            </w:pPr>
            <w:r>
              <w:rPr>
                <w:b/>
                <w:color w:val="173B4B"/>
                <w:sz w:val="18"/>
              </w:rPr>
              <w:t>Diesel</w:t>
            </w:r>
          </w:p>
        </w:tc>
        <w:tc>
          <w:tcPr>
            <w:tcW w:type="dxa" w:w="1984"/>
            <w:vAlign w:val="center"/>
          </w:tcPr>
          <w:p>
            <w:pPr>
              <w:spacing w:after="60" w:before="40"/>
            </w:pPr>
            <w:r>
              <w:rPr>
                <w:b/>
                <w:color w:val="173B4B"/>
                <w:sz w:val="18"/>
              </w:rPr>
              <w:t>BEV</w:t>
            </w:r>
          </w:p>
        </w:tc>
        <w:tc>
          <w:tcPr>
            <w:tcW w:type="dxa" w:w="2381"/>
            <w:vAlign w:val="center"/>
          </w:tcPr>
          <w:p>
            <w:pPr>
              <w:spacing w:after="60" w:before="40"/>
            </w:pPr>
            <w:r>
              <w:rPr>
                <w:b/>
                <w:color w:val="173B4B"/>
                <w:sz w:val="18"/>
              </w:rPr>
              <w:t>Einheit / Hinweis</w:t>
            </w:r>
          </w:p>
        </w:tc>
      </w:tr>
      <w:tr>
        <w:trPr>
          <w:cantSplit/>
        </w:trPr>
        <w:tc>
          <w:tcPr>
            <w:tcW w:type="dxa" w:w="3572"/>
            <w:vAlign w:val="center"/>
          </w:tcPr>
          <w:p>
            <w:pPr>
              <w:spacing w:after="60" w:before="40"/>
            </w:pPr>
            <w:r>
              <w:rPr>
                <w:sz w:val="18"/>
              </w:rPr>
              <w:t>Fahrzeugkaufpreis</w:t>
            </w:r>
          </w:p>
        </w:tc>
        <w:tc>
          <w:tcPr>
            <w:tcW w:type="dxa" w:w="1984"/>
            <w:vAlign w:val="center"/>
          </w:tcPr>
          <w:p>
            <w:pPr>
              <w:spacing w:after="60" w:before="40"/>
            </w:pPr>
            <w:r>
              <w:rPr>
                <w:sz w:val="18"/>
              </w:rPr>
              <w:t>120.000</w:t>
            </w:r>
          </w:p>
        </w:tc>
        <w:tc>
          <w:tcPr>
            <w:tcW w:type="dxa" w:w="1984"/>
            <w:vAlign w:val="center"/>
          </w:tcPr>
          <w:p>
            <w:pPr>
              <w:spacing w:after="60" w:before="40"/>
            </w:pPr>
            <w:r>
              <w:rPr>
                <w:sz w:val="18"/>
              </w:rPr>
              <w:t>300.000</w:t>
            </w:r>
          </w:p>
        </w:tc>
        <w:tc>
          <w:tcPr>
            <w:tcW w:type="dxa" w:w="2381"/>
            <w:vAlign w:val="center"/>
          </w:tcPr>
          <w:p>
            <w:pPr>
              <w:spacing w:after="60" w:before="40"/>
            </w:pPr>
            <w:r>
              <w:rPr>
                <w:sz w:val="18"/>
              </w:rPr>
              <w:t>EUR, Zugmaschine inkl. Antrieb/Energiespeicher</w:t>
            </w:r>
          </w:p>
        </w:tc>
      </w:tr>
      <w:tr>
        <w:trPr>
          <w:cantSplit/>
        </w:trPr>
        <w:tc>
          <w:tcPr>
            <w:tcW w:type="dxa" w:w="3572"/>
            <w:vAlign w:val="center"/>
          </w:tcPr>
          <w:p>
            <w:pPr>
              <w:spacing w:after="60" w:before="40"/>
            </w:pPr>
            <w:r>
              <w:rPr>
                <w:sz w:val="18"/>
              </w:rPr>
              <w:t>Restwert nach 8 Jahren</w:t>
            </w:r>
          </w:p>
        </w:tc>
        <w:tc>
          <w:tcPr>
            <w:tcW w:type="dxa" w:w="1984"/>
            <w:vAlign w:val="center"/>
          </w:tcPr>
          <w:p>
            <w:pPr>
              <w:spacing w:after="60" w:before="40"/>
            </w:pPr>
            <w:r>
              <w:rPr>
                <w:sz w:val="18"/>
              </w:rPr>
              <w:t>20.000</w:t>
            </w:r>
          </w:p>
        </w:tc>
        <w:tc>
          <w:tcPr>
            <w:tcW w:type="dxa" w:w="1984"/>
            <w:vAlign w:val="center"/>
          </w:tcPr>
          <w:p>
            <w:pPr>
              <w:spacing w:after="60" w:before="40"/>
            </w:pPr>
            <w:r>
              <w:rPr>
                <w:sz w:val="18"/>
              </w:rPr>
              <w:t>45.000</w:t>
            </w:r>
          </w:p>
        </w:tc>
        <w:tc>
          <w:tcPr>
            <w:tcW w:type="dxa" w:w="2381"/>
            <w:vAlign w:val="center"/>
          </w:tcPr>
          <w:p>
            <w:pPr>
              <w:spacing w:after="60" w:before="40"/>
            </w:pPr>
            <w:r>
              <w:rPr>
                <w:sz w:val="18"/>
              </w:rPr>
              <w:t>EUR; keine Förderungen</w:t>
            </w:r>
          </w:p>
        </w:tc>
      </w:tr>
      <w:tr>
        <w:trPr>
          <w:cantSplit/>
        </w:trPr>
        <w:tc>
          <w:tcPr>
            <w:tcW w:type="dxa" w:w="3572"/>
            <w:vAlign w:val="center"/>
          </w:tcPr>
          <w:p>
            <w:pPr>
              <w:spacing w:after="60" w:before="40"/>
            </w:pPr>
            <w:r>
              <w:rPr>
                <w:sz w:val="18"/>
              </w:rPr>
              <w:t>Auflieger / Restwert / Nutzungsdauer</w:t>
            </w:r>
          </w:p>
        </w:tc>
        <w:tc>
          <w:tcPr>
            <w:tcW w:type="dxa" w:w="1984"/>
            <w:vAlign w:val="center"/>
          </w:tcPr>
          <w:p>
            <w:pPr>
              <w:spacing w:after="60" w:before="40"/>
            </w:pPr>
            <w:r>
              <w:rPr>
                <w:sz w:val="18"/>
              </w:rPr>
              <w:t>35.000 / 7.000 / 8</w:t>
            </w:r>
          </w:p>
        </w:tc>
        <w:tc>
          <w:tcPr>
            <w:tcW w:type="dxa" w:w="1984"/>
            <w:vAlign w:val="center"/>
          </w:tcPr>
          <w:p>
            <w:pPr>
              <w:spacing w:after="60" w:before="40"/>
            </w:pPr>
            <w:r>
              <w:rPr>
                <w:sz w:val="18"/>
              </w:rPr>
              <w:t>identisch</w:t>
            </w:r>
          </w:p>
        </w:tc>
        <w:tc>
          <w:tcPr>
            <w:tcW w:type="dxa" w:w="2381"/>
            <w:vAlign w:val="center"/>
          </w:tcPr>
          <w:p>
            <w:pPr>
              <w:spacing w:after="60" w:before="40"/>
            </w:pPr>
            <w:r>
              <w:rPr>
                <w:sz w:val="18"/>
              </w:rPr>
              <w:t>EUR / EUR / Jahre</w:t>
            </w:r>
          </w:p>
        </w:tc>
      </w:tr>
      <w:tr>
        <w:trPr>
          <w:cantSplit/>
        </w:trPr>
        <w:tc>
          <w:tcPr>
            <w:tcW w:type="dxa" w:w="3572"/>
            <w:vAlign w:val="center"/>
          </w:tcPr>
          <w:p>
            <w:pPr>
              <w:spacing w:after="60" w:before="40"/>
            </w:pPr>
            <w:r>
              <w:rPr>
                <w:sz w:val="18"/>
              </w:rPr>
              <w:t>Wirtschaftliche Fahrzeugnutzungsdauer / Zins</w:t>
            </w:r>
          </w:p>
        </w:tc>
        <w:tc>
          <w:tcPr>
            <w:tcW w:type="dxa" w:w="1984"/>
            <w:vAlign w:val="center"/>
          </w:tcPr>
          <w:p>
            <w:pPr>
              <w:spacing w:after="60" w:before="40"/>
            </w:pPr>
            <w:r>
              <w:rPr>
                <w:sz w:val="18"/>
              </w:rPr>
              <w:t>8 / 5</w:t>
            </w:r>
          </w:p>
        </w:tc>
        <w:tc>
          <w:tcPr>
            <w:tcW w:type="dxa" w:w="1984"/>
            <w:vAlign w:val="center"/>
          </w:tcPr>
          <w:p>
            <w:pPr>
              <w:spacing w:after="60" w:before="40"/>
            </w:pPr>
            <w:r>
              <w:rPr>
                <w:sz w:val="18"/>
              </w:rPr>
              <w:t>8 / 5</w:t>
            </w:r>
          </w:p>
        </w:tc>
        <w:tc>
          <w:tcPr>
            <w:tcW w:type="dxa" w:w="2381"/>
            <w:vAlign w:val="center"/>
          </w:tcPr>
          <w:p>
            <w:pPr>
              <w:spacing w:after="60" w:before="40"/>
            </w:pPr>
            <w:r>
              <w:rPr>
                <w:sz w:val="18"/>
              </w:rPr>
              <w:t>Jahre / % real pro Jahr</w:t>
            </w:r>
          </w:p>
        </w:tc>
      </w:tr>
      <w:tr>
        <w:trPr>
          <w:cantSplit/>
        </w:trPr>
        <w:tc>
          <w:tcPr>
            <w:tcW w:type="dxa" w:w="3572"/>
            <w:vAlign w:val="center"/>
          </w:tcPr>
          <w:p>
            <w:pPr>
              <w:spacing w:after="60" w:before="40"/>
            </w:pPr>
            <w:r>
              <w:rPr>
                <w:sz w:val="18"/>
              </w:rPr>
              <w:t>Jährliche Fahrleistung L</w:t>
            </w:r>
          </w:p>
        </w:tc>
        <w:tc>
          <w:tcPr>
            <w:tcW w:type="dxa" w:w="1984"/>
            <w:vAlign w:val="center"/>
          </w:tcPr>
          <w:p>
            <w:pPr>
              <w:spacing w:after="60" w:before="40"/>
            </w:pPr>
            <w:r>
              <w:rPr>
                <w:sz w:val="18"/>
              </w:rPr>
              <w:t>100.000</w:t>
            </w:r>
          </w:p>
        </w:tc>
        <w:tc>
          <w:tcPr>
            <w:tcW w:type="dxa" w:w="1984"/>
            <w:vAlign w:val="center"/>
          </w:tcPr>
          <w:p>
            <w:pPr>
              <w:spacing w:after="60" w:before="40"/>
            </w:pPr>
            <w:r>
              <w:rPr>
                <w:sz w:val="18"/>
              </w:rPr>
              <w:t>100.000</w:t>
            </w:r>
          </w:p>
        </w:tc>
        <w:tc>
          <w:tcPr>
            <w:tcW w:type="dxa" w:w="2381"/>
            <w:vAlign w:val="center"/>
          </w:tcPr>
          <w:p>
            <w:pPr>
              <w:spacing w:after="60" w:before="40"/>
            </w:pPr>
            <w:r>
              <w:rPr>
                <w:sz w:val="18"/>
              </w:rPr>
              <w:t>km, inkl. Leerfahrt</w:t>
            </w:r>
          </w:p>
        </w:tc>
      </w:tr>
      <w:tr>
        <w:trPr>
          <w:cantSplit/>
        </w:trPr>
        <w:tc>
          <w:tcPr>
            <w:tcW w:type="dxa" w:w="3572"/>
            <w:vAlign w:val="center"/>
          </w:tcPr>
          <w:p>
            <w:pPr>
              <w:spacing w:after="60" w:before="40"/>
            </w:pPr>
            <w:r>
              <w:rPr>
                <w:sz w:val="18"/>
              </w:rPr>
              <w:t>Fahrzeugeinsatzzeit Hᵥ / bezahlte Zeit H𝒹</w:t>
            </w:r>
          </w:p>
        </w:tc>
        <w:tc>
          <w:tcPr>
            <w:tcW w:type="dxa" w:w="1984"/>
            <w:vAlign w:val="center"/>
          </w:tcPr>
          <w:p>
            <w:pPr>
              <w:spacing w:after="60" w:before="40"/>
            </w:pPr>
            <w:r>
              <w:rPr>
                <w:sz w:val="18"/>
              </w:rPr>
              <w:t>2.000 / 2.000</w:t>
            </w:r>
          </w:p>
        </w:tc>
        <w:tc>
          <w:tcPr>
            <w:tcW w:type="dxa" w:w="1984"/>
            <w:vAlign w:val="center"/>
          </w:tcPr>
          <w:p>
            <w:pPr>
              <w:spacing w:after="60" w:before="40"/>
            </w:pPr>
            <w:r>
              <w:rPr>
                <w:sz w:val="18"/>
              </w:rPr>
              <w:t>2.000 / 2.000</w:t>
            </w:r>
          </w:p>
        </w:tc>
        <w:tc>
          <w:tcPr>
            <w:tcW w:type="dxa" w:w="2381"/>
            <w:vAlign w:val="center"/>
          </w:tcPr>
          <w:p>
            <w:pPr>
              <w:spacing w:after="60" w:before="40"/>
            </w:pPr>
            <w:r>
              <w:rPr>
                <w:sz w:val="18"/>
              </w:rPr>
              <w:t>h/Jahr; Gleichsetzung nur im Beispiel</w:t>
            </w:r>
          </w:p>
        </w:tc>
      </w:tr>
      <w:tr>
        <w:trPr>
          <w:cantSplit/>
        </w:trPr>
        <w:tc>
          <w:tcPr>
            <w:tcW w:type="dxa" w:w="3572"/>
            <w:vAlign w:val="center"/>
          </w:tcPr>
          <w:p>
            <w:pPr>
              <w:spacing w:after="60" w:before="40"/>
            </w:pPr>
            <w:r>
              <w:rPr>
                <w:sz w:val="18"/>
              </w:rPr>
              <w:t>Einsatztage / km je Einsatztag</w:t>
            </w:r>
          </w:p>
        </w:tc>
        <w:tc>
          <w:tcPr>
            <w:tcW w:type="dxa" w:w="1984"/>
            <w:vAlign w:val="center"/>
          </w:tcPr>
          <w:p>
            <w:pPr>
              <w:spacing w:after="60" w:before="40"/>
            </w:pPr>
            <w:r>
              <w:rPr>
                <w:sz w:val="18"/>
              </w:rPr>
              <w:t>250 / 400</w:t>
            </w:r>
          </w:p>
        </w:tc>
        <w:tc>
          <w:tcPr>
            <w:tcW w:type="dxa" w:w="1984"/>
            <w:vAlign w:val="center"/>
          </w:tcPr>
          <w:p>
            <w:pPr>
              <w:spacing w:after="60" w:before="40"/>
            </w:pPr>
            <w:r>
              <w:rPr>
                <w:sz w:val="18"/>
              </w:rPr>
              <w:t>250 / 400</w:t>
            </w:r>
          </w:p>
        </w:tc>
        <w:tc>
          <w:tcPr>
            <w:tcW w:type="dxa" w:w="2381"/>
            <w:vAlign w:val="center"/>
          </w:tcPr>
          <w:p>
            <w:pPr>
              <w:spacing w:after="60" w:before="40"/>
            </w:pPr>
            <w:r>
              <w:rPr>
                <w:sz w:val="18"/>
              </w:rPr>
              <w:t>Tage; km/Tag</w:t>
            </w:r>
          </w:p>
        </w:tc>
      </w:tr>
      <w:tr>
        <w:trPr>
          <w:cantSplit/>
        </w:trPr>
        <w:tc>
          <w:tcPr>
            <w:tcW w:type="dxa" w:w="3572"/>
            <w:vAlign w:val="center"/>
          </w:tcPr>
          <w:p>
            <w:pPr>
              <w:spacing w:after="60" w:before="40"/>
            </w:pPr>
            <w:r>
              <w:rPr>
                <w:sz w:val="18"/>
              </w:rPr>
              <w:t>Distanzanteil Lastfahrt / Leerfahrt</w:t>
            </w:r>
          </w:p>
        </w:tc>
        <w:tc>
          <w:tcPr>
            <w:tcW w:type="dxa" w:w="1984"/>
            <w:vAlign w:val="center"/>
          </w:tcPr>
          <w:p>
            <w:pPr>
              <w:spacing w:after="60" w:before="40"/>
            </w:pPr>
            <w:r>
              <w:rPr>
                <w:sz w:val="18"/>
              </w:rPr>
              <w:t>80 / 20</w:t>
            </w:r>
          </w:p>
        </w:tc>
        <w:tc>
          <w:tcPr>
            <w:tcW w:type="dxa" w:w="1984"/>
            <w:vAlign w:val="center"/>
          </w:tcPr>
          <w:p>
            <w:pPr>
              <w:spacing w:after="60" w:before="40"/>
            </w:pPr>
            <w:r>
              <w:rPr>
                <w:sz w:val="18"/>
              </w:rPr>
              <w:t>80 / 20</w:t>
            </w:r>
          </w:p>
        </w:tc>
        <w:tc>
          <w:tcPr>
            <w:tcW w:type="dxa" w:w="2381"/>
            <w:vAlign w:val="center"/>
          </w:tcPr>
          <w:p>
            <w:pPr>
              <w:spacing w:after="60" w:before="40"/>
            </w:pPr>
            <w:r>
              <w:rPr>
                <w:sz w:val="18"/>
              </w:rPr>
              <w:t>%; identisches Nachfrageprofil</w:t>
            </w:r>
          </w:p>
        </w:tc>
      </w:tr>
      <w:tr>
        <w:trPr>
          <w:cantSplit/>
        </w:trPr>
        <w:tc>
          <w:tcPr>
            <w:tcW w:type="dxa" w:w="3572"/>
            <w:vAlign w:val="center"/>
          </w:tcPr>
          <w:p>
            <w:pPr>
              <w:spacing w:after="60" w:before="40"/>
            </w:pPr>
            <w:r>
              <w:rPr>
                <w:sz w:val="18"/>
              </w:rPr>
              <w:t>Nutzlast auf Lastfahrten / Gesamt-km-Mittel</w:t>
            </w:r>
          </w:p>
        </w:tc>
        <w:tc>
          <w:tcPr>
            <w:tcW w:type="dxa" w:w="1984"/>
            <w:vAlign w:val="center"/>
          </w:tcPr>
          <w:p>
            <w:pPr>
              <w:spacing w:after="60" w:before="40"/>
            </w:pPr>
            <w:r>
              <w:rPr>
                <w:sz w:val="18"/>
              </w:rPr>
              <w:t>20 / 16</w:t>
            </w:r>
          </w:p>
        </w:tc>
        <w:tc>
          <w:tcPr>
            <w:tcW w:type="dxa" w:w="1984"/>
            <w:vAlign w:val="center"/>
          </w:tcPr>
          <w:p>
            <w:pPr>
              <w:spacing w:after="60" w:before="40"/>
            </w:pPr>
            <w:r>
              <w:rPr>
                <w:sz w:val="18"/>
              </w:rPr>
              <w:t>20 / 16</w:t>
            </w:r>
          </w:p>
        </w:tc>
        <w:tc>
          <w:tcPr>
            <w:tcW w:type="dxa" w:w="2381"/>
            <w:vAlign w:val="center"/>
          </w:tcPr>
          <w:p>
            <w:pPr>
              <w:spacing w:after="60" w:before="40"/>
            </w:pPr>
            <w:r>
              <w:rPr>
                <w:sz w:val="18"/>
              </w:rPr>
              <w:t>t; Mittel = 20 × 0,8</w:t>
            </w:r>
          </w:p>
        </w:tc>
      </w:tr>
      <w:tr>
        <w:trPr>
          <w:cantSplit/>
        </w:trPr>
        <w:tc>
          <w:tcPr>
            <w:tcW w:type="dxa" w:w="3572"/>
            <w:vAlign w:val="center"/>
          </w:tcPr>
          <w:p>
            <w:pPr>
              <w:spacing w:after="60" w:before="40"/>
            </w:pPr>
            <w:r>
              <w:rPr>
                <w:sz w:val="18"/>
              </w:rPr>
              <w:t>Planerische max. Nutzlast</w:t>
            </w:r>
          </w:p>
        </w:tc>
        <w:tc>
          <w:tcPr>
            <w:tcW w:type="dxa" w:w="1984"/>
            <w:vAlign w:val="center"/>
          </w:tcPr>
          <w:p>
            <w:pPr>
              <w:spacing w:after="60" w:before="40"/>
            </w:pPr>
            <w:r>
              <w:rPr>
                <w:sz w:val="18"/>
              </w:rPr>
              <w:t>24</w:t>
            </w:r>
          </w:p>
        </w:tc>
        <w:tc>
          <w:tcPr>
            <w:tcW w:type="dxa" w:w="1984"/>
            <w:vAlign w:val="center"/>
          </w:tcPr>
          <w:p>
            <w:pPr>
              <w:spacing w:after="60" w:before="40"/>
            </w:pPr>
            <w:r>
              <w:rPr>
                <w:sz w:val="18"/>
              </w:rPr>
              <w:t>22</w:t>
            </w:r>
          </w:p>
        </w:tc>
        <w:tc>
          <w:tcPr>
            <w:tcW w:type="dxa" w:w="2381"/>
            <w:vAlign w:val="center"/>
          </w:tcPr>
          <w:p>
            <w:pPr>
              <w:spacing w:after="60" w:before="40"/>
            </w:pPr>
            <w:r>
              <w:rPr>
                <w:sz w:val="18"/>
              </w:rPr>
              <w:t>t; A, keine Homologationswerte</w:t>
            </w:r>
          </w:p>
        </w:tc>
      </w:tr>
      <w:tr>
        <w:trPr>
          <w:cantSplit/>
        </w:trPr>
        <w:tc>
          <w:tcPr>
            <w:tcW w:type="dxa" w:w="3572"/>
            <w:vAlign w:val="center"/>
          </w:tcPr>
          <w:p>
            <w:pPr>
              <w:spacing w:after="60" w:before="40"/>
            </w:pPr>
            <w:r>
              <w:rPr>
                <w:sz w:val="18"/>
              </w:rPr>
              <w:t>Erbrachte Transportleistung Q</w:t>
            </w:r>
          </w:p>
        </w:tc>
        <w:tc>
          <w:tcPr>
            <w:tcW w:type="dxa" w:w="1984"/>
            <w:vAlign w:val="center"/>
          </w:tcPr>
          <w:p>
            <w:pPr>
              <w:spacing w:after="60" w:before="40"/>
            </w:pPr>
            <w:r>
              <w:rPr>
                <w:sz w:val="18"/>
              </w:rPr>
              <w:t>1.600.000</w:t>
            </w:r>
          </w:p>
        </w:tc>
        <w:tc>
          <w:tcPr>
            <w:tcW w:type="dxa" w:w="1984"/>
            <w:vAlign w:val="center"/>
          </w:tcPr>
          <w:p>
            <w:pPr>
              <w:spacing w:after="60" w:before="40"/>
            </w:pPr>
            <w:r>
              <w:rPr>
                <w:sz w:val="18"/>
              </w:rPr>
              <w:t>1.600.000</w:t>
            </w:r>
          </w:p>
        </w:tc>
        <w:tc>
          <w:tcPr>
            <w:tcW w:type="dxa" w:w="2381"/>
            <w:vAlign w:val="center"/>
          </w:tcPr>
          <w:p>
            <w:pPr>
              <w:spacing w:after="60" w:before="40"/>
            </w:pPr>
            <w:r>
              <w:rPr>
                <w:sz w:val="18"/>
              </w:rPr>
              <w:t>tkm/Jahr = 100.000 × 0,8 × 20</w:t>
            </w:r>
          </w:p>
        </w:tc>
      </w:tr>
      <w:tr>
        <w:trPr>
          <w:cantSplit/>
        </w:trPr>
        <w:tc>
          <w:tcPr>
            <w:tcW w:type="dxa" w:w="3572"/>
            <w:vAlign w:val="center"/>
          </w:tcPr>
          <w:p>
            <w:pPr>
              <w:spacing w:after="60" w:before="40"/>
            </w:pPr>
            <w:r>
              <w:rPr>
                <w:sz w:val="18"/>
              </w:rPr>
              <w:t>Personalvollkosten c𝒹</w:t>
            </w:r>
          </w:p>
        </w:tc>
        <w:tc>
          <w:tcPr>
            <w:tcW w:type="dxa" w:w="1984"/>
            <w:vAlign w:val="center"/>
          </w:tcPr>
          <w:p>
            <w:pPr>
              <w:spacing w:after="60" w:before="40"/>
            </w:pPr>
            <w:r>
              <w:rPr>
                <w:sz w:val="18"/>
              </w:rPr>
              <w:t>32</w:t>
            </w:r>
          </w:p>
        </w:tc>
        <w:tc>
          <w:tcPr>
            <w:tcW w:type="dxa" w:w="1984"/>
            <w:vAlign w:val="center"/>
          </w:tcPr>
          <w:p>
            <w:pPr>
              <w:spacing w:after="60" w:before="40"/>
            </w:pPr>
            <w:r>
              <w:rPr>
                <w:sz w:val="18"/>
              </w:rPr>
              <w:t>32</w:t>
            </w:r>
          </w:p>
        </w:tc>
        <w:tc>
          <w:tcPr>
            <w:tcW w:type="dxa" w:w="2381"/>
            <w:vAlign w:val="center"/>
          </w:tcPr>
          <w:p>
            <w:pPr>
              <w:spacing w:after="60" w:before="40"/>
            </w:pPr>
            <w:r>
              <w:rPr>
                <w:sz w:val="18"/>
              </w:rPr>
              <w:t>EUR/h, inkl. Arbeitgeberanteilen</w:t>
            </w:r>
          </w:p>
        </w:tc>
      </w:tr>
      <w:tr>
        <w:trPr>
          <w:cantSplit/>
        </w:trPr>
        <w:tc>
          <w:tcPr>
            <w:tcW w:type="dxa" w:w="3572"/>
            <w:vAlign w:val="center"/>
          </w:tcPr>
          <w:p>
            <w:pPr>
              <w:spacing w:after="60" w:before="40"/>
            </w:pPr>
            <w:r>
              <w:rPr>
                <w:sz w:val="18"/>
              </w:rPr>
              <w:t>Verbrauch im Einsatzmittel</w:t>
            </w:r>
          </w:p>
        </w:tc>
        <w:tc>
          <w:tcPr>
            <w:tcW w:type="dxa" w:w="1984"/>
            <w:vAlign w:val="center"/>
          </w:tcPr>
          <w:p>
            <w:pPr>
              <w:spacing w:after="60" w:before="40"/>
            </w:pPr>
            <w:r>
              <w:rPr>
                <w:sz w:val="18"/>
              </w:rPr>
              <w:t>28 l/100 km</w:t>
            </w:r>
          </w:p>
        </w:tc>
        <w:tc>
          <w:tcPr>
            <w:tcW w:type="dxa" w:w="1984"/>
            <w:vAlign w:val="center"/>
          </w:tcPr>
          <w:p>
            <w:pPr>
              <w:spacing w:after="60" w:before="40"/>
            </w:pPr>
            <w:r>
              <w:rPr>
                <w:sz w:val="18"/>
              </w:rPr>
              <w:t>110 kWh/100 km</w:t>
            </w:r>
          </w:p>
        </w:tc>
        <w:tc>
          <w:tcPr>
            <w:tcW w:type="dxa" w:w="2381"/>
            <w:vAlign w:val="center"/>
          </w:tcPr>
          <w:p>
            <w:pPr>
              <w:spacing w:after="60" w:before="40"/>
            </w:pPr>
            <w:r>
              <w:rPr>
                <w:sz w:val="18"/>
              </w:rPr>
              <w:t>Diesel am Tank, BEV batteriebezogen</w:t>
            </w:r>
          </w:p>
        </w:tc>
      </w:tr>
      <w:tr>
        <w:trPr>
          <w:cantSplit/>
        </w:trPr>
        <w:tc>
          <w:tcPr>
            <w:tcW w:type="dxa" w:w="3572"/>
            <w:vAlign w:val="center"/>
          </w:tcPr>
          <w:p>
            <w:pPr>
              <w:spacing w:after="60" w:before="40"/>
            </w:pPr>
            <w:r>
              <w:rPr>
                <w:sz w:val="18"/>
              </w:rPr>
              <w:t>Energiepreis / Ladeeffizienz</w:t>
            </w:r>
          </w:p>
        </w:tc>
        <w:tc>
          <w:tcPr>
            <w:tcW w:type="dxa" w:w="1984"/>
            <w:vAlign w:val="center"/>
          </w:tcPr>
          <w:p>
            <w:pPr>
              <w:spacing w:after="60" w:before="40"/>
            </w:pPr>
            <w:r>
              <w:rPr>
                <w:sz w:val="18"/>
              </w:rPr>
              <w:t>1,40 EUR/l</w:t>
            </w:r>
          </w:p>
        </w:tc>
        <w:tc>
          <w:tcPr>
            <w:tcW w:type="dxa" w:w="1984"/>
            <w:vAlign w:val="center"/>
          </w:tcPr>
          <w:p>
            <w:pPr>
              <w:spacing w:after="60" w:before="40"/>
            </w:pPr>
            <w:r>
              <w:rPr>
                <w:sz w:val="18"/>
              </w:rPr>
              <w:t>0,25 EUR/kWh / 92 %</w:t>
            </w:r>
          </w:p>
        </w:tc>
        <w:tc>
          <w:tcPr>
            <w:tcW w:type="dxa" w:w="2381"/>
            <w:vAlign w:val="center"/>
          </w:tcPr>
          <w:p>
            <w:pPr>
              <w:spacing w:after="60" w:before="40"/>
            </w:pPr>
            <w:r>
              <w:rPr>
                <w:sz w:val="18"/>
              </w:rPr>
              <w:t>Strom am Netz; ohne separate infra. Fixkosten</w:t>
            </w:r>
          </w:p>
        </w:tc>
      </w:tr>
      <w:tr>
        <w:trPr>
          <w:cantSplit/>
        </w:trPr>
        <w:tc>
          <w:tcPr>
            <w:tcW w:type="dxa" w:w="3572"/>
            <w:vAlign w:val="center"/>
          </w:tcPr>
          <w:p>
            <w:pPr>
              <w:spacing w:after="60" w:before="40"/>
            </w:pPr>
            <w:r>
              <w:rPr>
                <w:sz w:val="18"/>
              </w:rPr>
              <w:t>AdBlue-Verbrauch / Preis</w:t>
            </w:r>
          </w:p>
        </w:tc>
        <w:tc>
          <w:tcPr>
            <w:tcW w:type="dxa" w:w="1984"/>
            <w:vAlign w:val="center"/>
          </w:tcPr>
          <w:p>
            <w:pPr>
              <w:spacing w:after="60" w:before="40"/>
            </w:pPr>
            <w:r>
              <w:rPr>
                <w:sz w:val="18"/>
              </w:rPr>
              <w:t>1,4 l/100 km / 0,60</w:t>
            </w:r>
          </w:p>
        </w:tc>
        <w:tc>
          <w:tcPr>
            <w:tcW w:type="dxa" w:w="1984"/>
            <w:vAlign w:val="center"/>
          </w:tcPr>
          <w:p>
            <w:pPr>
              <w:spacing w:after="60" w:before="40"/>
            </w:pPr>
            <w:r>
              <w:rPr>
                <w:sz w:val="18"/>
              </w:rPr>
              <w:t>entfällt</w:t>
            </w:r>
          </w:p>
        </w:tc>
        <w:tc>
          <w:tcPr>
            <w:tcW w:type="dxa" w:w="2381"/>
            <w:vAlign w:val="center"/>
          </w:tcPr>
          <w:p>
            <w:pPr>
              <w:spacing w:after="60" w:before="40"/>
            </w:pPr>
            <w:r>
              <w:rPr>
                <w:sz w:val="18"/>
              </w:rPr>
              <w:t>l/100 km; EUR/l</w:t>
            </w:r>
          </w:p>
        </w:tc>
      </w:tr>
      <w:tr>
        <w:trPr>
          <w:cantSplit/>
        </w:trPr>
        <w:tc>
          <w:tcPr>
            <w:tcW w:type="dxa" w:w="3572"/>
            <w:vAlign w:val="center"/>
          </w:tcPr>
          <w:p>
            <w:pPr>
              <w:spacing w:after="60" w:before="40"/>
            </w:pPr>
            <w:r>
              <w:rPr>
                <w:sz w:val="18"/>
              </w:rPr>
              <w:t>Wartung/Reparatur; Reifen</w:t>
            </w:r>
          </w:p>
        </w:tc>
        <w:tc>
          <w:tcPr>
            <w:tcW w:type="dxa" w:w="1984"/>
            <w:vAlign w:val="center"/>
          </w:tcPr>
          <w:p>
            <w:pPr>
              <w:spacing w:after="60" w:before="40"/>
            </w:pPr>
            <w:r>
              <w:rPr>
                <w:sz w:val="18"/>
              </w:rPr>
              <w:t>0,100; 0,035</w:t>
            </w:r>
          </w:p>
        </w:tc>
        <w:tc>
          <w:tcPr>
            <w:tcW w:type="dxa" w:w="1984"/>
            <w:vAlign w:val="center"/>
          </w:tcPr>
          <w:p>
            <w:pPr>
              <w:spacing w:after="60" w:before="40"/>
            </w:pPr>
            <w:r>
              <w:rPr>
                <w:sz w:val="18"/>
              </w:rPr>
              <w:t>0,070; 0,040</w:t>
            </w:r>
          </w:p>
        </w:tc>
        <w:tc>
          <w:tcPr>
            <w:tcW w:type="dxa" w:w="2381"/>
            <w:vAlign w:val="center"/>
          </w:tcPr>
          <w:p>
            <w:pPr>
              <w:spacing w:after="60" w:before="40"/>
            </w:pPr>
            <w:r>
              <w:rPr>
                <w:sz w:val="18"/>
              </w:rPr>
              <w:t>EUR/km; ganzer Zug, ohne Kapital/Infra.</w:t>
            </w:r>
          </w:p>
        </w:tc>
      </w:tr>
      <w:tr>
        <w:trPr>
          <w:cantSplit/>
        </w:trPr>
        <w:tc>
          <w:tcPr>
            <w:tcW w:type="dxa" w:w="3572"/>
            <w:vAlign w:val="center"/>
          </w:tcPr>
          <w:p>
            <w:pPr>
              <w:spacing w:after="60" w:before="40"/>
            </w:pPr>
            <w:r>
              <w:rPr>
                <w:sz w:val="18"/>
              </w:rPr>
              <w:t>Versicherung / Steuer / Verwaltung</w:t>
            </w:r>
          </w:p>
        </w:tc>
        <w:tc>
          <w:tcPr>
            <w:tcW w:type="dxa" w:w="1984"/>
            <w:vAlign w:val="center"/>
          </w:tcPr>
          <w:p>
            <w:pPr>
              <w:spacing w:after="60" w:before="40"/>
            </w:pPr>
            <w:r>
              <w:rPr>
                <w:sz w:val="18"/>
              </w:rPr>
              <w:t>4.000 / 556 / 1.800</w:t>
            </w:r>
          </w:p>
        </w:tc>
        <w:tc>
          <w:tcPr>
            <w:tcW w:type="dxa" w:w="1984"/>
            <w:vAlign w:val="center"/>
          </w:tcPr>
          <w:p>
            <w:pPr>
              <w:spacing w:after="60" w:before="40"/>
            </w:pPr>
            <w:r>
              <w:rPr>
                <w:sz w:val="18"/>
              </w:rPr>
              <w:t>5.500 / 0 / 1.800</w:t>
            </w:r>
          </w:p>
        </w:tc>
        <w:tc>
          <w:tcPr>
            <w:tcW w:type="dxa" w:w="2381"/>
            <w:vAlign w:val="center"/>
          </w:tcPr>
          <w:p>
            <w:pPr>
              <w:spacing w:after="60" w:before="40"/>
            </w:pPr>
            <w:r>
              <w:rPr>
                <w:sz w:val="18"/>
              </w:rPr>
              <w:t>EUR/Jahr; Steuerwerte A, fallbezogen prüfen</w:t>
            </w:r>
          </w:p>
        </w:tc>
      </w:tr>
      <w:tr>
        <w:trPr>
          <w:cantSplit/>
        </w:trPr>
        <w:tc>
          <w:tcPr>
            <w:tcW w:type="dxa" w:w="3572"/>
            <w:vAlign w:val="center"/>
          </w:tcPr>
          <w:p>
            <w:pPr>
              <w:spacing w:after="60" w:before="40"/>
            </w:pPr>
            <w:r>
              <w:rPr>
                <w:sz w:val="18"/>
              </w:rPr>
              <w:t>Mautpflichtiger Distanzanteil</w:t>
            </w:r>
          </w:p>
        </w:tc>
        <w:tc>
          <w:tcPr>
            <w:tcW w:type="dxa" w:w="1984"/>
            <w:vAlign w:val="center"/>
          </w:tcPr>
          <w:p>
            <w:pPr>
              <w:spacing w:after="60" w:before="40"/>
            </w:pPr>
            <w:r>
              <w:rPr>
                <w:sz w:val="18"/>
              </w:rPr>
              <w:t>80 %</w:t>
            </w:r>
          </w:p>
        </w:tc>
        <w:tc>
          <w:tcPr>
            <w:tcW w:type="dxa" w:w="1984"/>
            <w:vAlign w:val="center"/>
          </w:tcPr>
          <w:p>
            <w:pPr>
              <w:spacing w:after="60" w:before="40"/>
            </w:pPr>
            <w:r>
              <w:rPr>
                <w:sz w:val="18"/>
              </w:rPr>
              <w:t>80 %</w:t>
            </w:r>
          </w:p>
        </w:tc>
        <w:tc>
          <w:tcPr>
            <w:tcW w:type="dxa" w:w="2381"/>
            <w:vAlign w:val="center"/>
          </w:tcPr>
          <w:p>
            <w:pPr>
              <w:spacing w:after="60" w:before="40"/>
            </w:pPr>
            <w:r>
              <w:rPr>
                <w:sz w:val="18"/>
              </w:rPr>
              <w:t>BEV aktuell befreit; nicht Anteil der Lastfahrt</w:t>
            </w:r>
          </w:p>
        </w:tc>
      </w:tr>
    </w:tbl>
    <w:p>
      <w:pPr>
        <w:pStyle w:val="Heading2"/>
      </w:pPr>
      <w:r>
        <w:t>Operative Plausibilität</w:t>
      </w:r>
    </w:p>
    <w:p>
      <w:r>
        <w:t>Der Quotient L/Hᵥ = 50 km/h ist ein Einsatzzeit-Verhältnis inklusive Stopps, nicht die technische Fahrgeschwindigkeit. Für BEV wird ausreichendes nächtliches Depotladen unterstellt; kein zusätzlicher bezahlter Personalbedarf gegenüber Diesel. Diese Setzung ist bei anderen Tagesfahrleistungen und Ladeplänen zu prüfen.</w:t>
      </w:r>
    </w:p>
    <w:p>
      <w:r>
        <w:rPr>
          <w:i/>
          <w:color w:val="526775"/>
          <w:sz w:val="18"/>
        </w:rPr>
        <w:t>Konstante Werte in EUR 2026, daher realer Zinssatz. Die Nutzlastannahmen vermeiden im Beispiel zusätzliche Fahrten durch Kapazitätsunterschiede; bei höherem Ladungsgewicht muss das Modell diese Wirkung endogen abbilden.</w:t>
      </w:r>
    </w:p>
    <w:p>
      <w:r>
        <w:br w:type="page"/>
      </w:r>
    </w:p>
    <w:p>
      <w:pPr>
        <w:pStyle w:val="Subtitle"/>
      </w:pPr>
      <w:r>
        <w:t>BEISPIEL 1 · Technischer Steckbrief</w:t>
      </w:r>
    </w:p>
    <w:p>
      <w:pPr>
        <w:pStyle w:val="Heading1"/>
      </w:pPr>
      <w:r>
        <w:t>8  Beispiel 1: Diesel-Fernverkehrs-Lkw</w:t>
      </w:r>
    </w:p>
    <w:p>
      <w:pPr>
        <w:pStyle w:val="Heading2"/>
      </w:pPr>
      <w:r>
        <w:t>8.1  Referenz und Antriebssystem</w:t>
      </w:r>
    </w:p>
    <w:p>
      <w:r>
        <w:t>Referenz: Mercedes-Benz Actros L mit ProCabin und OM-471-Motor, als 4×2-Sattelzugmaschine modelliert. Die aktuelle Generation wird seit Dezember 2024 produziert. Der OM 471 ist ein 12,8-l-Dieselmotor; weitere Motorisierungen werden angeboten [Q2].</w:t>
      </w:r>
    </w:p>
    <w:p>
      <w:r>
        <w:t>Der Verbrennungsmotor liefert mechanische Arbeit über automatisiertes Getriebe und Antriebsachse. Diesel wird im Tank gespeichert; zusätzlich wird AdBlue für die Abgasnachbehandlung benötigt. Die Kostenbeschreibung unterscheidet den Kraftstoffverbrauch vom AdBlue-Verbrauch sowie Antriebs-, Reifen- und Abgasnachbehandlungswartung. Konkrete Tankgröße, Leergewicht und genehmigte Nutzlast müssen für die bestellte Ausführung belegt werden.</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3005"/>
            <w:vAlign w:val="center"/>
          </w:tcPr>
          <w:p>
            <w:pPr>
              <w:spacing w:after="60" w:before="40"/>
            </w:pPr>
            <w:r>
              <w:rPr>
                <w:b/>
                <w:color w:val="173B4B"/>
                <w:sz w:val="18"/>
              </w:rPr>
              <w:t>Parameter</w:t>
            </w:r>
          </w:p>
        </w:tc>
        <w:tc>
          <w:tcPr>
            <w:tcW w:type="dxa" w:w="4706"/>
            <w:vAlign w:val="center"/>
          </w:tcPr>
          <w:p>
            <w:pPr>
              <w:spacing w:after="60" w:before="40"/>
            </w:pPr>
            <w:r>
              <w:rPr>
                <w:b/>
                <w:color w:val="173B4B"/>
                <w:sz w:val="18"/>
              </w:rPr>
              <w:t>Wert / Beschreibung</w:t>
            </w:r>
          </w:p>
        </w:tc>
        <w:tc>
          <w:tcPr>
            <w:tcW w:type="dxa" w:w="2211"/>
            <w:vAlign w:val="center"/>
          </w:tcPr>
          <w:p>
            <w:pPr>
              <w:spacing w:after="60" w:before="40"/>
            </w:pPr>
            <w:r>
              <w:rPr>
                <w:b/>
                <w:color w:val="173B4B"/>
                <w:sz w:val="18"/>
              </w:rPr>
              <w:t>Status / Beleg</w:t>
            </w:r>
          </w:p>
        </w:tc>
      </w:tr>
      <w:tr>
        <w:trPr>
          <w:cantSplit/>
        </w:trPr>
        <w:tc>
          <w:tcPr>
            <w:tcW w:type="dxa" w:w="3005"/>
            <w:vAlign w:val="center"/>
          </w:tcPr>
          <w:p>
            <w:pPr>
              <w:spacing w:after="60" w:before="40"/>
            </w:pPr>
            <w:r>
              <w:rPr>
                <w:sz w:val="18"/>
              </w:rPr>
              <w:t>Baureihe / Markt</w:t>
            </w:r>
          </w:p>
        </w:tc>
        <w:tc>
          <w:tcPr>
            <w:tcW w:type="dxa" w:w="4706"/>
            <w:vAlign w:val="center"/>
          </w:tcPr>
          <w:p>
            <w:pPr>
              <w:spacing w:after="60" w:before="40"/>
            </w:pPr>
            <w:r>
              <w:rPr>
                <w:sz w:val="18"/>
              </w:rPr>
              <w:t>Actros L ProCabin; europäischer Fernverkehr</w:t>
            </w:r>
          </w:p>
        </w:tc>
        <w:tc>
          <w:tcPr>
            <w:tcW w:type="dxa" w:w="2211"/>
            <w:vAlign w:val="center"/>
          </w:tcPr>
          <w:p>
            <w:pPr>
              <w:spacing w:after="60" w:before="40"/>
            </w:pPr>
            <w:r>
              <w:rPr>
                <w:sz w:val="18"/>
              </w:rPr>
              <w:t>H [Q2]</w:t>
            </w:r>
          </w:p>
        </w:tc>
      </w:tr>
      <w:tr>
        <w:trPr>
          <w:cantSplit/>
        </w:trPr>
        <w:tc>
          <w:tcPr>
            <w:tcW w:type="dxa" w:w="3005"/>
            <w:vAlign w:val="center"/>
          </w:tcPr>
          <w:p>
            <w:pPr>
              <w:spacing w:after="60" w:before="40"/>
            </w:pPr>
            <w:r>
              <w:rPr>
                <w:sz w:val="18"/>
              </w:rPr>
              <w:t>Motor / Hubraum</w:t>
            </w:r>
          </w:p>
        </w:tc>
        <w:tc>
          <w:tcPr>
            <w:tcW w:type="dxa" w:w="4706"/>
            <w:vAlign w:val="center"/>
          </w:tcPr>
          <w:p>
            <w:pPr>
              <w:spacing w:after="60" w:before="40"/>
            </w:pPr>
            <w:r>
              <w:rPr>
                <w:sz w:val="18"/>
              </w:rPr>
              <w:t>OM 471, dritte Generation; 12,8 l</w:t>
            </w:r>
          </w:p>
        </w:tc>
        <w:tc>
          <w:tcPr>
            <w:tcW w:type="dxa" w:w="2211"/>
            <w:vAlign w:val="center"/>
          </w:tcPr>
          <w:p>
            <w:pPr>
              <w:spacing w:after="60" w:before="40"/>
            </w:pPr>
            <w:r>
              <w:rPr>
                <w:sz w:val="18"/>
              </w:rPr>
              <w:t>H [Q2]</w:t>
            </w:r>
          </w:p>
        </w:tc>
      </w:tr>
      <w:tr>
        <w:trPr>
          <w:cantSplit/>
        </w:trPr>
        <w:tc>
          <w:tcPr>
            <w:tcW w:type="dxa" w:w="3005"/>
            <w:vAlign w:val="center"/>
          </w:tcPr>
          <w:p>
            <w:pPr>
              <w:spacing w:after="60" w:before="40"/>
            </w:pPr>
            <w:r>
              <w:rPr>
                <w:sz w:val="18"/>
              </w:rPr>
              <w:t>Achsformel / Zugmasse im Modell</w:t>
            </w:r>
          </w:p>
        </w:tc>
        <w:tc>
          <w:tcPr>
            <w:tcW w:type="dxa" w:w="4706"/>
            <w:vAlign w:val="center"/>
          </w:tcPr>
          <w:p>
            <w:pPr>
              <w:spacing w:after="60" w:before="40"/>
            </w:pPr>
            <w:r>
              <w:rPr>
                <w:sz w:val="18"/>
              </w:rPr>
              <w:t>4×2; 40 t Gesamtzugmasse</w:t>
            </w:r>
          </w:p>
        </w:tc>
        <w:tc>
          <w:tcPr>
            <w:tcW w:type="dxa" w:w="2211"/>
            <w:vAlign w:val="center"/>
          </w:tcPr>
          <w:p>
            <w:pPr>
              <w:spacing w:after="60" w:before="40"/>
            </w:pPr>
            <w:r>
              <w:rPr>
                <w:sz w:val="18"/>
              </w:rPr>
              <w:t>A; Referenzkonfiguration</w:t>
            </w:r>
          </w:p>
        </w:tc>
      </w:tr>
      <w:tr>
        <w:trPr>
          <w:cantSplit/>
        </w:trPr>
        <w:tc>
          <w:tcPr>
            <w:tcW w:type="dxa" w:w="3005"/>
            <w:vAlign w:val="center"/>
          </w:tcPr>
          <w:p>
            <w:pPr>
              <w:spacing w:after="60" w:before="40"/>
            </w:pPr>
            <w:r>
              <w:rPr>
                <w:sz w:val="18"/>
              </w:rPr>
              <w:t>Abgas-/CO₂-Mautklasse im Modell</w:t>
            </w:r>
          </w:p>
        </w:tc>
        <w:tc>
          <w:tcPr>
            <w:tcW w:type="dxa" w:w="4706"/>
            <w:vAlign w:val="center"/>
          </w:tcPr>
          <w:p>
            <w:pPr>
              <w:spacing w:after="60" w:before="40"/>
            </w:pPr>
            <w:r>
              <w:rPr>
                <w:sz w:val="18"/>
              </w:rPr>
              <w:t>Euro VI; CO₂-Klasse 1 als Basisszenario</w:t>
            </w:r>
          </w:p>
        </w:tc>
        <w:tc>
          <w:tcPr>
            <w:tcW w:type="dxa" w:w="2211"/>
            <w:vAlign w:val="center"/>
          </w:tcPr>
          <w:p>
            <w:pPr>
              <w:spacing w:after="60" w:before="40"/>
            </w:pPr>
            <w:r>
              <w:rPr>
                <w:sz w:val="18"/>
              </w:rPr>
              <w:t>A; tatsächliche CIF/COC-Klasse prüfen</w:t>
            </w:r>
          </w:p>
        </w:tc>
      </w:tr>
      <w:tr>
        <w:trPr>
          <w:cantSplit/>
        </w:trPr>
        <w:tc>
          <w:tcPr>
            <w:tcW w:type="dxa" w:w="3005"/>
            <w:vAlign w:val="center"/>
          </w:tcPr>
          <w:p>
            <w:pPr>
              <w:spacing w:after="60" w:before="40"/>
            </w:pPr>
            <w:r>
              <w:rPr>
                <w:sz w:val="18"/>
              </w:rPr>
              <w:t>Tankvolumen / nutzbarer Anteil</w:t>
            </w:r>
          </w:p>
        </w:tc>
        <w:tc>
          <w:tcPr>
            <w:tcW w:type="dxa" w:w="4706"/>
            <w:vAlign w:val="center"/>
          </w:tcPr>
          <w:p>
            <w:pPr>
              <w:spacing w:after="60" w:before="40"/>
            </w:pPr>
            <w:r>
              <w:rPr>
                <w:sz w:val="18"/>
              </w:rPr>
              <w:t>1.000 l / 90 %</w:t>
            </w:r>
          </w:p>
        </w:tc>
        <w:tc>
          <w:tcPr>
            <w:tcW w:type="dxa" w:w="2211"/>
            <w:vAlign w:val="center"/>
          </w:tcPr>
          <w:p>
            <w:pPr>
              <w:spacing w:after="60" w:before="40"/>
            </w:pPr>
            <w:r>
              <w:rPr>
                <w:sz w:val="18"/>
              </w:rPr>
              <w:t>A; kein spezifischer Ausstattungsnachweis</w:t>
            </w:r>
          </w:p>
        </w:tc>
      </w:tr>
      <w:tr>
        <w:trPr>
          <w:cantSplit/>
        </w:trPr>
        <w:tc>
          <w:tcPr>
            <w:tcW w:type="dxa" w:w="3005"/>
            <w:vAlign w:val="center"/>
          </w:tcPr>
          <w:p>
            <w:pPr>
              <w:spacing w:after="60" w:before="40"/>
            </w:pPr>
            <w:r>
              <w:rPr>
                <w:sz w:val="18"/>
              </w:rPr>
              <w:t>Einsatzverbrauch Diesel / AdBlue</w:t>
            </w:r>
          </w:p>
        </w:tc>
        <w:tc>
          <w:tcPr>
            <w:tcW w:type="dxa" w:w="4706"/>
            <w:vAlign w:val="center"/>
          </w:tcPr>
          <w:p>
            <w:pPr>
              <w:spacing w:after="60" w:before="40"/>
            </w:pPr>
            <w:r>
              <w:rPr>
                <w:sz w:val="18"/>
              </w:rPr>
              <w:t>28 / 1,4 l je 100 km</w:t>
            </w:r>
          </w:p>
        </w:tc>
        <w:tc>
          <w:tcPr>
            <w:tcW w:type="dxa" w:w="2211"/>
            <w:vAlign w:val="center"/>
          </w:tcPr>
          <w:p>
            <w:pPr>
              <w:spacing w:after="60" w:before="40"/>
            </w:pPr>
            <w:r>
              <w:rPr>
                <w:sz w:val="18"/>
              </w:rPr>
              <w:t>A; gemitteltes Profil</w:t>
            </w:r>
          </w:p>
        </w:tc>
      </w:tr>
      <w:tr>
        <w:trPr>
          <w:cantSplit/>
        </w:trPr>
        <w:tc>
          <w:tcPr>
            <w:tcW w:type="dxa" w:w="3005"/>
            <w:vAlign w:val="center"/>
          </w:tcPr>
          <w:p>
            <w:pPr>
              <w:spacing w:after="60" w:before="40"/>
            </w:pPr>
            <w:r>
              <w:rPr>
                <w:sz w:val="18"/>
              </w:rPr>
              <w:t>Planerische Kraftstoffreichweite</w:t>
            </w:r>
          </w:p>
        </w:tc>
        <w:tc>
          <w:tcPr>
            <w:tcW w:type="dxa" w:w="4706"/>
            <w:vAlign w:val="center"/>
          </w:tcPr>
          <w:p>
            <w:pPr>
              <w:spacing w:after="60" w:before="40"/>
            </w:pPr>
            <w:r>
              <w:rPr>
                <w:sz w:val="18"/>
              </w:rPr>
              <w:t>ca. 3.214 km = 900 / 0,28</w:t>
            </w:r>
          </w:p>
        </w:tc>
        <w:tc>
          <w:tcPr>
            <w:tcW w:type="dxa" w:w="2211"/>
            <w:vAlign w:val="center"/>
          </w:tcPr>
          <w:p>
            <w:pPr>
              <w:spacing w:after="60" w:before="40"/>
            </w:pPr>
            <w:r>
              <w:rPr>
                <w:sz w:val="18"/>
              </w:rPr>
              <w:t>R aus A; keine Lenkzeit- oder Tourenzusage</w:t>
            </w:r>
          </w:p>
        </w:tc>
      </w:tr>
      <w:tr>
        <w:trPr>
          <w:cantSplit/>
        </w:trPr>
        <w:tc>
          <w:tcPr>
            <w:tcW w:type="dxa" w:w="3005"/>
            <w:vAlign w:val="center"/>
          </w:tcPr>
          <w:p>
            <w:pPr>
              <w:spacing w:after="60" w:before="40"/>
            </w:pPr>
            <w:r>
              <w:rPr>
                <w:sz w:val="18"/>
              </w:rPr>
              <w:t>Zuladungsgrenze / Lastfahrtmasse</w:t>
            </w:r>
          </w:p>
        </w:tc>
        <w:tc>
          <w:tcPr>
            <w:tcW w:type="dxa" w:w="4706"/>
            <w:vAlign w:val="center"/>
          </w:tcPr>
          <w:p>
            <w:pPr>
              <w:spacing w:after="60" w:before="40"/>
            </w:pPr>
            <w:r>
              <w:rPr>
                <w:sz w:val="18"/>
              </w:rPr>
              <w:t>24 t / 20 t</w:t>
            </w:r>
          </w:p>
        </w:tc>
        <w:tc>
          <w:tcPr>
            <w:tcW w:type="dxa" w:w="2211"/>
            <w:vAlign w:val="center"/>
          </w:tcPr>
          <w:p>
            <w:pPr>
              <w:spacing w:after="60" w:before="40"/>
            </w:pPr>
            <w:r>
              <w:rPr>
                <w:sz w:val="18"/>
              </w:rPr>
              <w:t>A; Konfiguration und Achslasten prüfen</w:t>
            </w:r>
          </w:p>
        </w:tc>
      </w:tr>
      <w:tr>
        <w:trPr>
          <w:cantSplit/>
        </w:trPr>
        <w:tc>
          <w:tcPr>
            <w:tcW w:type="dxa" w:w="3005"/>
            <w:vAlign w:val="center"/>
          </w:tcPr>
          <w:p>
            <w:pPr>
              <w:spacing w:after="60" w:before="40"/>
            </w:pPr>
            <w:r>
              <w:rPr>
                <w:sz w:val="18"/>
              </w:rPr>
              <w:t>Depotvoraussetzung</w:t>
            </w:r>
          </w:p>
        </w:tc>
        <w:tc>
          <w:tcPr>
            <w:tcW w:type="dxa" w:w="4706"/>
            <w:vAlign w:val="center"/>
          </w:tcPr>
          <w:p>
            <w:pPr>
              <w:spacing w:after="60" w:before="40"/>
            </w:pPr>
            <w:r>
              <w:rPr>
                <w:sz w:val="18"/>
              </w:rPr>
              <w:t>Konventionelle Tankversorgung; keine eigene neue Tankanlage</w:t>
            </w:r>
          </w:p>
        </w:tc>
        <w:tc>
          <w:tcPr>
            <w:tcW w:type="dxa" w:w="2211"/>
            <w:vAlign w:val="center"/>
          </w:tcPr>
          <w:p>
            <w:pPr>
              <w:spacing w:after="60" w:before="40"/>
            </w:pPr>
            <w:r>
              <w:rPr>
                <w:sz w:val="18"/>
              </w:rPr>
              <w:t>A; Betankungszeit im Einsatzprofil enthalten</w:t>
            </w:r>
          </w:p>
        </w:tc>
      </w:tr>
    </w:tbl>
    <w:p>
      <w:pPr>
        <w:pStyle w:val="Heading2"/>
      </w:pPr>
      <w:r>
        <w:t>8.2  Kurze Modellliste Diesel</w:t>
      </w:r>
    </w:p>
    <w:p>
      <w:r>
        <w:t>• Mercedes-Benz Actros L ProCabin / OM 471: aktuelles Serienangebot [Q2].</w:t>
        <w:br/>
        <w:t>• Volvo FH Aero Diesel: vom Hersteller als Diesel-, Gas- und Elektroplattform angeboten [Q6].</w:t>
      </w:r>
    </w:p>
    <w:p>
      <w:pPr>
        <w:pStyle w:val="Heading2"/>
      </w:pPr>
      <w:r>
        <w:t>8.3  Kostenbesonderheiten</w:t>
      </w:r>
    </w:p>
    <w:p>
      <w:r>
        <w:t>Maut wird als Referenz mit 0,348 EUR je mautpflichtigem km für &gt;18 t, mindestens fünf Achsen, Euro VI und CO₂-Klasse 1 angesetzt [Q11]. Bei 80 % mautpflichtiger Fahrleistung entstehen 0,2784 EUR je Gesamt-km. Eine bessere CO₂-Klasse oder andere Länder verändert diesen Satz; ProCabin ist nicht automatisch Klasse 1.</w:t>
      </w:r>
    </w:p>
    <w:p>
      <w:r>
        <w:rPr>
          <w:i/>
          <w:color w:val="526775"/>
          <w:sz w:val="18"/>
        </w:rPr>
        <w:t>Kaufpreis 120.000 EUR, Verbrauch und Betriebsstoffkosten sind A. Sie dürfen nicht als Herstellerangaben oder als aktuelles Händlerangebot zitiert werden.</w:t>
      </w:r>
    </w:p>
    <w:p>
      <w:r>
        <w:br w:type="page"/>
      </w:r>
    </w:p>
    <w:p>
      <w:pPr>
        <w:pStyle w:val="Subtitle"/>
      </w:pPr>
      <w:r>
        <w:t>BEISPIEL 1 · Standardisierte Eingangsgrößen</w:t>
      </w:r>
    </w:p>
    <w:p>
      <w:pPr>
        <w:pStyle w:val="Heading1"/>
      </w:pPr>
      <w:r>
        <w:t>9  Beispiel 1: Lebensdauern und Ökonomie</w:t>
      </w:r>
    </w:p>
    <w:p>
      <w:r>
        <w:t>Die folgenden Lebensdauern sind bewusst gesetzte Planungsannahmen A. Es liegen hierfür keine fahrzeugspezifischen Ausfallstatistiken oder verifizierten OEM-Austauschpreise vor. Grenzen sind keine Zusicherung einer wartungsfreien Laufzeit.</w:t>
      </w:r>
    </w:p>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2211"/>
            <w:vAlign w:val="center"/>
          </w:tcPr>
          <w:p>
            <w:pPr>
              <w:spacing w:after="60" w:before="40"/>
            </w:pPr>
            <w:r>
              <w:rPr>
                <w:b/>
                <w:color w:val="173B4B"/>
                <w:sz w:val="18"/>
              </w:rPr>
              <w:t>Teilsystem</w:t>
            </w:r>
          </w:p>
        </w:tc>
        <w:tc>
          <w:tcPr>
            <w:tcW w:type="dxa" w:w="2438"/>
            <w:vAlign w:val="center"/>
          </w:tcPr>
          <w:p>
            <w:pPr>
              <w:spacing w:after="60" w:before="40"/>
            </w:pPr>
            <w:r>
              <w:rPr>
                <w:b/>
                <w:color w:val="173B4B"/>
                <w:sz w:val="18"/>
              </w:rPr>
              <w:t>Technische Planungsgrenze A</w:t>
            </w:r>
          </w:p>
        </w:tc>
        <w:tc>
          <w:tcPr>
            <w:tcW w:type="dxa" w:w="2098"/>
            <w:vAlign w:val="center"/>
          </w:tcPr>
          <w:p>
            <w:pPr>
              <w:spacing w:after="60" w:before="40"/>
            </w:pPr>
            <w:r>
              <w:rPr>
                <w:b/>
                <w:color w:val="173B4B"/>
                <w:sz w:val="18"/>
              </w:rPr>
              <w:t>Tausch-/Reparaturwert A</w:t>
            </w:r>
          </w:p>
        </w:tc>
        <w:tc>
          <w:tcPr>
            <w:tcW w:type="dxa" w:w="3175"/>
            <w:vAlign w:val="center"/>
          </w:tcPr>
          <w:p>
            <w:pPr>
              <w:spacing w:after="60" w:before="40"/>
            </w:pPr>
            <w:r>
              <w:rPr>
                <w:b/>
                <w:color w:val="173B4B"/>
                <w:sz w:val="18"/>
              </w:rPr>
              <w:t>Behandlung im Basisfall</w:t>
            </w:r>
          </w:p>
        </w:tc>
      </w:tr>
      <w:tr>
        <w:trPr>
          <w:cantSplit/>
        </w:trPr>
        <w:tc>
          <w:tcPr>
            <w:tcW w:type="dxa" w:w="2211"/>
            <w:vAlign w:val="center"/>
          </w:tcPr>
          <w:p>
            <w:pPr>
              <w:spacing w:after="60" w:before="40"/>
            </w:pPr>
            <w:r>
              <w:rPr>
                <w:sz w:val="18"/>
              </w:rPr>
              <w:t>Chassis / Kabine</w:t>
            </w:r>
          </w:p>
        </w:tc>
        <w:tc>
          <w:tcPr>
            <w:tcW w:type="dxa" w:w="2438"/>
            <w:vAlign w:val="center"/>
          </w:tcPr>
          <w:p>
            <w:pPr>
              <w:spacing w:after="60" w:before="40"/>
            </w:pPr>
            <w:r>
              <w:rPr>
                <w:sz w:val="18"/>
              </w:rPr>
              <w:t>12 Jahre oder 1,2 Mio. km</w:t>
            </w:r>
          </w:p>
        </w:tc>
        <w:tc>
          <w:tcPr>
            <w:tcW w:type="dxa" w:w="2098"/>
            <w:vAlign w:val="center"/>
          </w:tcPr>
          <w:p>
            <w:pPr>
              <w:spacing w:after="60" w:before="40"/>
            </w:pPr>
            <w:r>
              <w:rPr>
                <w:sz w:val="18"/>
              </w:rPr>
              <w:t>kein Vollersatz im Modell</w:t>
            </w:r>
          </w:p>
        </w:tc>
        <w:tc>
          <w:tcPr>
            <w:tcW w:type="dxa" w:w="3175"/>
            <w:vAlign w:val="center"/>
          </w:tcPr>
          <w:p>
            <w:pPr>
              <w:spacing w:after="60" w:before="40"/>
            </w:pPr>
            <w:r>
              <w:rPr>
                <w:sz w:val="18"/>
              </w:rPr>
              <w:t>Fahrzeug wird wirtschaftlich nach 8 Jahren veräußert</w:t>
            </w:r>
          </w:p>
        </w:tc>
      </w:tr>
      <w:tr>
        <w:trPr>
          <w:cantSplit/>
        </w:trPr>
        <w:tc>
          <w:tcPr>
            <w:tcW w:type="dxa" w:w="2211"/>
            <w:vAlign w:val="center"/>
          </w:tcPr>
          <w:p>
            <w:pPr>
              <w:spacing w:after="60" w:before="40"/>
            </w:pPr>
            <w:r>
              <w:rPr>
                <w:sz w:val="18"/>
              </w:rPr>
              <w:t>Dieselmotor</w:t>
            </w:r>
          </w:p>
        </w:tc>
        <w:tc>
          <w:tcPr>
            <w:tcW w:type="dxa" w:w="2438"/>
            <w:vAlign w:val="center"/>
          </w:tcPr>
          <w:p>
            <w:pPr>
              <w:spacing w:after="60" w:before="40"/>
            </w:pPr>
            <w:r>
              <w:rPr>
                <w:sz w:val="18"/>
              </w:rPr>
              <w:t>10 Jahre oder 1,0 Mio. km</w:t>
            </w:r>
          </w:p>
        </w:tc>
        <w:tc>
          <w:tcPr>
            <w:tcW w:type="dxa" w:w="2098"/>
            <w:vAlign w:val="center"/>
          </w:tcPr>
          <w:p>
            <w:pPr>
              <w:spacing w:after="60" w:before="40"/>
            </w:pPr>
            <w:r>
              <w:rPr>
                <w:sz w:val="18"/>
              </w:rPr>
              <w:t>35.000 EUR</w:t>
            </w:r>
          </w:p>
        </w:tc>
        <w:tc>
          <w:tcPr>
            <w:tcW w:type="dxa" w:w="3175"/>
            <w:vAlign w:val="center"/>
          </w:tcPr>
          <w:p>
            <w:pPr>
              <w:spacing w:after="60" w:before="40"/>
            </w:pPr>
            <w:r>
              <w:rPr>
                <w:sz w:val="18"/>
              </w:rPr>
              <w:t>Kein geplanter Austausch bis Jahr 8 / 800.000 km</w:t>
            </w:r>
          </w:p>
        </w:tc>
      </w:tr>
      <w:tr>
        <w:trPr>
          <w:cantSplit/>
        </w:trPr>
        <w:tc>
          <w:tcPr>
            <w:tcW w:type="dxa" w:w="2211"/>
            <w:vAlign w:val="center"/>
          </w:tcPr>
          <w:p>
            <w:pPr>
              <w:spacing w:after="60" w:before="40"/>
            </w:pPr>
            <w:r>
              <w:rPr>
                <w:sz w:val="18"/>
              </w:rPr>
              <w:t>Getriebe / Antriebsachse</w:t>
            </w:r>
          </w:p>
        </w:tc>
        <w:tc>
          <w:tcPr>
            <w:tcW w:type="dxa" w:w="2438"/>
            <w:vAlign w:val="center"/>
          </w:tcPr>
          <w:p>
            <w:pPr>
              <w:spacing w:after="60" w:before="40"/>
            </w:pPr>
            <w:r>
              <w:rPr>
                <w:sz w:val="18"/>
              </w:rPr>
              <w:t>10 Jahre oder 1,0 Mio. km</w:t>
            </w:r>
          </w:p>
        </w:tc>
        <w:tc>
          <w:tcPr>
            <w:tcW w:type="dxa" w:w="2098"/>
            <w:vAlign w:val="center"/>
          </w:tcPr>
          <w:p>
            <w:pPr>
              <w:spacing w:after="60" w:before="40"/>
            </w:pPr>
            <w:r>
              <w:rPr>
                <w:sz w:val="18"/>
              </w:rPr>
              <w:t>12.000 EUR</w:t>
            </w:r>
          </w:p>
        </w:tc>
        <w:tc>
          <w:tcPr>
            <w:tcW w:type="dxa" w:w="3175"/>
            <w:vAlign w:val="center"/>
          </w:tcPr>
          <w:p>
            <w:pPr>
              <w:spacing w:after="60" w:before="40"/>
            </w:pPr>
            <w:r>
              <w:rPr>
                <w:sz w:val="18"/>
              </w:rPr>
              <w:t>Kein geplanter Austausch im Horizont</w:t>
            </w:r>
          </w:p>
        </w:tc>
      </w:tr>
      <w:tr>
        <w:trPr>
          <w:cantSplit/>
        </w:trPr>
        <w:tc>
          <w:tcPr>
            <w:tcW w:type="dxa" w:w="2211"/>
            <w:vAlign w:val="center"/>
          </w:tcPr>
          <w:p>
            <w:pPr>
              <w:spacing w:after="60" w:before="40"/>
            </w:pPr>
            <w:r>
              <w:rPr>
                <w:sz w:val="18"/>
              </w:rPr>
              <w:t>Abgasnachbehandlung</w:t>
            </w:r>
          </w:p>
        </w:tc>
        <w:tc>
          <w:tcPr>
            <w:tcW w:type="dxa" w:w="2438"/>
            <w:vAlign w:val="center"/>
          </w:tcPr>
          <w:p>
            <w:pPr>
              <w:spacing w:after="60" w:before="40"/>
            </w:pPr>
            <w:r>
              <w:rPr>
                <w:sz w:val="18"/>
              </w:rPr>
              <w:t>6 Jahre oder 600.000 km</w:t>
            </w:r>
          </w:p>
        </w:tc>
        <w:tc>
          <w:tcPr>
            <w:tcW w:type="dxa" w:w="2098"/>
            <w:vAlign w:val="center"/>
          </w:tcPr>
          <w:p>
            <w:pPr>
              <w:spacing w:after="60" w:before="40"/>
            </w:pPr>
            <w:r>
              <w:rPr>
                <w:sz w:val="18"/>
              </w:rPr>
              <w:t>4.000 EUR</w:t>
            </w:r>
          </w:p>
        </w:tc>
        <w:tc>
          <w:tcPr>
            <w:tcW w:type="dxa" w:w="3175"/>
            <w:vAlign w:val="center"/>
          </w:tcPr>
          <w:p>
            <w:pPr>
              <w:spacing w:after="60" w:before="40"/>
            </w:pPr>
            <w:r>
              <w:rPr>
                <w:sz w:val="18"/>
              </w:rPr>
              <w:t>Erwartungsreserve bereits in 0,10 EUR/km Wartung enthalten</w:t>
            </w:r>
          </w:p>
        </w:tc>
      </w:tr>
      <w:tr>
        <w:trPr>
          <w:cantSplit/>
        </w:trPr>
        <w:tc>
          <w:tcPr>
            <w:tcW w:type="dxa" w:w="2211"/>
            <w:vAlign w:val="center"/>
          </w:tcPr>
          <w:p>
            <w:pPr>
              <w:spacing w:after="60" w:before="40"/>
            </w:pPr>
            <w:r>
              <w:rPr>
                <w:sz w:val="18"/>
              </w:rPr>
              <w:t>Niedervolt-Starterbatterie</w:t>
            </w:r>
          </w:p>
        </w:tc>
        <w:tc>
          <w:tcPr>
            <w:tcW w:type="dxa" w:w="2438"/>
            <w:vAlign w:val="center"/>
          </w:tcPr>
          <w:p>
            <w:pPr>
              <w:spacing w:after="60" w:before="40"/>
            </w:pPr>
            <w:r>
              <w:rPr>
                <w:sz w:val="18"/>
              </w:rPr>
              <w:t>4 Jahre</w:t>
            </w:r>
          </w:p>
        </w:tc>
        <w:tc>
          <w:tcPr>
            <w:tcW w:type="dxa" w:w="2098"/>
            <w:vAlign w:val="center"/>
          </w:tcPr>
          <w:p>
            <w:pPr>
              <w:spacing w:after="60" w:before="40"/>
            </w:pPr>
            <w:r>
              <w:rPr>
                <w:sz w:val="18"/>
              </w:rPr>
              <w:t>600 EUR</w:t>
            </w:r>
          </w:p>
        </w:tc>
        <w:tc>
          <w:tcPr>
            <w:tcW w:type="dxa" w:w="3175"/>
            <w:vAlign w:val="center"/>
          </w:tcPr>
          <w:p>
            <w:pPr>
              <w:spacing w:after="60" w:before="40"/>
            </w:pPr>
            <w:r>
              <w:rPr>
                <w:sz w:val="18"/>
              </w:rPr>
              <w:t>Erwartungsreserve im Wartungssatz</w:t>
            </w:r>
          </w:p>
        </w:tc>
      </w:tr>
      <w:tr>
        <w:trPr>
          <w:cantSplit/>
        </w:trPr>
        <w:tc>
          <w:tcPr>
            <w:tcW w:type="dxa" w:w="2211"/>
            <w:vAlign w:val="center"/>
          </w:tcPr>
          <w:p>
            <w:pPr>
              <w:spacing w:after="60" w:before="40"/>
            </w:pPr>
            <w:r>
              <w:rPr>
                <w:sz w:val="18"/>
              </w:rPr>
              <w:t>Aufliegerstruktur</w:t>
            </w:r>
          </w:p>
        </w:tc>
        <w:tc>
          <w:tcPr>
            <w:tcW w:type="dxa" w:w="2438"/>
            <w:vAlign w:val="center"/>
          </w:tcPr>
          <w:p>
            <w:pPr>
              <w:spacing w:after="60" w:before="40"/>
            </w:pPr>
            <w:r>
              <w:rPr>
                <w:sz w:val="18"/>
              </w:rPr>
              <w:t>12 Jahre oder 1,2 Mio. km</w:t>
            </w:r>
          </w:p>
        </w:tc>
        <w:tc>
          <w:tcPr>
            <w:tcW w:type="dxa" w:w="2098"/>
            <w:vAlign w:val="center"/>
          </w:tcPr>
          <w:p>
            <w:pPr>
              <w:spacing w:after="60" w:before="40"/>
            </w:pPr>
            <w:r>
              <w:rPr>
                <w:sz w:val="18"/>
              </w:rPr>
              <w:t>35.000 EUR Neuwert</w:t>
            </w:r>
          </w:p>
        </w:tc>
        <w:tc>
          <w:tcPr>
            <w:tcW w:type="dxa" w:w="3175"/>
            <w:vAlign w:val="center"/>
          </w:tcPr>
          <w:p>
            <w:pPr>
              <w:spacing w:after="60" w:before="40"/>
            </w:pPr>
            <w:r>
              <w:rPr>
                <w:sz w:val="18"/>
              </w:rPr>
              <w:t>Wirtschaftlich 8 Jahre; laufende Reparaturen in Wartung</w:t>
            </w:r>
          </w:p>
        </w:tc>
      </w:tr>
      <w:tr>
        <w:trPr>
          <w:cantSplit/>
        </w:trPr>
        <w:tc>
          <w:tcPr>
            <w:tcW w:type="dxa" w:w="2211"/>
            <w:vAlign w:val="center"/>
          </w:tcPr>
          <w:p>
            <w:pPr>
              <w:spacing w:after="60" w:before="40"/>
            </w:pPr>
            <w:r>
              <w:rPr>
                <w:sz w:val="18"/>
              </w:rPr>
              <w:t>Reifen</w:t>
            </w:r>
          </w:p>
        </w:tc>
        <w:tc>
          <w:tcPr>
            <w:tcW w:type="dxa" w:w="2438"/>
            <w:vAlign w:val="center"/>
          </w:tcPr>
          <w:p>
            <w:pPr>
              <w:spacing w:after="60" w:before="40"/>
            </w:pPr>
            <w:r>
              <w:rPr>
                <w:sz w:val="18"/>
              </w:rPr>
              <w:t>Verschleiß laufleistungsabhängig</w:t>
            </w:r>
          </w:p>
        </w:tc>
        <w:tc>
          <w:tcPr>
            <w:tcW w:type="dxa" w:w="2098"/>
            <w:vAlign w:val="center"/>
          </w:tcPr>
          <w:p>
            <w:pPr>
              <w:spacing w:after="60" w:before="40"/>
            </w:pPr>
            <w:r>
              <w:rPr>
                <w:sz w:val="18"/>
              </w:rPr>
              <w:t>separate Reifenkostenpauschale</w:t>
            </w:r>
          </w:p>
        </w:tc>
        <w:tc>
          <w:tcPr>
            <w:tcW w:type="dxa" w:w="3175"/>
            <w:vAlign w:val="center"/>
          </w:tcPr>
          <w:p>
            <w:pPr>
              <w:spacing w:after="60" w:before="40"/>
            </w:pPr>
            <w:r>
              <w:rPr>
                <w:sz w:val="18"/>
              </w:rPr>
              <w:t>0,035 EUR/km, Zugmaschine + Auflieger</w:t>
            </w:r>
          </w:p>
        </w:tc>
      </w:tr>
    </w:tbl>
    <w:p>
      <w:pPr>
        <w:pStyle w:val="Heading2"/>
      </w:pPr>
      <w:r>
        <w:t>9.1  Wirtschaftliche Größen</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3005"/>
            <w:vAlign w:val="center"/>
          </w:tcPr>
          <w:p>
            <w:pPr>
              <w:spacing w:after="60" w:before="40"/>
            </w:pPr>
            <w:r>
              <w:rPr>
                <w:b/>
                <w:color w:val="173B4B"/>
                <w:sz w:val="18"/>
              </w:rPr>
              <w:t>Größe</w:t>
            </w:r>
          </w:p>
        </w:tc>
        <w:tc>
          <w:tcPr>
            <w:tcW w:type="dxa" w:w="3402"/>
            <w:vAlign w:val="center"/>
          </w:tcPr>
          <w:p>
            <w:pPr>
              <w:spacing w:after="60" w:before="40"/>
            </w:pPr>
            <w:r>
              <w:rPr>
                <w:b/>
                <w:color w:val="173B4B"/>
                <w:sz w:val="18"/>
              </w:rPr>
              <w:t>Wert</w:t>
            </w:r>
          </w:p>
        </w:tc>
        <w:tc>
          <w:tcPr>
            <w:tcW w:type="dxa" w:w="3515"/>
            <w:vAlign w:val="center"/>
          </w:tcPr>
          <w:p>
            <w:pPr>
              <w:spacing w:after="60" w:before="40"/>
            </w:pPr>
            <w:r>
              <w:rPr>
                <w:b/>
                <w:color w:val="173B4B"/>
                <w:sz w:val="18"/>
              </w:rPr>
              <w:t>Status / Anmerkung</w:t>
            </w:r>
          </w:p>
        </w:tc>
      </w:tr>
      <w:tr>
        <w:trPr>
          <w:cantSplit/>
        </w:trPr>
        <w:tc>
          <w:tcPr>
            <w:tcW w:type="dxa" w:w="3005"/>
            <w:vAlign w:val="center"/>
          </w:tcPr>
          <w:p>
            <w:pPr>
              <w:spacing w:after="60" w:before="40"/>
            </w:pPr>
            <w:r>
              <w:rPr>
                <w:sz w:val="18"/>
              </w:rPr>
              <w:t>Kaufpreis / Restwert / Haltedauer</w:t>
            </w:r>
          </w:p>
        </w:tc>
        <w:tc>
          <w:tcPr>
            <w:tcW w:type="dxa" w:w="3402"/>
            <w:vAlign w:val="center"/>
          </w:tcPr>
          <w:p>
            <w:pPr>
              <w:spacing w:after="60" w:before="40"/>
            </w:pPr>
            <w:r>
              <w:rPr>
                <w:sz w:val="18"/>
              </w:rPr>
              <w:t>120.000 / 20.000 EUR / 8 Jahre</w:t>
            </w:r>
          </w:p>
        </w:tc>
        <w:tc>
          <w:tcPr>
            <w:tcW w:type="dxa" w:w="3515"/>
            <w:vAlign w:val="center"/>
          </w:tcPr>
          <w:p>
            <w:pPr>
              <w:spacing w:after="60" w:before="40"/>
            </w:pPr>
            <w:r>
              <w:rPr>
                <w:sz w:val="18"/>
              </w:rPr>
              <w:t>A; Antriebsstrang im Kaufpreis enthalten</w:t>
            </w:r>
          </w:p>
        </w:tc>
      </w:tr>
      <w:tr>
        <w:trPr>
          <w:cantSplit/>
        </w:trPr>
        <w:tc>
          <w:tcPr>
            <w:tcW w:type="dxa" w:w="3005"/>
            <w:vAlign w:val="center"/>
          </w:tcPr>
          <w:p>
            <w:pPr>
              <w:spacing w:after="60" w:before="40"/>
            </w:pPr>
            <w:r>
              <w:rPr>
                <w:sz w:val="18"/>
              </w:rPr>
              <w:t>Auflieger / Restwert / Haltedauer</w:t>
            </w:r>
          </w:p>
        </w:tc>
        <w:tc>
          <w:tcPr>
            <w:tcW w:type="dxa" w:w="3402"/>
            <w:vAlign w:val="center"/>
          </w:tcPr>
          <w:p>
            <w:pPr>
              <w:spacing w:after="60" w:before="40"/>
            </w:pPr>
            <w:r>
              <w:rPr>
                <w:sz w:val="18"/>
              </w:rPr>
              <w:t>35.000 / 7.000 EUR / 8 Jahre</w:t>
            </w:r>
          </w:p>
        </w:tc>
        <w:tc>
          <w:tcPr>
            <w:tcW w:type="dxa" w:w="3515"/>
            <w:vAlign w:val="center"/>
          </w:tcPr>
          <w:p>
            <w:pPr>
              <w:spacing w:after="60" w:before="40"/>
            </w:pPr>
            <w:r>
              <w:rPr>
                <w:sz w:val="18"/>
              </w:rPr>
              <w:t>A; gleiche Systemgrenze wie BEV</w:t>
            </w:r>
          </w:p>
        </w:tc>
      </w:tr>
      <w:tr>
        <w:trPr>
          <w:cantSplit/>
        </w:trPr>
        <w:tc>
          <w:tcPr>
            <w:tcW w:type="dxa" w:w="3005"/>
            <w:vAlign w:val="center"/>
          </w:tcPr>
          <w:p>
            <w:pPr>
              <w:spacing w:after="60" w:before="40"/>
            </w:pPr>
            <w:r>
              <w:rPr>
                <w:sz w:val="18"/>
              </w:rPr>
              <w:t>Kapitalannuität Zugmaschine</w:t>
            </w:r>
          </w:p>
        </w:tc>
        <w:tc>
          <w:tcPr>
            <w:tcW w:type="dxa" w:w="3402"/>
            <w:vAlign w:val="center"/>
          </w:tcPr>
          <w:p>
            <w:pPr>
              <w:spacing w:after="60" w:before="40"/>
            </w:pPr>
            <w:r>
              <w:rPr>
                <w:sz w:val="18"/>
              </w:rPr>
              <w:t>16.472,18 EUR/Jahr</w:t>
            </w:r>
          </w:p>
        </w:tc>
        <w:tc>
          <w:tcPr>
            <w:tcW w:type="dxa" w:w="3515"/>
            <w:vAlign w:val="center"/>
          </w:tcPr>
          <w:p>
            <w:pPr>
              <w:spacing w:after="60" w:before="40"/>
            </w:pPr>
            <w:r>
              <w:rPr>
                <w:sz w:val="18"/>
              </w:rPr>
              <w:t>R; i = 5 %</w:t>
            </w:r>
          </w:p>
        </w:tc>
      </w:tr>
      <w:tr>
        <w:trPr>
          <w:cantSplit/>
        </w:trPr>
        <w:tc>
          <w:tcPr>
            <w:tcW w:type="dxa" w:w="3005"/>
            <w:vAlign w:val="center"/>
          </w:tcPr>
          <w:p>
            <w:pPr>
              <w:spacing w:after="60" w:before="40"/>
            </w:pPr>
            <w:r>
              <w:rPr>
                <w:sz w:val="18"/>
              </w:rPr>
              <w:t>Kapitalannuität Auflieger</w:t>
            </w:r>
          </w:p>
        </w:tc>
        <w:tc>
          <w:tcPr>
            <w:tcW w:type="dxa" w:w="3402"/>
            <w:vAlign w:val="center"/>
          </w:tcPr>
          <w:p>
            <w:pPr>
              <w:spacing w:after="60" w:before="40"/>
            </w:pPr>
            <w:r>
              <w:rPr>
                <w:sz w:val="18"/>
              </w:rPr>
              <w:t>4.682,21 EUR/Jahr</w:t>
            </w:r>
          </w:p>
        </w:tc>
        <w:tc>
          <w:tcPr>
            <w:tcW w:type="dxa" w:w="3515"/>
            <w:vAlign w:val="center"/>
          </w:tcPr>
          <w:p>
            <w:pPr>
              <w:spacing w:after="60" w:before="40"/>
            </w:pPr>
            <w:r>
              <w:rPr>
                <w:sz w:val="18"/>
              </w:rPr>
              <w:t>R; i = 5 %</w:t>
            </w:r>
          </w:p>
        </w:tc>
      </w:tr>
      <w:tr>
        <w:trPr>
          <w:cantSplit/>
        </w:trPr>
        <w:tc>
          <w:tcPr>
            <w:tcW w:type="dxa" w:w="3005"/>
            <w:vAlign w:val="center"/>
          </w:tcPr>
          <w:p>
            <w:pPr>
              <w:spacing w:after="60" w:before="40"/>
            </w:pPr>
            <w:r>
              <w:rPr>
                <w:sz w:val="18"/>
              </w:rPr>
              <w:t>Versicherung / Steuer / Verwaltung</w:t>
            </w:r>
          </w:p>
        </w:tc>
        <w:tc>
          <w:tcPr>
            <w:tcW w:type="dxa" w:w="3402"/>
            <w:vAlign w:val="center"/>
          </w:tcPr>
          <w:p>
            <w:pPr>
              <w:spacing w:after="60" w:before="40"/>
            </w:pPr>
            <w:r>
              <w:rPr>
                <w:sz w:val="18"/>
              </w:rPr>
              <w:t>4.000 / 556 / 1.800 EUR/Jahr</w:t>
            </w:r>
          </w:p>
        </w:tc>
        <w:tc>
          <w:tcPr>
            <w:tcW w:type="dxa" w:w="3515"/>
            <w:vAlign w:val="center"/>
          </w:tcPr>
          <w:p>
            <w:pPr>
              <w:spacing w:after="60" w:before="40"/>
            </w:pPr>
            <w:r>
              <w:rPr>
                <w:sz w:val="18"/>
              </w:rPr>
              <w:t>A; keine allgemeingültigen Tarife</w:t>
            </w:r>
          </w:p>
        </w:tc>
      </w:tr>
      <w:tr>
        <w:trPr>
          <w:cantSplit/>
        </w:trPr>
        <w:tc>
          <w:tcPr>
            <w:tcW w:type="dxa" w:w="3005"/>
            <w:vAlign w:val="center"/>
          </w:tcPr>
          <w:p>
            <w:pPr>
              <w:spacing w:after="60" w:before="40"/>
            </w:pPr>
            <w:r>
              <w:rPr>
                <w:sz w:val="18"/>
              </w:rPr>
              <w:t>Zusätzliche eigene Tankinfrastruktur</w:t>
            </w:r>
          </w:p>
        </w:tc>
        <w:tc>
          <w:tcPr>
            <w:tcW w:type="dxa" w:w="3402"/>
            <w:vAlign w:val="center"/>
          </w:tcPr>
          <w:p>
            <w:pPr>
              <w:spacing w:after="60" w:before="40"/>
            </w:pPr>
            <w:r>
              <w:rPr>
                <w:sz w:val="18"/>
              </w:rPr>
              <w:t>0 EUR/Jahr</w:t>
            </w:r>
          </w:p>
        </w:tc>
        <w:tc>
          <w:tcPr>
            <w:tcW w:type="dxa" w:w="3515"/>
            <w:vAlign w:val="center"/>
          </w:tcPr>
          <w:p>
            <w:pPr>
              <w:spacing w:after="60" w:before="40"/>
            </w:pPr>
            <w:r>
              <w:rPr>
                <w:sz w:val="18"/>
              </w:rPr>
              <w:t>A; im gekauften Kraftstoffpreis abgegolten</w:t>
            </w:r>
          </w:p>
        </w:tc>
      </w:tr>
      <w:tr>
        <w:trPr>
          <w:cantSplit/>
        </w:trPr>
        <w:tc>
          <w:tcPr>
            <w:tcW w:type="dxa" w:w="3005"/>
            <w:vAlign w:val="center"/>
          </w:tcPr>
          <w:p>
            <w:pPr>
              <w:spacing w:after="60" w:before="40"/>
            </w:pPr>
            <w:r>
              <w:rPr>
                <w:sz w:val="18"/>
              </w:rPr>
              <w:t>Jährliche Fixkosten F</w:t>
            </w:r>
          </w:p>
        </w:tc>
        <w:tc>
          <w:tcPr>
            <w:tcW w:type="dxa" w:w="3402"/>
            <w:vAlign w:val="center"/>
          </w:tcPr>
          <w:p>
            <w:pPr>
              <w:spacing w:after="60" w:before="40"/>
            </w:pPr>
            <w:r>
              <w:rPr>
                <w:sz w:val="18"/>
              </w:rPr>
              <w:t>27.510,39 EUR/Jahr</w:t>
            </w:r>
          </w:p>
        </w:tc>
        <w:tc>
          <w:tcPr>
            <w:tcW w:type="dxa" w:w="3515"/>
            <w:vAlign w:val="center"/>
          </w:tcPr>
          <w:p>
            <w:pPr>
              <w:spacing w:after="60" w:before="40"/>
            </w:pPr>
            <w:r>
              <w:rPr>
                <w:sz w:val="18"/>
              </w:rPr>
              <w:t>R; inkl. Auflieger, ohne Personal</w:t>
            </w:r>
          </w:p>
        </w:tc>
      </w:tr>
      <w:tr>
        <w:trPr>
          <w:cantSplit/>
        </w:trPr>
        <w:tc>
          <w:tcPr>
            <w:tcW w:type="dxa" w:w="3005"/>
            <w:vAlign w:val="center"/>
          </w:tcPr>
          <w:p>
            <w:pPr>
              <w:spacing w:after="60" w:before="40"/>
            </w:pPr>
            <w:r>
              <w:rPr>
                <w:sz w:val="18"/>
              </w:rPr>
              <w:t>Fixkosten-Verrechnung F/Hᵥ</w:t>
            </w:r>
          </w:p>
        </w:tc>
        <w:tc>
          <w:tcPr>
            <w:tcW w:type="dxa" w:w="3402"/>
            <w:vAlign w:val="center"/>
          </w:tcPr>
          <w:p>
            <w:pPr>
              <w:spacing w:after="60" w:before="40"/>
            </w:pPr>
            <w:r>
              <w:rPr>
                <w:sz w:val="18"/>
              </w:rPr>
              <w:t>13,76 EUR/h</w:t>
            </w:r>
          </w:p>
        </w:tc>
        <w:tc>
          <w:tcPr>
            <w:tcW w:type="dxa" w:w="3515"/>
            <w:vAlign w:val="center"/>
          </w:tcPr>
          <w:p>
            <w:pPr>
              <w:spacing w:after="60" w:before="40"/>
            </w:pPr>
            <w:r>
              <w:rPr>
                <w:sz w:val="18"/>
              </w:rPr>
              <w:t>R; bei 2.000 Einsatzstunden</w:t>
            </w:r>
          </w:p>
        </w:tc>
      </w:tr>
    </w:tbl>
    <w:p>
      <w:pPr>
        <w:pStyle w:val="Heading2"/>
      </w:pPr>
      <w:r>
        <w:t>9.2  Datenlücken vor empirischer Verwendung</w:t>
      </w:r>
    </w:p>
    <w:p>
      <w:r>
        <w:t>Erforderlich sind ein ausstattungsgenaues Fahrzeugangebot, Leergewichts-/COC-Daten, Kraftstoffmessungen im vorgesehenen Einsatzprofil und ein Servicevertrag mit Leistungsumfang. Der Wartungssatz von 0,10 EUR/km ist als umfassende Annahme inklusive erwarteter kleinerer Erneuerungen gesetzt, nicht als aus den Einzelkosten hergeleiteter Schadensprozess.</w:t>
      </w:r>
    </w:p>
    <w:p>
      <w:r>
        <w:br w:type="page"/>
      </w:r>
    </w:p>
    <w:p>
      <w:pPr>
        <w:pStyle w:val="Subtitle"/>
      </w:pPr>
      <w:r>
        <w:t>BEISPIEL 2 · Technischer Steckbrief</w:t>
      </w:r>
    </w:p>
    <w:p>
      <w:pPr>
        <w:pStyle w:val="Heading1"/>
      </w:pPr>
      <w:r>
        <w:t>10  Beispiel 2: Batterieelektrischer Fernverkehrs-Lkw</w:t>
      </w:r>
    </w:p>
    <w:p>
      <w:pPr>
        <w:pStyle w:val="Heading2"/>
      </w:pPr>
      <w:r>
        <w:t>10.1  Referenz und Antriebssystem</w:t>
      </w:r>
    </w:p>
    <w:p>
      <w:r>
        <w:t>Referenz: Mercedes-Benz eActros 600 als 4×2-Sattelzugmaschine. Serienstart war Ende November 2024, erste Kundenauslieferungen erfolgten im Dezember 2024 [Q3]. Drei LFP-Batteriepacks versorgen eine elektrische Antriebsachse mit zwei Elektromotoren und Vierganggetriebe. Rekuperation führt Bremsenergie in die Batterie zurück; Ladegerät, Temperaturmanagement und Leistungselektronik beeinflussen die Systemeffizienz [Q4, Q5].</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2891"/>
            <w:vAlign w:val="center"/>
          </w:tcPr>
          <w:p>
            <w:pPr>
              <w:spacing w:after="60" w:before="40"/>
            </w:pPr>
            <w:r>
              <w:rPr>
                <w:b/>
                <w:color w:val="173B4B"/>
                <w:sz w:val="18"/>
              </w:rPr>
              <w:t>Parameter</w:t>
            </w:r>
          </w:p>
        </w:tc>
        <w:tc>
          <w:tcPr>
            <w:tcW w:type="dxa" w:w="4649"/>
            <w:vAlign w:val="center"/>
          </w:tcPr>
          <w:p>
            <w:pPr>
              <w:spacing w:after="60" w:before="40"/>
            </w:pPr>
            <w:r>
              <w:rPr>
                <w:b/>
                <w:color w:val="173B4B"/>
                <w:sz w:val="18"/>
              </w:rPr>
              <w:t>Wert / Beschreibung</w:t>
            </w:r>
          </w:p>
        </w:tc>
        <w:tc>
          <w:tcPr>
            <w:tcW w:type="dxa" w:w="2381"/>
            <w:vAlign w:val="center"/>
          </w:tcPr>
          <w:p>
            <w:pPr>
              <w:spacing w:after="60" w:before="40"/>
            </w:pPr>
            <w:r>
              <w:rPr>
                <w:b/>
                <w:color w:val="173B4B"/>
                <w:sz w:val="18"/>
              </w:rPr>
              <w:t>Status / Beleg</w:t>
            </w:r>
          </w:p>
        </w:tc>
      </w:tr>
      <w:tr>
        <w:trPr>
          <w:cantSplit/>
        </w:trPr>
        <w:tc>
          <w:tcPr>
            <w:tcW w:type="dxa" w:w="2891"/>
            <w:vAlign w:val="center"/>
          </w:tcPr>
          <w:p>
            <w:pPr>
              <w:spacing w:after="60" w:before="40"/>
            </w:pPr>
            <w:r>
              <w:rPr>
                <w:sz w:val="18"/>
              </w:rPr>
              <w:t>Batteriechemie / Anzahl</w:t>
            </w:r>
          </w:p>
        </w:tc>
        <w:tc>
          <w:tcPr>
            <w:tcW w:type="dxa" w:w="4649"/>
            <w:vAlign w:val="center"/>
          </w:tcPr>
          <w:p>
            <w:pPr>
              <w:spacing w:after="60" w:before="40"/>
            </w:pPr>
            <w:r>
              <w:rPr>
                <w:sz w:val="18"/>
              </w:rPr>
              <w:t>LFP; 3 Packs à 207 kWh</w:t>
            </w:r>
          </w:p>
        </w:tc>
        <w:tc>
          <w:tcPr>
            <w:tcW w:type="dxa" w:w="2381"/>
            <w:vAlign w:val="center"/>
          </w:tcPr>
          <w:p>
            <w:pPr>
              <w:spacing w:after="60" w:before="40"/>
            </w:pPr>
            <w:r>
              <w:rPr>
                <w:sz w:val="18"/>
              </w:rPr>
              <w:t>H [Q4]</w:t>
            </w:r>
          </w:p>
        </w:tc>
      </w:tr>
      <w:tr>
        <w:trPr>
          <w:cantSplit/>
        </w:trPr>
        <w:tc>
          <w:tcPr>
            <w:tcW w:type="dxa" w:w="2891"/>
            <w:vAlign w:val="center"/>
          </w:tcPr>
          <w:p>
            <w:pPr>
              <w:spacing w:after="60" w:before="40"/>
            </w:pPr>
            <w:r>
              <w:rPr>
                <w:sz w:val="18"/>
              </w:rPr>
              <w:t>Installierte / regulär nutzbare Kapazität</w:t>
            </w:r>
          </w:p>
        </w:tc>
        <w:tc>
          <w:tcPr>
            <w:tcW w:type="dxa" w:w="4649"/>
            <w:vAlign w:val="center"/>
          </w:tcPr>
          <w:p>
            <w:pPr>
              <w:spacing w:after="60" w:before="40"/>
            </w:pPr>
            <w:r>
              <w:rPr>
                <w:sz w:val="18"/>
              </w:rPr>
              <w:t>621 / 600 kWh bei neuer Batterie</w:t>
            </w:r>
          </w:p>
        </w:tc>
        <w:tc>
          <w:tcPr>
            <w:tcW w:type="dxa" w:w="2381"/>
            <w:vAlign w:val="center"/>
          </w:tcPr>
          <w:p>
            <w:pPr>
              <w:spacing w:after="60" w:before="40"/>
            </w:pPr>
            <w:r>
              <w:rPr>
                <w:sz w:val="18"/>
              </w:rPr>
              <w:t>H [Q4]; Brutto und netto nicht verwechseln</w:t>
            </w:r>
          </w:p>
        </w:tc>
      </w:tr>
      <w:tr>
        <w:trPr>
          <w:cantSplit/>
        </w:trPr>
        <w:tc>
          <w:tcPr>
            <w:tcW w:type="dxa" w:w="2891"/>
            <w:vAlign w:val="center"/>
          </w:tcPr>
          <w:p>
            <w:pPr>
              <w:spacing w:after="60" w:before="40"/>
            </w:pPr>
            <w:r>
              <w:rPr>
                <w:sz w:val="18"/>
              </w:rPr>
              <w:t>Dauer-/Spitzenleistung</w:t>
            </w:r>
          </w:p>
        </w:tc>
        <w:tc>
          <w:tcPr>
            <w:tcW w:type="dxa" w:w="4649"/>
            <w:vAlign w:val="center"/>
          </w:tcPr>
          <w:p>
            <w:pPr>
              <w:spacing w:after="60" w:before="40"/>
            </w:pPr>
            <w:r>
              <w:rPr>
                <w:sz w:val="18"/>
              </w:rPr>
              <w:t>400 / 600 kW</w:t>
            </w:r>
          </w:p>
        </w:tc>
        <w:tc>
          <w:tcPr>
            <w:tcW w:type="dxa" w:w="2381"/>
            <w:vAlign w:val="center"/>
          </w:tcPr>
          <w:p>
            <w:pPr>
              <w:spacing w:after="60" w:before="40"/>
            </w:pPr>
            <w:r>
              <w:rPr>
                <w:sz w:val="18"/>
              </w:rPr>
              <w:t>H [Q4]</w:t>
            </w:r>
          </w:p>
        </w:tc>
      </w:tr>
      <w:tr>
        <w:trPr>
          <w:cantSplit/>
        </w:trPr>
        <w:tc>
          <w:tcPr>
            <w:tcW w:type="dxa" w:w="2891"/>
            <w:vAlign w:val="center"/>
          </w:tcPr>
          <w:p>
            <w:pPr>
              <w:spacing w:after="60" w:before="40"/>
            </w:pPr>
            <w:r>
              <w:rPr>
                <w:sz w:val="18"/>
              </w:rPr>
              <w:t>Technisch mögliche Gesamtzugmasse</w:t>
            </w:r>
          </w:p>
        </w:tc>
        <w:tc>
          <w:tcPr>
            <w:tcW w:type="dxa" w:w="4649"/>
            <w:vAlign w:val="center"/>
          </w:tcPr>
          <w:p>
            <w:pPr>
              <w:spacing w:after="60" w:before="40"/>
            </w:pPr>
            <w:r>
              <w:rPr>
                <w:sz w:val="18"/>
              </w:rPr>
              <w:t>44 t</w:t>
            </w:r>
          </w:p>
        </w:tc>
        <w:tc>
          <w:tcPr>
            <w:tcW w:type="dxa" w:w="2381"/>
            <w:vAlign w:val="center"/>
          </w:tcPr>
          <w:p>
            <w:pPr>
              <w:spacing w:after="60" w:before="40"/>
            </w:pPr>
            <w:r>
              <w:rPr>
                <w:sz w:val="18"/>
              </w:rPr>
              <w:t>H [Q4]; nationale Zulässigkeit gesondert</w:t>
            </w:r>
          </w:p>
        </w:tc>
      </w:tr>
      <w:tr>
        <w:trPr>
          <w:cantSplit/>
        </w:trPr>
        <w:tc>
          <w:tcPr>
            <w:tcW w:type="dxa" w:w="2891"/>
            <w:vAlign w:val="center"/>
          </w:tcPr>
          <w:p>
            <w:pPr>
              <w:spacing w:after="60" w:before="40"/>
            </w:pPr>
            <w:r>
              <w:rPr>
                <w:sz w:val="18"/>
              </w:rPr>
              <w:t>Gewicht Zugmaschine</w:t>
            </w:r>
          </w:p>
        </w:tc>
        <w:tc>
          <w:tcPr>
            <w:tcW w:type="dxa" w:w="4649"/>
            <w:vAlign w:val="center"/>
          </w:tcPr>
          <w:p>
            <w:pPr>
              <w:spacing w:after="60" w:before="40"/>
            </w:pPr>
            <w:r>
              <w:rPr>
                <w:sz w:val="18"/>
              </w:rPr>
              <w:t>ca. 11,7 t, ausstattungsabhängig</w:t>
            </w:r>
          </w:p>
        </w:tc>
        <w:tc>
          <w:tcPr>
            <w:tcW w:type="dxa" w:w="2381"/>
            <w:vAlign w:val="center"/>
          </w:tcPr>
          <w:p>
            <w:pPr>
              <w:spacing w:after="60" w:before="40"/>
            </w:pPr>
            <w:r>
              <w:rPr>
                <w:sz w:val="18"/>
              </w:rPr>
              <w:t>H [Q4]; kein fixer Homologationswert</w:t>
            </w:r>
          </w:p>
        </w:tc>
      </w:tr>
      <w:tr>
        <w:trPr>
          <w:cantSplit/>
        </w:trPr>
        <w:tc>
          <w:tcPr>
            <w:tcW w:type="dxa" w:w="2891"/>
            <w:vAlign w:val="center"/>
          </w:tcPr>
          <w:p>
            <w:pPr>
              <w:spacing w:after="60" w:before="40"/>
            </w:pPr>
            <w:r>
              <w:rPr>
                <w:sz w:val="18"/>
              </w:rPr>
              <w:t>Herstellerreichweite</w:t>
            </w:r>
          </w:p>
        </w:tc>
        <w:tc>
          <w:tcPr>
            <w:tcW w:type="dxa" w:w="4649"/>
            <w:vAlign w:val="center"/>
          </w:tcPr>
          <w:p>
            <w:pPr>
              <w:spacing w:after="60" w:before="40"/>
            </w:pPr>
            <w:r>
              <w:rPr>
                <w:sz w:val="18"/>
              </w:rPr>
              <w:t>500 km unter definierten Testbedingungen</w:t>
            </w:r>
          </w:p>
        </w:tc>
        <w:tc>
          <w:tcPr>
            <w:tcW w:type="dxa" w:w="2381"/>
            <w:vAlign w:val="center"/>
          </w:tcPr>
          <w:p>
            <w:pPr>
              <w:spacing w:after="60" w:before="40"/>
            </w:pPr>
            <w:r>
              <w:rPr>
                <w:sz w:val="18"/>
              </w:rPr>
              <w:t>H [Q4]: 40-t-Zug, 20 °C, vorkonditioniert</w:t>
            </w:r>
          </w:p>
        </w:tc>
      </w:tr>
      <w:tr>
        <w:trPr>
          <w:cantSplit/>
        </w:trPr>
        <w:tc>
          <w:tcPr>
            <w:tcW w:type="dxa" w:w="2891"/>
            <w:vAlign w:val="center"/>
          </w:tcPr>
          <w:p>
            <w:pPr>
              <w:spacing w:after="60" w:before="40"/>
            </w:pPr>
            <w:r>
              <w:rPr>
                <w:sz w:val="18"/>
              </w:rPr>
              <w:t>CCS-Laden / Zeitfenster</w:t>
            </w:r>
          </w:p>
        </w:tc>
        <w:tc>
          <w:tcPr>
            <w:tcW w:type="dxa" w:w="4649"/>
            <w:vAlign w:val="center"/>
          </w:tcPr>
          <w:p>
            <w:pPr>
              <w:spacing w:after="60" w:before="40"/>
            </w:pPr>
            <w:r>
              <w:rPr>
                <w:sz w:val="18"/>
              </w:rPr>
              <w:t>bis 400 kW; 20–80 % in ca. 60 min</w:t>
            </w:r>
          </w:p>
        </w:tc>
        <w:tc>
          <w:tcPr>
            <w:tcW w:type="dxa" w:w="2381"/>
            <w:vAlign w:val="center"/>
          </w:tcPr>
          <w:p>
            <w:pPr>
              <w:spacing w:after="60" w:before="40"/>
            </w:pPr>
            <w:r>
              <w:rPr>
                <w:sz w:val="18"/>
              </w:rPr>
              <w:t>H [Q4]; optimale Bedingungen, kein konstantes 400-kW-Profil</w:t>
            </w:r>
          </w:p>
        </w:tc>
      </w:tr>
      <w:tr>
        <w:trPr>
          <w:cantSplit/>
        </w:trPr>
        <w:tc>
          <w:tcPr>
            <w:tcW w:type="dxa" w:w="2891"/>
            <w:vAlign w:val="center"/>
          </w:tcPr>
          <w:p>
            <w:pPr>
              <w:spacing w:after="60" w:before="40"/>
            </w:pPr>
            <w:r>
              <w:rPr>
                <w:sz w:val="18"/>
              </w:rPr>
              <w:t>MCS-Angabe im Datenblatt</w:t>
            </w:r>
          </w:p>
        </w:tc>
        <w:tc>
          <w:tcPr>
            <w:tcW w:type="dxa" w:w="4649"/>
            <w:vAlign w:val="center"/>
          </w:tcPr>
          <w:p>
            <w:pPr>
              <w:spacing w:after="60" w:before="40"/>
            </w:pPr>
            <w:r>
              <w:rPr>
                <w:sz w:val="18"/>
              </w:rPr>
              <w:t>1.000 kW; 20–80 % ca. 30 min als Ziel-/Simulationswert</w:t>
            </w:r>
          </w:p>
        </w:tc>
        <w:tc>
          <w:tcPr>
            <w:tcW w:type="dxa" w:w="2381"/>
            <w:vAlign w:val="center"/>
          </w:tcPr>
          <w:p>
            <w:pPr>
              <w:spacing w:after="60" w:before="40"/>
            </w:pPr>
            <w:r>
              <w:rPr>
                <w:sz w:val="18"/>
              </w:rPr>
              <w:t>H [Q4]; konkrete Bestell-/Softwarefreigabe prüfen</w:t>
            </w:r>
          </w:p>
        </w:tc>
      </w:tr>
      <w:tr>
        <w:trPr>
          <w:cantSplit/>
        </w:trPr>
        <w:tc>
          <w:tcPr>
            <w:tcW w:type="dxa" w:w="2891"/>
            <w:vAlign w:val="center"/>
          </w:tcPr>
          <w:p>
            <w:pPr>
              <w:spacing w:after="60" w:before="40"/>
            </w:pPr>
            <w:r>
              <w:rPr>
                <w:sz w:val="18"/>
              </w:rPr>
              <w:t>Modellverbrauch / Ladeeffizienz</w:t>
            </w:r>
          </w:p>
        </w:tc>
        <w:tc>
          <w:tcPr>
            <w:tcW w:type="dxa" w:w="4649"/>
            <w:vAlign w:val="center"/>
          </w:tcPr>
          <w:p>
            <w:pPr>
              <w:spacing w:after="60" w:before="40"/>
            </w:pPr>
            <w:r>
              <w:rPr>
                <w:sz w:val="18"/>
              </w:rPr>
              <w:t>1,10 kWh/km Batterie; 92 %</w:t>
            </w:r>
          </w:p>
        </w:tc>
        <w:tc>
          <w:tcPr>
            <w:tcW w:type="dxa" w:w="2381"/>
            <w:vAlign w:val="center"/>
          </w:tcPr>
          <w:p>
            <w:pPr>
              <w:spacing w:after="60" w:before="40"/>
            </w:pPr>
            <w:r>
              <w:rPr>
                <w:sz w:val="18"/>
              </w:rPr>
              <w:t>A; kein produktspezifischer Testwert</w:t>
            </w:r>
          </w:p>
        </w:tc>
      </w:tr>
      <w:tr>
        <w:trPr>
          <w:cantSplit/>
        </w:trPr>
        <w:tc>
          <w:tcPr>
            <w:tcW w:type="dxa" w:w="2891"/>
            <w:vAlign w:val="center"/>
          </w:tcPr>
          <w:p>
            <w:pPr>
              <w:spacing w:after="60" w:before="40"/>
            </w:pPr>
            <w:r>
              <w:rPr>
                <w:sz w:val="18"/>
              </w:rPr>
              <w:t>Abgerechneter Netzverbrauch</w:t>
            </w:r>
          </w:p>
        </w:tc>
        <w:tc>
          <w:tcPr>
            <w:tcW w:type="dxa" w:w="4649"/>
            <w:vAlign w:val="center"/>
          </w:tcPr>
          <w:p>
            <w:pPr>
              <w:spacing w:after="60" w:before="40"/>
            </w:pPr>
            <w:r>
              <w:rPr>
                <w:sz w:val="18"/>
              </w:rPr>
              <w:t>1,1957 kWh/km bzw. 119,57 kWh/100 km</w:t>
            </w:r>
          </w:p>
        </w:tc>
        <w:tc>
          <w:tcPr>
            <w:tcW w:type="dxa" w:w="2381"/>
            <w:vAlign w:val="center"/>
          </w:tcPr>
          <w:p>
            <w:pPr>
              <w:spacing w:after="60" w:before="40"/>
            </w:pPr>
            <w:r>
              <w:rPr>
                <w:sz w:val="18"/>
              </w:rPr>
              <w:t>R = 1,10/0,92</w:t>
            </w:r>
          </w:p>
        </w:tc>
      </w:tr>
      <w:tr>
        <w:trPr>
          <w:cantSplit/>
        </w:trPr>
        <w:tc>
          <w:tcPr>
            <w:tcW w:type="dxa" w:w="2891"/>
            <w:vAlign w:val="center"/>
          </w:tcPr>
          <w:p>
            <w:pPr>
              <w:spacing w:after="60" w:before="40"/>
            </w:pPr>
            <w:r>
              <w:rPr>
                <w:sz w:val="18"/>
              </w:rPr>
              <w:t>Planungsfenster / Reichweite</w:t>
            </w:r>
          </w:p>
        </w:tc>
        <w:tc>
          <w:tcPr>
            <w:tcW w:type="dxa" w:w="4649"/>
            <w:vAlign w:val="center"/>
          </w:tcPr>
          <w:p>
            <w:pPr>
              <w:spacing w:after="60" w:before="40"/>
            </w:pPr>
            <w:r>
              <w:rPr>
                <w:sz w:val="18"/>
              </w:rPr>
              <w:t>10–90 % SoC; ca. 436 km bei Neuzustand</w:t>
            </w:r>
          </w:p>
        </w:tc>
        <w:tc>
          <w:tcPr>
            <w:tcW w:type="dxa" w:w="2381"/>
            <w:vAlign w:val="center"/>
          </w:tcPr>
          <w:p>
            <w:pPr>
              <w:spacing w:after="60" w:before="40"/>
            </w:pPr>
            <w:r>
              <w:rPr>
                <w:sz w:val="18"/>
              </w:rPr>
              <w:t>A/R: 600 × 0,8 / 1,10</w:t>
            </w:r>
          </w:p>
        </w:tc>
      </w:tr>
      <w:tr>
        <w:trPr>
          <w:cantSplit/>
        </w:trPr>
        <w:tc>
          <w:tcPr>
            <w:tcW w:type="dxa" w:w="2891"/>
            <w:vAlign w:val="center"/>
          </w:tcPr>
          <w:p>
            <w:pPr>
              <w:spacing w:after="60" w:before="40"/>
            </w:pPr>
            <w:r>
              <w:rPr>
                <w:sz w:val="18"/>
              </w:rPr>
              <w:t>Zuladungsgrenze / Lastfahrtmasse</w:t>
            </w:r>
          </w:p>
        </w:tc>
        <w:tc>
          <w:tcPr>
            <w:tcW w:type="dxa" w:w="4649"/>
            <w:vAlign w:val="center"/>
          </w:tcPr>
          <w:p>
            <w:pPr>
              <w:spacing w:after="60" w:before="40"/>
            </w:pPr>
            <w:r>
              <w:rPr>
                <w:sz w:val="18"/>
              </w:rPr>
              <w:t>22 t / 20 t</w:t>
            </w:r>
          </w:p>
        </w:tc>
        <w:tc>
          <w:tcPr>
            <w:tcW w:type="dxa" w:w="2381"/>
            <w:vAlign w:val="center"/>
          </w:tcPr>
          <w:p>
            <w:pPr>
              <w:spacing w:after="60" w:before="40"/>
            </w:pPr>
            <w:r>
              <w:rPr>
                <w:sz w:val="18"/>
              </w:rPr>
              <w:t>A; keine genehmigte Produktnutzlast</w:t>
            </w:r>
          </w:p>
        </w:tc>
      </w:tr>
    </w:tbl>
    <w:p>
      <w:pPr>
        <w:pStyle w:val="Heading2"/>
      </w:pPr>
      <w:r>
        <w:t>10.2  Kurze Modellliste BEV</w:t>
      </w:r>
    </w:p>
    <w:p>
      <w:r>
        <w:t>• Mercedes-Benz eActros 600: kommerziell ausgeliefertes Serienfahrzeug [Q3].</w:t>
        <w:br/>
        <w:t>• Volvo FH Aero Electric / Extended Range: Serienstart der neuen Generation im September 2026, Kundenauslieferungen begonnen [Q7].</w:t>
      </w:r>
    </w:p>
    <w:p>
      <w:r>
        <w:rPr>
          <w:i/>
          <w:color w:val="526775"/>
          <w:sz w:val="18"/>
        </w:rPr>
        <w:t>Technische Daten nach dem zugänglichen Hersteller-Produktblatt. Varianten und Ladefreigaben können sich ändern. Für den Kostenfall genügt Depotladen; MCS ist nicht vorausgesetzt. Bei 80 % SoH sinkt die einfache rechnerische Reichweite im gewählten Fenster auf rund 349 km; dann wären Profilanpassung oder Zwischenladung erforderlich.</w:t>
      </w:r>
    </w:p>
    <w:p>
      <w:r>
        <w:br w:type="page"/>
      </w:r>
    </w:p>
    <w:p>
      <w:pPr>
        <w:pStyle w:val="Subtitle"/>
      </w:pPr>
      <w:r>
        <w:t>BEISPIEL 2 · Komponenten und Investitionen</w:t>
      </w:r>
    </w:p>
    <w:p>
      <w:pPr>
        <w:pStyle w:val="Heading1"/>
      </w:pPr>
      <w:r>
        <w:t>11  Beispiel 2: Lebensdauern und Infrastruktur</w:t>
      </w:r>
    </w:p>
    <w:p>
      <w:pPr>
        <w:pStyle w:val="Heading2"/>
      </w:pPr>
      <w:r>
        <w:t>11.1  Lebensdauer ist nicht Garantie</w:t>
      </w:r>
    </w:p>
    <w:p>
      <w:r>
        <w:t>Daimler Truck nennt eine Auslegung auf bis zu 1,2 Mio. km in zehn Betriebsjahren; danach soll der Batterie-SoH noch über 80 % liegen [Q3]. Das ist ein Auslegungsziel, keine zehnjährige Vollgarantie. Das zugängliche britische Produktblatt nennt für HV-Batterien maximal 72 Monate, 720.000 km oder 1.800 Ladezyklen, jeweils die zuerst erreichte Grenze, und definierte Bedingungen bei SoH &lt;80 %. Deutsche Vertragsbedingungen sind separat zu prüfen [Q4].</w:t>
      </w:r>
    </w:p>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2041"/>
            <w:vAlign w:val="center"/>
          </w:tcPr>
          <w:p>
            <w:pPr>
              <w:spacing w:after="60" w:before="40"/>
            </w:pPr>
            <w:r>
              <w:rPr>
                <w:b/>
                <w:color w:val="173B4B"/>
                <w:sz w:val="18"/>
              </w:rPr>
              <w:t>Teilsystem</w:t>
            </w:r>
          </w:p>
        </w:tc>
        <w:tc>
          <w:tcPr>
            <w:tcW w:type="dxa" w:w="3515"/>
            <w:vAlign w:val="center"/>
          </w:tcPr>
          <w:p>
            <w:pPr>
              <w:spacing w:after="60" w:before="40"/>
            </w:pPr>
            <w:r>
              <w:rPr>
                <w:b/>
                <w:color w:val="173B4B"/>
                <w:sz w:val="18"/>
              </w:rPr>
              <w:t>Lebensdauer / Status</w:t>
            </w:r>
          </w:p>
        </w:tc>
        <w:tc>
          <w:tcPr>
            <w:tcW w:type="dxa" w:w="1474"/>
            <w:vAlign w:val="center"/>
          </w:tcPr>
          <w:p>
            <w:pPr>
              <w:spacing w:after="60" w:before="40"/>
            </w:pPr>
            <w:r>
              <w:rPr>
                <w:b/>
                <w:color w:val="173B4B"/>
                <w:sz w:val="18"/>
              </w:rPr>
              <w:t>Tauschwert A</w:t>
            </w:r>
          </w:p>
        </w:tc>
        <w:tc>
          <w:tcPr>
            <w:tcW w:type="dxa" w:w="2891"/>
            <w:vAlign w:val="center"/>
          </w:tcPr>
          <w:p>
            <w:pPr>
              <w:spacing w:after="60" w:before="40"/>
            </w:pPr>
            <w:r>
              <w:rPr>
                <w:b/>
                <w:color w:val="173B4B"/>
                <w:sz w:val="18"/>
              </w:rPr>
              <w:t>Behandlung im Basisfall</w:t>
            </w:r>
          </w:p>
        </w:tc>
      </w:tr>
      <w:tr>
        <w:trPr>
          <w:cantSplit/>
        </w:trPr>
        <w:tc>
          <w:tcPr>
            <w:tcW w:type="dxa" w:w="2041"/>
            <w:vAlign w:val="center"/>
          </w:tcPr>
          <w:p>
            <w:pPr>
              <w:spacing w:after="60" w:before="40"/>
            </w:pPr>
            <w:r>
              <w:rPr>
                <w:sz w:val="18"/>
              </w:rPr>
              <w:t>Chassis / Kabine</w:t>
            </w:r>
          </w:p>
        </w:tc>
        <w:tc>
          <w:tcPr>
            <w:tcW w:type="dxa" w:w="3515"/>
            <w:vAlign w:val="center"/>
          </w:tcPr>
          <w:p>
            <w:pPr>
              <w:spacing w:after="60" w:before="40"/>
            </w:pPr>
            <w:r>
              <w:rPr>
                <w:sz w:val="18"/>
              </w:rPr>
              <w:t>12 Jahre / 1,2 Mio. km (A)</w:t>
            </w:r>
          </w:p>
        </w:tc>
        <w:tc>
          <w:tcPr>
            <w:tcW w:type="dxa" w:w="1474"/>
            <w:vAlign w:val="center"/>
          </w:tcPr>
          <w:p>
            <w:pPr>
              <w:spacing w:after="60" w:before="40"/>
            </w:pPr>
            <w:r>
              <w:rPr>
                <w:sz w:val="18"/>
              </w:rPr>
              <w:t>kein Vollersatz</w:t>
            </w:r>
          </w:p>
        </w:tc>
        <w:tc>
          <w:tcPr>
            <w:tcW w:type="dxa" w:w="2891"/>
            <w:vAlign w:val="center"/>
          </w:tcPr>
          <w:p>
            <w:pPr>
              <w:spacing w:after="60" w:before="40"/>
            </w:pPr>
            <w:r>
              <w:rPr>
                <w:sz w:val="18"/>
              </w:rPr>
              <w:t>Wirtschaftliche Haltedauer 8 Jahre</w:t>
            </w:r>
          </w:p>
        </w:tc>
      </w:tr>
      <w:tr>
        <w:trPr>
          <w:cantSplit/>
        </w:trPr>
        <w:tc>
          <w:tcPr>
            <w:tcW w:type="dxa" w:w="2041"/>
            <w:vAlign w:val="center"/>
          </w:tcPr>
          <w:p>
            <w:pPr>
              <w:spacing w:after="60" w:before="40"/>
            </w:pPr>
            <w:r>
              <w:rPr>
                <w:sz w:val="18"/>
              </w:rPr>
              <w:t>Traktionsbatterie</w:t>
            </w:r>
          </w:p>
        </w:tc>
        <w:tc>
          <w:tcPr>
            <w:tcW w:type="dxa" w:w="3515"/>
            <w:vAlign w:val="center"/>
          </w:tcPr>
          <w:p>
            <w:pPr>
              <w:spacing w:after="60" w:before="40"/>
            </w:pPr>
            <w:r>
              <w:rPr>
                <w:sz w:val="18"/>
              </w:rPr>
              <w:t>10 Jahre / 1,2 Mio. km; SoH 80 % als Modellgrenze (A, angelehnt an H [Q3])</w:t>
            </w:r>
          </w:p>
        </w:tc>
        <w:tc>
          <w:tcPr>
            <w:tcW w:type="dxa" w:w="1474"/>
            <w:vAlign w:val="center"/>
          </w:tcPr>
          <w:p>
            <w:pPr>
              <w:spacing w:after="60" w:before="40"/>
            </w:pPr>
            <w:r>
              <w:rPr>
                <w:sz w:val="18"/>
              </w:rPr>
              <w:t>90.000 EUR komplett</w:t>
            </w:r>
          </w:p>
        </w:tc>
        <w:tc>
          <w:tcPr>
            <w:tcW w:type="dxa" w:w="2891"/>
            <w:vAlign w:val="center"/>
          </w:tcPr>
          <w:p>
            <w:pPr>
              <w:spacing w:after="60" w:before="40"/>
            </w:pPr>
            <w:r>
              <w:rPr>
                <w:sz w:val="18"/>
              </w:rPr>
              <w:t>Kein planmäßiger Ersatz in 8 Jahren; Kaufpreis enthält Erstbatterie</w:t>
            </w:r>
          </w:p>
        </w:tc>
      </w:tr>
      <w:tr>
        <w:trPr>
          <w:cantSplit/>
        </w:trPr>
        <w:tc>
          <w:tcPr>
            <w:tcW w:type="dxa" w:w="2041"/>
            <w:vAlign w:val="center"/>
          </w:tcPr>
          <w:p>
            <w:pPr>
              <w:spacing w:after="60" w:before="40"/>
            </w:pPr>
            <w:r>
              <w:rPr>
                <w:sz w:val="18"/>
              </w:rPr>
              <w:t>E-Achse / Motoren / Getriebe</w:t>
            </w:r>
          </w:p>
        </w:tc>
        <w:tc>
          <w:tcPr>
            <w:tcW w:type="dxa" w:w="3515"/>
            <w:vAlign w:val="center"/>
          </w:tcPr>
          <w:p>
            <w:pPr>
              <w:spacing w:after="60" w:before="40"/>
            </w:pPr>
            <w:r>
              <w:rPr>
                <w:sz w:val="18"/>
              </w:rPr>
              <w:t>10 Jahre / 1,2 Mio. km (A)</w:t>
            </w:r>
          </w:p>
        </w:tc>
        <w:tc>
          <w:tcPr>
            <w:tcW w:type="dxa" w:w="1474"/>
            <w:vAlign w:val="center"/>
          </w:tcPr>
          <w:p>
            <w:pPr>
              <w:spacing w:after="60" w:before="40"/>
            </w:pPr>
            <w:r>
              <w:rPr>
                <w:sz w:val="18"/>
              </w:rPr>
              <w:t>25.000 EUR</w:t>
            </w:r>
          </w:p>
        </w:tc>
        <w:tc>
          <w:tcPr>
            <w:tcW w:type="dxa" w:w="2891"/>
            <w:vAlign w:val="center"/>
          </w:tcPr>
          <w:p>
            <w:pPr>
              <w:spacing w:after="60" w:before="40"/>
            </w:pPr>
            <w:r>
              <w:rPr>
                <w:sz w:val="18"/>
              </w:rPr>
              <w:t>Kein geplanter Austausch im Horizont</w:t>
            </w:r>
          </w:p>
        </w:tc>
      </w:tr>
      <w:tr>
        <w:trPr>
          <w:cantSplit/>
        </w:trPr>
        <w:tc>
          <w:tcPr>
            <w:tcW w:type="dxa" w:w="2041"/>
            <w:vAlign w:val="center"/>
          </w:tcPr>
          <w:p>
            <w:pPr>
              <w:spacing w:after="60" w:before="40"/>
            </w:pPr>
            <w:r>
              <w:rPr>
                <w:sz w:val="18"/>
              </w:rPr>
              <w:t>Inverter / HV-Nebenaggregate</w:t>
            </w:r>
          </w:p>
        </w:tc>
        <w:tc>
          <w:tcPr>
            <w:tcW w:type="dxa" w:w="3515"/>
            <w:vAlign w:val="center"/>
          </w:tcPr>
          <w:p>
            <w:pPr>
              <w:spacing w:after="60" w:before="40"/>
            </w:pPr>
            <w:r>
              <w:rPr>
                <w:sz w:val="18"/>
              </w:rPr>
              <w:t>10 Jahre (A)</w:t>
            </w:r>
          </w:p>
        </w:tc>
        <w:tc>
          <w:tcPr>
            <w:tcW w:type="dxa" w:w="1474"/>
            <w:vAlign w:val="center"/>
          </w:tcPr>
          <w:p>
            <w:pPr>
              <w:spacing w:after="60" w:before="40"/>
            </w:pPr>
            <w:r>
              <w:rPr>
                <w:sz w:val="18"/>
              </w:rPr>
              <w:t>12.000 EUR</w:t>
            </w:r>
          </w:p>
        </w:tc>
        <w:tc>
          <w:tcPr>
            <w:tcW w:type="dxa" w:w="2891"/>
            <w:vAlign w:val="center"/>
          </w:tcPr>
          <w:p>
            <w:pPr>
              <w:spacing w:after="60" w:before="40"/>
            </w:pPr>
            <w:r>
              <w:rPr>
                <w:sz w:val="18"/>
              </w:rPr>
              <w:t>Kein planmäßiger Komplettaustausch</w:t>
            </w:r>
          </w:p>
        </w:tc>
      </w:tr>
      <w:tr>
        <w:trPr>
          <w:cantSplit/>
        </w:trPr>
        <w:tc>
          <w:tcPr>
            <w:tcW w:type="dxa" w:w="2041"/>
            <w:vAlign w:val="center"/>
          </w:tcPr>
          <w:p>
            <w:pPr>
              <w:spacing w:after="60" w:before="40"/>
            </w:pPr>
            <w:r>
              <w:rPr>
                <w:sz w:val="18"/>
              </w:rPr>
              <w:t>Thermomanagement</w:t>
            </w:r>
          </w:p>
        </w:tc>
        <w:tc>
          <w:tcPr>
            <w:tcW w:type="dxa" w:w="3515"/>
            <w:vAlign w:val="center"/>
          </w:tcPr>
          <w:p>
            <w:pPr>
              <w:spacing w:after="60" w:before="40"/>
            </w:pPr>
            <w:r>
              <w:rPr>
                <w:sz w:val="18"/>
              </w:rPr>
              <w:t>8 Jahre (A)</w:t>
            </w:r>
          </w:p>
        </w:tc>
        <w:tc>
          <w:tcPr>
            <w:tcW w:type="dxa" w:w="1474"/>
            <w:vAlign w:val="center"/>
          </w:tcPr>
          <w:p>
            <w:pPr>
              <w:spacing w:after="60" w:before="40"/>
            </w:pPr>
            <w:r>
              <w:rPr>
                <w:sz w:val="18"/>
              </w:rPr>
              <w:t>8.000 EUR</w:t>
            </w:r>
          </w:p>
        </w:tc>
        <w:tc>
          <w:tcPr>
            <w:tcW w:type="dxa" w:w="2891"/>
            <w:vAlign w:val="center"/>
          </w:tcPr>
          <w:p>
            <w:pPr>
              <w:spacing w:after="60" w:before="40"/>
            </w:pPr>
            <w:r>
              <w:rPr>
                <w:sz w:val="18"/>
              </w:rPr>
              <w:t>Kleinere Reparaturrisiken in Wartung; kein zusätzlicher Endhorizonttausch</w:t>
            </w:r>
          </w:p>
        </w:tc>
      </w:tr>
      <w:tr>
        <w:trPr>
          <w:cantSplit/>
        </w:trPr>
        <w:tc>
          <w:tcPr>
            <w:tcW w:type="dxa" w:w="2041"/>
            <w:vAlign w:val="center"/>
          </w:tcPr>
          <w:p>
            <w:pPr>
              <w:spacing w:after="60" w:before="40"/>
            </w:pPr>
            <w:r>
              <w:rPr>
                <w:sz w:val="18"/>
              </w:rPr>
              <w:t>DC-Lader / Netzanschlussanteil</w:t>
            </w:r>
          </w:p>
        </w:tc>
        <w:tc>
          <w:tcPr>
            <w:tcW w:type="dxa" w:w="3515"/>
            <w:vAlign w:val="center"/>
          </w:tcPr>
          <w:p>
            <w:pPr>
              <w:spacing w:after="60" w:before="40"/>
            </w:pPr>
            <w:r>
              <w:rPr>
                <w:sz w:val="18"/>
              </w:rPr>
              <w:t>12 Jahre (A)</w:t>
            </w:r>
          </w:p>
        </w:tc>
        <w:tc>
          <w:tcPr>
            <w:tcW w:type="dxa" w:w="1474"/>
            <w:vAlign w:val="center"/>
          </w:tcPr>
          <w:p>
            <w:pPr>
              <w:spacing w:after="60" w:before="40"/>
            </w:pPr>
            <w:r>
              <w:rPr>
                <w:sz w:val="18"/>
              </w:rPr>
              <w:t>25.000 EUR Fahrzeuganteil</w:t>
            </w:r>
          </w:p>
        </w:tc>
        <w:tc>
          <w:tcPr>
            <w:tcW w:type="dxa" w:w="2891"/>
            <w:vAlign w:val="center"/>
          </w:tcPr>
          <w:p>
            <w:pPr>
              <w:spacing w:after="60" w:before="40"/>
            </w:pPr>
            <w:r>
              <w:rPr>
                <w:sz w:val="18"/>
              </w:rPr>
              <w:t>Separate Infrastrukturannuität</w:t>
            </w:r>
          </w:p>
        </w:tc>
      </w:tr>
      <w:tr>
        <w:trPr>
          <w:cantSplit/>
        </w:trPr>
        <w:tc>
          <w:tcPr>
            <w:tcW w:type="dxa" w:w="2041"/>
            <w:vAlign w:val="center"/>
          </w:tcPr>
          <w:p>
            <w:pPr>
              <w:spacing w:after="60" w:before="40"/>
            </w:pPr>
            <w:r>
              <w:rPr>
                <w:sz w:val="18"/>
              </w:rPr>
              <w:t>Auflieger</w:t>
            </w:r>
          </w:p>
        </w:tc>
        <w:tc>
          <w:tcPr>
            <w:tcW w:type="dxa" w:w="3515"/>
            <w:vAlign w:val="center"/>
          </w:tcPr>
          <w:p>
            <w:pPr>
              <w:spacing w:after="60" w:before="40"/>
            </w:pPr>
            <w:r>
              <w:rPr>
                <w:sz w:val="18"/>
              </w:rPr>
              <w:t>Technisch 12 Jahre; wirtschaftlich 8 (A)</w:t>
            </w:r>
          </w:p>
        </w:tc>
        <w:tc>
          <w:tcPr>
            <w:tcW w:type="dxa" w:w="1474"/>
            <w:vAlign w:val="center"/>
          </w:tcPr>
          <w:p>
            <w:pPr>
              <w:spacing w:after="60" w:before="40"/>
            </w:pPr>
            <w:r>
              <w:rPr>
                <w:sz w:val="18"/>
              </w:rPr>
              <w:t>35.000 EUR Neuwert</w:t>
            </w:r>
          </w:p>
        </w:tc>
        <w:tc>
          <w:tcPr>
            <w:tcW w:type="dxa" w:w="2891"/>
            <w:vAlign w:val="center"/>
          </w:tcPr>
          <w:p>
            <w:pPr>
              <w:spacing w:after="60" w:before="40"/>
            </w:pPr>
            <w:r>
              <w:rPr>
                <w:sz w:val="18"/>
              </w:rPr>
              <w:t>Wie Diesel</w:t>
            </w:r>
          </w:p>
        </w:tc>
      </w:tr>
    </w:tbl>
    <w:p>
      <w:pPr>
        <w:pStyle w:val="Heading2"/>
      </w:pPr>
      <w:r>
        <w:t>11.2  Ladeinfrastruktur: transparenter Umlageschlüssel</w:t>
      </w:r>
    </w:p>
    <w:p>
      <w:r>
        <w:t>A: Depotanlage mit 4 Ladepunkten à 100 kW, gesamter Investitionsrahmen 200.000 EUR einschließlich Bau und Netzanschluss, acht zugeordnete Lkw. Je Lkw werden 25.000 EUR Investition, 750 EUR/Jahr fixe Wartung und 1.200 EUR/Jahr Anschluss-/Leistungskosten zugerechnet. Fördermittel und Restwert: null. Aufteilung gleichmäßig bei identischem Nutzungsprofil; öffentliches Laden: null.</w:t>
      </w:r>
    </w:p>
    <w:p>
      <w:r>
        <w:t>R: Infrastrukturannuität = 2.820,64 EUR/Jahr; zuzüglich 1.950 EUR Fixbetrieb = 4.770,64 EUR/Jahr je Lkw. Dieser Betrag ist nicht nochmals im Strompreis von 0,25 EUR/kWh enthalten.</w:t>
      </w:r>
    </w:p>
    <w:p>
      <w:r>
        <w:t>R: 400 km/Tag benötigen rund 478 kWh Netzenergie. Zwei Lkw je Ladepunkt benötigen zusammen rund 957 kWh; zehn Stunden bei 100 kW liefern rechnerisch 1.000 kWh. Dies ist nur eine grobe Energiebilanz mit knapper Reserve. Umparken, Ladeleistungsabfall, Gleichzeitigkeit, Anschlussleistung und Betriebsablauf sind vor Investition zu simulieren.</w:t>
      </w:r>
    </w:p>
    <w:p>
      <w:r>
        <w:rPr>
          <w:i/>
          <w:color w:val="526775"/>
          <w:sz w:val="18"/>
        </w:rPr>
        <w:t>Der einfache Ansatz impliziert rund 183 Batterie-Vollzyklen pro Jahr (110.000 kWh / 600 kWh), rund 1.467 in acht Jahren. Ohne kalendarische und temperaturabhängige Alterung erlaubt das allein keine Lebensdauerprognose. Alle Austauschpreise sind A und nicht OEM-Angebote.</w:t>
      </w:r>
    </w:p>
    <w:p>
      <w:r>
        <w:br w:type="page"/>
      </w:r>
    </w:p>
    <w:p>
      <w:pPr>
        <w:pStyle w:val="Subtitle"/>
      </w:pPr>
      <w:r>
        <w:t>ERGEBNISSE · Vollkosten und variable Kosten getrennt</w:t>
      </w:r>
    </w:p>
    <w:p>
      <w:pPr>
        <w:pStyle w:val="Heading1"/>
      </w:pPr>
      <w:r>
        <w:t>12  Berechnete Kostensätze im Referenzjahr</w:t>
      </w:r>
    </w:p>
    <w:p>
      <w:r>
        <w:t>Ergebnisse R aus den gekennzeichneten Eingangsannahmen. Netto, EUR 2026; Zugmaschine, Auflieger, Personal und zugeteilte Infrastruktur eingeschlossen. Berechnung intern ungerundet; angezeigte Werte gerundet.</w:t>
      </w:r>
    </w:p>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4479"/>
            <w:vAlign w:val="center"/>
          </w:tcPr>
          <w:p>
            <w:pPr>
              <w:spacing w:after="60" w:before="40"/>
            </w:pPr>
            <w:r>
              <w:rPr>
                <w:b/>
                <w:color w:val="173B4B"/>
                <w:sz w:val="18"/>
              </w:rPr>
              <w:t>Kostenkomponente</w:t>
            </w:r>
          </w:p>
        </w:tc>
        <w:tc>
          <w:tcPr>
            <w:tcW w:type="dxa" w:w="1928"/>
            <w:vAlign w:val="center"/>
          </w:tcPr>
          <w:p>
            <w:pPr>
              <w:spacing w:after="60" w:before="40"/>
            </w:pPr>
            <w:r>
              <w:rPr>
                <w:b/>
                <w:color w:val="173B4B"/>
                <w:sz w:val="18"/>
              </w:rPr>
              <w:t>Diesel</w:t>
            </w:r>
          </w:p>
        </w:tc>
        <w:tc>
          <w:tcPr>
            <w:tcW w:type="dxa" w:w="1928"/>
            <w:vAlign w:val="center"/>
          </w:tcPr>
          <w:p>
            <w:pPr>
              <w:spacing w:after="60" w:before="40"/>
            </w:pPr>
            <w:r>
              <w:rPr>
                <w:b/>
                <w:color w:val="173B4B"/>
                <w:sz w:val="18"/>
              </w:rPr>
              <w:t>BEV</w:t>
            </w:r>
          </w:p>
        </w:tc>
        <w:tc>
          <w:tcPr>
            <w:tcW w:type="dxa" w:w="1587"/>
            <w:vAlign w:val="center"/>
          </w:tcPr>
          <w:p>
            <w:pPr>
              <w:spacing w:after="60" w:before="40"/>
            </w:pPr>
            <w:r>
              <w:rPr>
                <w:b/>
                <w:color w:val="173B4B"/>
                <w:sz w:val="18"/>
              </w:rPr>
              <w:t>Einheit</w:t>
            </w:r>
          </w:p>
        </w:tc>
      </w:tr>
      <w:tr>
        <w:trPr>
          <w:cantSplit/>
        </w:trPr>
        <w:tc>
          <w:tcPr>
            <w:tcW w:type="dxa" w:w="4479"/>
            <w:vAlign w:val="center"/>
          </w:tcPr>
          <w:p>
            <w:pPr>
              <w:spacing w:after="60" w:before="40"/>
            </w:pPr>
            <w:r>
              <w:rPr>
                <w:sz w:val="18"/>
              </w:rPr>
              <w:t>Kapitalannuität Zugmaschine</w:t>
            </w:r>
          </w:p>
        </w:tc>
        <w:tc>
          <w:tcPr>
            <w:tcW w:type="dxa" w:w="1928"/>
            <w:vAlign w:val="center"/>
          </w:tcPr>
          <w:p>
            <w:pPr>
              <w:spacing w:after="60" w:before="40"/>
            </w:pPr>
            <w:r>
              <w:rPr>
                <w:sz w:val="18"/>
              </w:rPr>
              <w:t>16.472,18</w:t>
            </w:r>
          </w:p>
        </w:tc>
        <w:tc>
          <w:tcPr>
            <w:tcW w:type="dxa" w:w="1928"/>
            <w:vAlign w:val="center"/>
          </w:tcPr>
          <w:p>
            <w:pPr>
              <w:spacing w:after="60" w:before="40"/>
            </w:pPr>
            <w:r>
              <w:rPr>
                <w:sz w:val="18"/>
              </w:rPr>
              <w:t>41.704,06</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Kapitalannuität Auflieger</w:t>
            </w:r>
          </w:p>
        </w:tc>
        <w:tc>
          <w:tcPr>
            <w:tcW w:type="dxa" w:w="1928"/>
            <w:vAlign w:val="center"/>
          </w:tcPr>
          <w:p>
            <w:pPr>
              <w:spacing w:after="60" w:before="40"/>
            </w:pPr>
            <w:r>
              <w:rPr>
                <w:sz w:val="18"/>
              </w:rPr>
              <w:t>4.682,21</w:t>
            </w:r>
          </w:p>
        </w:tc>
        <w:tc>
          <w:tcPr>
            <w:tcW w:type="dxa" w:w="1928"/>
            <w:vAlign w:val="center"/>
          </w:tcPr>
          <w:p>
            <w:pPr>
              <w:spacing w:after="60" w:before="40"/>
            </w:pPr>
            <w:r>
              <w:rPr>
                <w:sz w:val="18"/>
              </w:rPr>
              <w:t>4.682,21</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Versicherung</w:t>
            </w:r>
          </w:p>
        </w:tc>
        <w:tc>
          <w:tcPr>
            <w:tcW w:type="dxa" w:w="1928"/>
            <w:vAlign w:val="center"/>
          </w:tcPr>
          <w:p>
            <w:pPr>
              <w:spacing w:after="60" w:before="40"/>
            </w:pPr>
            <w:r>
              <w:rPr>
                <w:sz w:val="18"/>
              </w:rPr>
              <w:t>4.000,00</w:t>
            </w:r>
          </w:p>
        </w:tc>
        <w:tc>
          <w:tcPr>
            <w:tcW w:type="dxa" w:w="1928"/>
            <w:vAlign w:val="center"/>
          </w:tcPr>
          <w:p>
            <w:pPr>
              <w:spacing w:after="60" w:before="40"/>
            </w:pPr>
            <w:r>
              <w:rPr>
                <w:sz w:val="18"/>
              </w:rPr>
              <w:t>5.500,00</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Kfz-Steuer (A)</w:t>
            </w:r>
          </w:p>
        </w:tc>
        <w:tc>
          <w:tcPr>
            <w:tcW w:type="dxa" w:w="1928"/>
            <w:vAlign w:val="center"/>
          </w:tcPr>
          <w:p>
            <w:pPr>
              <w:spacing w:after="60" w:before="40"/>
            </w:pPr>
            <w:r>
              <w:rPr>
                <w:sz w:val="18"/>
              </w:rPr>
              <w:t>556,00</w:t>
            </w:r>
          </w:p>
        </w:tc>
        <w:tc>
          <w:tcPr>
            <w:tcW w:type="dxa" w:w="1928"/>
            <w:vAlign w:val="center"/>
          </w:tcPr>
          <w:p>
            <w:pPr>
              <w:spacing w:after="60" w:before="40"/>
            </w:pPr>
            <w:r>
              <w:rPr>
                <w:sz w:val="18"/>
              </w:rPr>
              <w:t>0,00</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Verwaltung / Telematik</w:t>
            </w:r>
          </w:p>
        </w:tc>
        <w:tc>
          <w:tcPr>
            <w:tcW w:type="dxa" w:w="1928"/>
            <w:vAlign w:val="center"/>
          </w:tcPr>
          <w:p>
            <w:pPr>
              <w:spacing w:after="60" w:before="40"/>
            </w:pPr>
            <w:r>
              <w:rPr>
                <w:sz w:val="18"/>
              </w:rPr>
              <w:t>1.800,00</w:t>
            </w:r>
          </w:p>
        </w:tc>
        <w:tc>
          <w:tcPr>
            <w:tcW w:type="dxa" w:w="1928"/>
            <w:vAlign w:val="center"/>
          </w:tcPr>
          <w:p>
            <w:pPr>
              <w:spacing w:after="60" w:before="40"/>
            </w:pPr>
            <w:r>
              <w:rPr>
                <w:sz w:val="18"/>
              </w:rPr>
              <w:t>1.800,00</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Infrastruktur inkl. fixer Betriebskosten</w:t>
            </w:r>
          </w:p>
        </w:tc>
        <w:tc>
          <w:tcPr>
            <w:tcW w:type="dxa" w:w="1928"/>
            <w:vAlign w:val="center"/>
          </w:tcPr>
          <w:p>
            <w:pPr>
              <w:spacing w:after="60" w:before="40"/>
            </w:pPr>
            <w:r>
              <w:rPr>
                <w:sz w:val="18"/>
              </w:rPr>
              <w:t>0,00</w:t>
            </w:r>
          </w:p>
        </w:tc>
        <w:tc>
          <w:tcPr>
            <w:tcW w:type="dxa" w:w="1928"/>
            <w:vAlign w:val="center"/>
          </w:tcPr>
          <w:p>
            <w:pPr>
              <w:spacing w:after="60" w:before="40"/>
            </w:pPr>
            <w:r>
              <w:rPr>
                <w:sz w:val="18"/>
              </w:rPr>
              <w:t>4.770,64</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Summe jährliche Fixkosten F</w:t>
            </w:r>
          </w:p>
        </w:tc>
        <w:tc>
          <w:tcPr>
            <w:tcW w:type="dxa" w:w="1928"/>
            <w:vAlign w:val="center"/>
          </w:tcPr>
          <w:p>
            <w:pPr>
              <w:spacing w:after="60" w:before="40"/>
            </w:pPr>
            <w:r>
              <w:rPr>
                <w:sz w:val="18"/>
              </w:rPr>
              <w:t>27.510,39</w:t>
            </w:r>
          </w:p>
        </w:tc>
        <w:tc>
          <w:tcPr>
            <w:tcW w:type="dxa" w:w="1928"/>
            <w:vAlign w:val="center"/>
          </w:tcPr>
          <w:p>
            <w:pPr>
              <w:spacing w:after="60" w:before="40"/>
            </w:pPr>
            <w:r>
              <w:rPr>
                <w:sz w:val="18"/>
              </w:rPr>
              <w:t>58.456,91</w:t>
            </w:r>
          </w:p>
        </w:tc>
        <w:tc>
          <w:tcPr>
            <w:tcW w:type="dxa" w:w="1587"/>
            <w:vAlign w:val="center"/>
          </w:tcPr>
          <w:p>
            <w:pPr>
              <w:spacing w:after="60" w:before="40"/>
            </w:pPr>
            <w:r>
              <w:rPr>
                <w:sz w:val="18"/>
              </w:rPr>
              <w:t>EUR/Jahr</w:t>
            </w:r>
          </w:p>
        </w:tc>
      </w:tr>
    </w:tbl>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4479"/>
            <w:vAlign w:val="center"/>
          </w:tcPr>
          <w:p>
            <w:pPr>
              <w:spacing w:after="60" w:before="40"/>
            </w:pPr>
            <w:r>
              <w:rPr>
                <w:b/>
                <w:color w:val="173B4B"/>
                <w:sz w:val="18"/>
              </w:rPr>
              <w:t>Kilometerabhängige Kosten</w:t>
            </w:r>
          </w:p>
        </w:tc>
        <w:tc>
          <w:tcPr>
            <w:tcW w:type="dxa" w:w="1928"/>
            <w:vAlign w:val="center"/>
          </w:tcPr>
          <w:p>
            <w:pPr>
              <w:spacing w:after="60" w:before="40"/>
            </w:pPr>
            <w:r>
              <w:rPr>
                <w:b/>
                <w:color w:val="173B4B"/>
                <w:sz w:val="18"/>
              </w:rPr>
              <w:t>Diesel</w:t>
            </w:r>
          </w:p>
        </w:tc>
        <w:tc>
          <w:tcPr>
            <w:tcW w:type="dxa" w:w="1928"/>
            <w:vAlign w:val="center"/>
          </w:tcPr>
          <w:p>
            <w:pPr>
              <w:spacing w:after="60" w:before="40"/>
            </w:pPr>
            <w:r>
              <w:rPr>
                <w:b/>
                <w:color w:val="173B4B"/>
                <w:sz w:val="18"/>
              </w:rPr>
              <w:t>BEV</w:t>
            </w:r>
          </w:p>
        </w:tc>
        <w:tc>
          <w:tcPr>
            <w:tcW w:type="dxa" w:w="1587"/>
            <w:vAlign w:val="center"/>
          </w:tcPr>
          <w:p>
            <w:pPr>
              <w:spacing w:after="60" w:before="40"/>
            </w:pPr>
            <w:r>
              <w:rPr>
                <w:b/>
                <w:color w:val="173B4B"/>
                <w:sz w:val="18"/>
              </w:rPr>
              <w:t>Einheit</w:t>
            </w:r>
          </w:p>
        </w:tc>
      </w:tr>
      <w:tr>
        <w:trPr>
          <w:cantSplit/>
        </w:trPr>
        <w:tc>
          <w:tcPr>
            <w:tcW w:type="dxa" w:w="4479"/>
            <w:vAlign w:val="center"/>
          </w:tcPr>
          <w:p>
            <w:pPr>
              <w:spacing w:after="60" w:before="40"/>
            </w:pPr>
            <w:r>
              <w:rPr>
                <w:sz w:val="18"/>
              </w:rPr>
              <w:t>Energie inkl. BEV-Ladeverluste</w:t>
            </w:r>
          </w:p>
        </w:tc>
        <w:tc>
          <w:tcPr>
            <w:tcW w:type="dxa" w:w="1928"/>
            <w:vAlign w:val="center"/>
          </w:tcPr>
          <w:p>
            <w:pPr>
              <w:spacing w:after="60" w:before="40"/>
            </w:pPr>
            <w:r>
              <w:rPr>
                <w:sz w:val="18"/>
              </w:rPr>
              <w:t>0,3920</w:t>
            </w:r>
          </w:p>
        </w:tc>
        <w:tc>
          <w:tcPr>
            <w:tcW w:type="dxa" w:w="1928"/>
            <w:vAlign w:val="center"/>
          </w:tcPr>
          <w:p>
            <w:pPr>
              <w:spacing w:after="60" w:before="40"/>
            </w:pPr>
            <w:r>
              <w:rPr>
                <w:sz w:val="18"/>
              </w:rPr>
              <w:t>0,2989</w:t>
            </w:r>
          </w:p>
        </w:tc>
        <w:tc>
          <w:tcPr>
            <w:tcW w:type="dxa" w:w="1587"/>
            <w:vAlign w:val="center"/>
          </w:tcPr>
          <w:p>
            <w:pPr>
              <w:spacing w:after="60" w:before="40"/>
            </w:pPr>
            <w:r>
              <w:rPr>
                <w:sz w:val="18"/>
              </w:rPr>
              <w:t>EUR/km</w:t>
            </w:r>
          </w:p>
        </w:tc>
      </w:tr>
      <w:tr>
        <w:trPr>
          <w:cantSplit/>
        </w:trPr>
        <w:tc>
          <w:tcPr>
            <w:tcW w:type="dxa" w:w="4479"/>
            <w:vAlign w:val="center"/>
          </w:tcPr>
          <w:p>
            <w:pPr>
              <w:spacing w:after="60" w:before="40"/>
            </w:pPr>
            <w:r>
              <w:rPr>
                <w:sz w:val="18"/>
              </w:rPr>
              <w:t>AdBlue</w:t>
            </w:r>
          </w:p>
        </w:tc>
        <w:tc>
          <w:tcPr>
            <w:tcW w:type="dxa" w:w="1928"/>
            <w:vAlign w:val="center"/>
          </w:tcPr>
          <w:p>
            <w:pPr>
              <w:spacing w:after="60" w:before="40"/>
            </w:pPr>
            <w:r>
              <w:rPr>
                <w:sz w:val="18"/>
              </w:rPr>
              <w:t>0,0084</w:t>
            </w:r>
          </w:p>
        </w:tc>
        <w:tc>
          <w:tcPr>
            <w:tcW w:type="dxa" w:w="1928"/>
            <w:vAlign w:val="center"/>
          </w:tcPr>
          <w:p>
            <w:pPr>
              <w:spacing w:after="60" w:before="40"/>
            </w:pPr>
            <w:r>
              <w:rPr>
                <w:sz w:val="18"/>
              </w:rPr>
              <w:t>0,0000</w:t>
            </w:r>
          </w:p>
        </w:tc>
        <w:tc>
          <w:tcPr>
            <w:tcW w:type="dxa" w:w="1587"/>
            <w:vAlign w:val="center"/>
          </w:tcPr>
          <w:p>
            <w:pPr>
              <w:spacing w:after="60" w:before="40"/>
            </w:pPr>
            <w:r>
              <w:rPr>
                <w:sz w:val="18"/>
              </w:rPr>
              <w:t>EUR/km</w:t>
            </w:r>
          </w:p>
        </w:tc>
      </w:tr>
      <w:tr>
        <w:trPr>
          <w:cantSplit/>
        </w:trPr>
        <w:tc>
          <w:tcPr>
            <w:tcW w:type="dxa" w:w="4479"/>
            <w:vAlign w:val="center"/>
          </w:tcPr>
          <w:p>
            <w:pPr>
              <w:spacing w:after="60" w:before="40"/>
            </w:pPr>
            <w:r>
              <w:rPr>
                <w:sz w:val="18"/>
              </w:rPr>
              <w:t>Wartung / Reparatur inkl. Auflieger</w:t>
            </w:r>
          </w:p>
        </w:tc>
        <w:tc>
          <w:tcPr>
            <w:tcW w:type="dxa" w:w="1928"/>
            <w:vAlign w:val="center"/>
          </w:tcPr>
          <w:p>
            <w:pPr>
              <w:spacing w:after="60" w:before="40"/>
            </w:pPr>
            <w:r>
              <w:rPr>
                <w:sz w:val="18"/>
              </w:rPr>
              <w:t>0,1000</w:t>
            </w:r>
          </w:p>
        </w:tc>
        <w:tc>
          <w:tcPr>
            <w:tcW w:type="dxa" w:w="1928"/>
            <w:vAlign w:val="center"/>
          </w:tcPr>
          <w:p>
            <w:pPr>
              <w:spacing w:after="60" w:before="40"/>
            </w:pPr>
            <w:r>
              <w:rPr>
                <w:sz w:val="18"/>
              </w:rPr>
              <w:t>0,0700</w:t>
            </w:r>
          </w:p>
        </w:tc>
        <w:tc>
          <w:tcPr>
            <w:tcW w:type="dxa" w:w="1587"/>
            <w:vAlign w:val="center"/>
          </w:tcPr>
          <w:p>
            <w:pPr>
              <w:spacing w:after="60" w:before="40"/>
            </w:pPr>
            <w:r>
              <w:rPr>
                <w:sz w:val="18"/>
              </w:rPr>
              <w:t>EUR/km</w:t>
            </w:r>
          </w:p>
        </w:tc>
      </w:tr>
      <w:tr>
        <w:trPr>
          <w:cantSplit/>
        </w:trPr>
        <w:tc>
          <w:tcPr>
            <w:tcW w:type="dxa" w:w="4479"/>
            <w:vAlign w:val="center"/>
          </w:tcPr>
          <w:p>
            <w:pPr>
              <w:spacing w:after="60" w:before="40"/>
            </w:pPr>
            <w:r>
              <w:rPr>
                <w:sz w:val="18"/>
              </w:rPr>
              <w:t>Reifen inkl. Auflieger</w:t>
            </w:r>
          </w:p>
        </w:tc>
        <w:tc>
          <w:tcPr>
            <w:tcW w:type="dxa" w:w="1928"/>
            <w:vAlign w:val="center"/>
          </w:tcPr>
          <w:p>
            <w:pPr>
              <w:spacing w:after="60" w:before="40"/>
            </w:pPr>
            <w:r>
              <w:rPr>
                <w:sz w:val="18"/>
              </w:rPr>
              <w:t>0,0350</w:t>
            </w:r>
          </w:p>
        </w:tc>
        <w:tc>
          <w:tcPr>
            <w:tcW w:type="dxa" w:w="1928"/>
            <w:vAlign w:val="center"/>
          </w:tcPr>
          <w:p>
            <w:pPr>
              <w:spacing w:after="60" w:before="40"/>
            </w:pPr>
            <w:r>
              <w:rPr>
                <w:sz w:val="18"/>
              </w:rPr>
              <w:t>0,0400</w:t>
            </w:r>
          </w:p>
        </w:tc>
        <w:tc>
          <w:tcPr>
            <w:tcW w:type="dxa" w:w="1587"/>
            <w:vAlign w:val="center"/>
          </w:tcPr>
          <w:p>
            <w:pPr>
              <w:spacing w:after="60" w:before="40"/>
            </w:pPr>
            <w:r>
              <w:rPr>
                <w:sz w:val="18"/>
              </w:rPr>
              <w:t>EUR/km</w:t>
            </w:r>
          </w:p>
        </w:tc>
      </w:tr>
      <w:tr>
        <w:trPr>
          <w:cantSplit/>
        </w:trPr>
        <w:tc>
          <w:tcPr>
            <w:tcW w:type="dxa" w:w="4479"/>
            <w:vAlign w:val="center"/>
          </w:tcPr>
          <w:p>
            <w:pPr>
              <w:spacing w:after="60" w:before="40"/>
            </w:pPr>
            <w:r>
              <w:rPr>
                <w:sz w:val="18"/>
              </w:rPr>
              <w:t>Maut, gewichtet mit 80 % Distanzanteil</w:t>
            </w:r>
          </w:p>
        </w:tc>
        <w:tc>
          <w:tcPr>
            <w:tcW w:type="dxa" w:w="1928"/>
            <w:vAlign w:val="center"/>
          </w:tcPr>
          <w:p>
            <w:pPr>
              <w:spacing w:after="60" w:before="40"/>
            </w:pPr>
            <w:r>
              <w:rPr>
                <w:sz w:val="18"/>
              </w:rPr>
              <w:t>0,2784</w:t>
            </w:r>
          </w:p>
        </w:tc>
        <w:tc>
          <w:tcPr>
            <w:tcW w:type="dxa" w:w="1928"/>
            <w:vAlign w:val="center"/>
          </w:tcPr>
          <w:p>
            <w:pPr>
              <w:spacing w:after="60" w:before="40"/>
            </w:pPr>
            <w:r>
              <w:rPr>
                <w:sz w:val="18"/>
              </w:rPr>
              <w:t>0,0000</w:t>
            </w:r>
          </w:p>
        </w:tc>
        <w:tc>
          <w:tcPr>
            <w:tcW w:type="dxa" w:w="1587"/>
            <w:vAlign w:val="center"/>
          </w:tcPr>
          <w:p>
            <w:pPr>
              <w:spacing w:after="60" w:before="40"/>
            </w:pPr>
            <w:r>
              <w:rPr>
                <w:sz w:val="18"/>
              </w:rPr>
              <w:t>EUR/km</w:t>
            </w:r>
          </w:p>
        </w:tc>
      </w:tr>
      <w:tr>
        <w:trPr>
          <w:cantSplit/>
        </w:trPr>
        <w:tc>
          <w:tcPr>
            <w:tcW w:type="dxa" w:w="4479"/>
            <w:vAlign w:val="center"/>
          </w:tcPr>
          <w:p>
            <w:pPr>
              <w:spacing w:after="60" w:before="40"/>
            </w:pPr>
            <w:r>
              <w:rPr>
                <w:sz w:val="18"/>
              </w:rPr>
              <w:t>Summe variable Kilometerkosten</w:t>
            </w:r>
          </w:p>
        </w:tc>
        <w:tc>
          <w:tcPr>
            <w:tcW w:type="dxa" w:w="1928"/>
            <w:vAlign w:val="center"/>
          </w:tcPr>
          <w:p>
            <w:pPr>
              <w:spacing w:after="60" w:before="40"/>
            </w:pPr>
            <w:r>
              <w:rPr>
                <w:sz w:val="18"/>
              </w:rPr>
              <w:t>0,8138</w:t>
            </w:r>
          </w:p>
        </w:tc>
        <w:tc>
          <w:tcPr>
            <w:tcW w:type="dxa" w:w="1928"/>
            <w:vAlign w:val="center"/>
          </w:tcPr>
          <w:p>
            <w:pPr>
              <w:spacing w:after="60" w:before="40"/>
            </w:pPr>
            <w:r>
              <w:rPr>
                <w:sz w:val="18"/>
              </w:rPr>
              <w:t>0,4089</w:t>
            </w:r>
          </w:p>
        </w:tc>
        <w:tc>
          <w:tcPr>
            <w:tcW w:type="dxa" w:w="1587"/>
            <w:vAlign w:val="center"/>
          </w:tcPr>
          <w:p>
            <w:pPr>
              <w:spacing w:after="60" w:before="40"/>
            </w:pPr>
            <w:r>
              <w:rPr>
                <w:sz w:val="18"/>
              </w:rPr>
              <w:t>EUR/km</w:t>
            </w:r>
          </w:p>
        </w:tc>
      </w:tr>
    </w:tbl>
    <w:tbl>
      <w:tblPr>
        <w:tblStyle w:val="LightShading-Accent1"/>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4479"/>
            <w:vAlign w:val="center"/>
          </w:tcPr>
          <w:p>
            <w:pPr>
              <w:spacing w:after="60" w:before="40"/>
            </w:pPr>
            <w:r>
              <w:rPr>
                <w:b/>
                <w:color w:val="173B4B"/>
                <w:sz w:val="18"/>
              </w:rPr>
              <w:t>Kennzahl</w:t>
            </w:r>
          </w:p>
        </w:tc>
        <w:tc>
          <w:tcPr>
            <w:tcW w:type="dxa" w:w="1928"/>
            <w:vAlign w:val="center"/>
          </w:tcPr>
          <w:p>
            <w:pPr>
              <w:spacing w:after="60" w:before="40"/>
            </w:pPr>
            <w:r>
              <w:rPr>
                <w:b/>
                <w:color w:val="173B4B"/>
                <w:sz w:val="18"/>
              </w:rPr>
              <w:t>Diesel</w:t>
            </w:r>
          </w:p>
        </w:tc>
        <w:tc>
          <w:tcPr>
            <w:tcW w:type="dxa" w:w="1928"/>
            <w:vAlign w:val="center"/>
          </w:tcPr>
          <w:p>
            <w:pPr>
              <w:spacing w:after="60" w:before="40"/>
            </w:pPr>
            <w:r>
              <w:rPr>
                <w:b/>
                <w:color w:val="173B4B"/>
                <w:sz w:val="18"/>
              </w:rPr>
              <w:t>BEV</w:t>
            </w:r>
          </w:p>
        </w:tc>
        <w:tc>
          <w:tcPr>
            <w:tcW w:type="dxa" w:w="1587"/>
            <w:vAlign w:val="center"/>
          </w:tcPr>
          <w:p>
            <w:pPr>
              <w:spacing w:after="60" w:before="40"/>
            </w:pPr>
            <w:r>
              <w:rPr>
                <w:b/>
                <w:color w:val="173B4B"/>
                <w:sz w:val="18"/>
              </w:rPr>
              <w:t>Einheit</w:t>
            </w:r>
          </w:p>
        </w:tc>
      </w:tr>
      <w:tr>
        <w:trPr>
          <w:cantSplit/>
        </w:trPr>
        <w:tc>
          <w:tcPr>
            <w:tcW w:type="dxa" w:w="4479"/>
            <w:vAlign w:val="center"/>
          </w:tcPr>
          <w:p>
            <w:pPr>
              <w:spacing w:after="60" w:before="40"/>
            </w:pPr>
            <w:r>
              <w:rPr>
                <w:sz w:val="18"/>
              </w:rPr>
              <w:t>Jährliche Personalkosten</w:t>
            </w:r>
          </w:p>
        </w:tc>
        <w:tc>
          <w:tcPr>
            <w:tcW w:type="dxa" w:w="1928"/>
            <w:vAlign w:val="center"/>
          </w:tcPr>
          <w:p>
            <w:pPr>
              <w:spacing w:after="60" w:before="40"/>
            </w:pPr>
            <w:r>
              <w:rPr>
                <w:sz w:val="18"/>
              </w:rPr>
              <w:t>64.000,00</w:t>
            </w:r>
          </w:p>
        </w:tc>
        <w:tc>
          <w:tcPr>
            <w:tcW w:type="dxa" w:w="1928"/>
            <w:vAlign w:val="center"/>
          </w:tcPr>
          <w:p>
            <w:pPr>
              <w:spacing w:after="60" w:before="40"/>
            </w:pPr>
            <w:r>
              <w:rPr>
                <w:sz w:val="18"/>
              </w:rPr>
              <w:t>64.000,00</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Gesamtkosten pro Jahr</w:t>
            </w:r>
          </w:p>
        </w:tc>
        <w:tc>
          <w:tcPr>
            <w:tcW w:type="dxa" w:w="1928"/>
            <w:vAlign w:val="center"/>
          </w:tcPr>
          <w:p>
            <w:pPr>
              <w:spacing w:after="60" w:before="40"/>
            </w:pPr>
            <w:r>
              <w:rPr>
                <w:sz w:val="18"/>
              </w:rPr>
              <w:t>172.890,39</w:t>
            </w:r>
          </w:p>
        </w:tc>
        <w:tc>
          <w:tcPr>
            <w:tcW w:type="dxa" w:w="1928"/>
            <w:vAlign w:val="center"/>
          </w:tcPr>
          <w:p>
            <w:pPr>
              <w:spacing w:after="60" w:before="40"/>
            </w:pPr>
            <w:r>
              <w:rPr>
                <w:sz w:val="18"/>
              </w:rPr>
              <w:t>163.348,21</w:t>
            </w:r>
          </w:p>
        </w:tc>
        <w:tc>
          <w:tcPr>
            <w:tcW w:type="dxa" w:w="1587"/>
            <w:vAlign w:val="center"/>
          </w:tcPr>
          <w:p>
            <w:pPr>
              <w:spacing w:after="60" w:before="40"/>
            </w:pPr>
            <w:r>
              <w:rPr>
                <w:sz w:val="18"/>
              </w:rPr>
              <w:t>EUR/Jahr</w:t>
            </w:r>
          </w:p>
        </w:tc>
      </w:tr>
      <w:tr>
        <w:trPr>
          <w:cantSplit/>
        </w:trPr>
        <w:tc>
          <w:tcPr>
            <w:tcW w:type="dxa" w:w="4479"/>
            <w:vAlign w:val="center"/>
          </w:tcPr>
          <w:p>
            <w:pPr>
              <w:spacing w:after="60" w:before="40"/>
            </w:pPr>
            <w:r>
              <w:rPr>
                <w:sz w:val="18"/>
              </w:rPr>
              <w:t>Fixkosten-Zeitsatz ohne Personal F/Hᵥ</w:t>
            </w:r>
          </w:p>
        </w:tc>
        <w:tc>
          <w:tcPr>
            <w:tcW w:type="dxa" w:w="1928"/>
            <w:vAlign w:val="center"/>
          </w:tcPr>
          <w:p>
            <w:pPr>
              <w:spacing w:after="60" w:before="40"/>
            </w:pPr>
            <w:r>
              <w:rPr>
                <w:sz w:val="18"/>
              </w:rPr>
              <w:t>13,76</w:t>
            </w:r>
          </w:p>
        </w:tc>
        <w:tc>
          <w:tcPr>
            <w:tcW w:type="dxa" w:w="1928"/>
            <w:vAlign w:val="center"/>
          </w:tcPr>
          <w:p>
            <w:pPr>
              <w:spacing w:after="60" w:before="40"/>
            </w:pPr>
            <w:r>
              <w:rPr>
                <w:sz w:val="18"/>
              </w:rPr>
              <w:t>29,23</w:t>
            </w:r>
          </w:p>
        </w:tc>
        <w:tc>
          <w:tcPr>
            <w:tcW w:type="dxa" w:w="1587"/>
            <w:vAlign w:val="center"/>
          </w:tcPr>
          <w:p>
            <w:pPr>
              <w:spacing w:after="60" w:before="40"/>
            </w:pPr>
            <w:r>
              <w:rPr>
                <w:sz w:val="18"/>
              </w:rPr>
              <w:t>EUR/h</w:t>
            </w:r>
          </w:p>
        </w:tc>
      </w:tr>
      <w:tr>
        <w:trPr>
          <w:cantSplit/>
        </w:trPr>
        <w:tc>
          <w:tcPr>
            <w:tcW w:type="dxa" w:w="4479"/>
            <w:vAlign w:val="center"/>
          </w:tcPr>
          <w:p>
            <w:pPr>
              <w:spacing w:after="60" w:before="40"/>
            </w:pPr>
            <w:r>
              <w:rPr>
                <w:sz w:val="18"/>
              </w:rPr>
              <w:t>Fixkosten-Zeitsatz + Personal¹</w:t>
            </w:r>
          </w:p>
        </w:tc>
        <w:tc>
          <w:tcPr>
            <w:tcW w:type="dxa" w:w="1928"/>
            <w:vAlign w:val="center"/>
          </w:tcPr>
          <w:p>
            <w:pPr>
              <w:spacing w:after="60" w:before="40"/>
            </w:pPr>
            <w:r>
              <w:rPr>
                <w:sz w:val="18"/>
              </w:rPr>
              <w:t>45,76</w:t>
            </w:r>
          </w:p>
        </w:tc>
        <w:tc>
          <w:tcPr>
            <w:tcW w:type="dxa" w:w="1928"/>
            <w:vAlign w:val="center"/>
          </w:tcPr>
          <w:p>
            <w:pPr>
              <w:spacing w:after="60" w:before="40"/>
            </w:pPr>
            <w:r>
              <w:rPr>
                <w:sz w:val="18"/>
              </w:rPr>
              <w:t>61,23</w:t>
            </w:r>
          </w:p>
        </w:tc>
        <w:tc>
          <w:tcPr>
            <w:tcW w:type="dxa" w:w="1587"/>
            <w:vAlign w:val="center"/>
          </w:tcPr>
          <w:p>
            <w:pPr>
              <w:spacing w:after="60" w:before="40"/>
            </w:pPr>
            <w:r>
              <w:rPr>
                <w:sz w:val="18"/>
              </w:rPr>
              <w:t>EUR/h</w:t>
            </w:r>
          </w:p>
        </w:tc>
      </w:tr>
      <w:tr>
        <w:trPr>
          <w:cantSplit/>
        </w:trPr>
        <w:tc>
          <w:tcPr>
            <w:tcW w:type="dxa" w:w="4479"/>
            <w:vAlign w:val="center"/>
          </w:tcPr>
          <w:p>
            <w:pPr>
              <w:spacing w:after="60" w:before="40"/>
            </w:pPr>
            <w:r>
              <w:rPr>
                <w:sz w:val="18"/>
              </w:rPr>
              <w:t>Kilometer-Vollkosten K/L</w:t>
            </w:r>
          </w:p>
        </w:tc>
        <w:tc>
          <w:tcPr>
            <w:tcW w:type="dxa" w:w="1928"/>
            <w:vAlign w:val="center"/>
          </w:tcPr>
          <w:p>
            <w:pPr>
              <w:spacing w:after="60" w:before="40"/>
            </w:pPr>
            <w:r>
              <w:rPr>
                <w:sz w:val="18"/>
              </w:rPr>
              <w:t>1,7289</w:t>
            </w:r>
          </w:p>
        </w:tc>
        <w:tc>
          <w:tcPr>
            <w:tcW w:type="dxa" w:w="1928"/>
            <w:vAlign w:val="center"/>
          </w:tcPr>
          <w:p>
            <w:pPr>
              <w:spacing w:after="60" w:before="40"/>
            </w:pPr>
            <w:r>
              <w:rPr>
                <w:sz w:val="18"/>
              </w:rPr>
              <w:t>1,6335</w:t>
            </w:r>
          </w:p>
        </w:tc>
        <w:tc>
          <w:tcPr>
            <w:tcW w:type="dxa" w:w="1587"/>
            <w:vAlign w:val="center"/>
          </w:tcPr>
          <w:p>
            <w:pPr>
              <w:spacing w:after="60" w:before="40"/>
            </w:pPr>
            <w:r>
              <w:rPr>
                <w:sz w:val="18"/>
              </w:rPr>
              <w:t>EUR/km</w:t>
            </w:r>
          </w:p>
        </w:tc>
      </w:tr>
      <w:tr>
        <w:trPr>
          <w:cantSplit/>
        </w:trPr>
        <w:tc>
          <w:tcPr>
            <w:tcW w:type="dxa" w:w="4479"/>
            <w:vAlign w:val="center"/>
          </w:tcPr>
          <w:p>
            <w:pPr>
              <w:spacing w:after="60" w:before="40"/>
            </w:pPr>
            <w:r>
              <w:rPr>
                <w:sz w:val="18"/>
              </w:rPr>
              <w:t>Transportleistungs-Vollkosten K/Q</w:t>
            </w:r>
          </w:p>
        </w:tc>
        <w:tc>
          <w:tcPr>
            <w:tcW w:type="dxa" w:w="1928"/>
            <w:vAlign w:val="center"/>
          </w:tcPr>
          <w:p>
            <w:pPr>
              <w:spacing w:after="60" w:before="40"/>
            </w:pPr>
            <w:r>
              <w:rPr>
                <w:sz w:val="18"/>
              </w:rPr>
              <w:t>0,1081</w:t>
            </w:r>
          </w:p>
        </w:tc>
        <w:tc>
          <w:tcPr>
            <w:tcW w:type="dxa" w:w="1928"/>
            <w:vAlign w:val="center"/>
          </w:tcPr>
          <w:p>
            <w:pPr>
              <w:spacing w:after="60" w:before="40"/>
            </w:pPr>
            <w:r>
              <w:rPr>
                <w:sz w:val="18"/>
              </w:rPr>
              <w:t>0,1021</w:t>
            </w:r>
          </w:p>
        </w:tc>
        <w:tc>
          <w:tcPr>
            <w:tcW w:type="dxa" w:w="1587"/>
            <w:vAlign w:val="center"/>
          </w:tcPr>
          <w:p>
            <w:pPr>
              <w:spacing w:after="60" w:before="40"/>
            </w:pPr>
            <w:r>
              <w:rPr>
                <w:sz w:val="18"/>
              </w:rPr>
              <w:t>EUR/tkm</w:t>
            </w:r>
          </w:p>
        </w:tc>
      </w:tr>
      <w:tr>
        <w:trPr>
          <w:cantSplit/>
        </w:trPr>
        <w:tc>
          <w:tcPr>
            <w:tcW w:type="dxa" w:w="4479"/>
            <w:vAlign w:val="center"/>
          </w:tcPr>
          <w:p>
            <w:pPr>
              <w:spacing w:after="60" w:before="40"/>
            </w:pPr>
            <w:r>
              <w:rPr>
                <w:sz w:val="18"/>
              </w:rPr>
              <w:t>Alle Kosten auf Einsatzstunden umgelegt²</w:t>
            </w:r>
          </w:p>
        </w:tc>
        <w:tc>
          <w:tcPr>
            <w:tcW w:type="dxa" w:w="1928"/>
            <w:vAlign w:val="center"/>
          </w:tcPr>
          <w:p>
            <w:pPr>
              <w:spacing w:after="60" w:before="40"/>
            </w:pPr>
            <w:r>
              <w:rPr>
                <w:sz w:val="18"/>
              </w:rPr>
              <w:t>86,45</w:t>
            </w:r>
          </w:p>
        </w:tc>
        <w:tc>
          <w:tcPr>
            <w:tcW w:type="dxa" w:w="1928"/>
            <w:vAlign w:val="center"/>
          </w:tcPr>
          <w:p>
            <w:pPr>
              <w:spacing w:after="60" w:before="40"/>
            </w:pPr>
            <w:r>
              <w:rPr>
                <w:sz w:val="18"/>
              </w:rPr>
              <w:t>81,67</w:t>
            </w:r>
          </w:p>
        </w:tc>
        <w:tc>
          <w:tcPr>
            <w:tcW w:type="dxa" w:w="1587"/>
            <w:vAlign w:val="center"/>
          </w:tcPr>
          <w:p>
            <w:pPr>
              <w:spacing w:after="60" w:before="40"/>
            </w:pPr>
            <w:r>
              <w:rPr>
                <w:sz w:val="18"/>
              </w:rPr>
              <w:t>EUR/h</w:t>
            </w:r>
          </w:p>
        </w:tc>
      </w:tr>
    </w:tbl>
    <w:p>
      <w:r>
        <w:rPr>
          <w:i/>
          <w:color w:val="526775"/>
          <w:sz w:val="18"/>
        </w:rPr>
        <w:t>¹ Nur weil Hᵥ = H𝒹 im Beispiel. Bei unterschiedlichen Zeitbasen Personal separat berechnen. Dieser Satz enthält noch keine kilometerabhängigen Kosten. ² Enthält auch diese Kilometerkosten und darf daher nicht zusammen mit ihnen addiert werden.</w:t>
      </w:r>
    </w:p>
    <w:p>
      <w:r>
        <w:t>Kontrolle: Diesel K = 27.510,39 + 100.000 × 0,8138 + 2.000 × 32 = 172.890,39 EUR/Jahr. BEV K = 58.456,91 + 100.000 × 0,408913… + 64.000 = 163.348,21 EUR/Jahr.</w:t>
      </w:r>
    </w:p>
    <w:p>
      <w:r>
        <w:t>BEV-Maut: 0 EUR/km im aktuellen Referenzjahr aufgrund der Befreiung emissionsfreier Fahrzeuge &gt;4,25 t, längstens bis 30.06.2031 [Q12]. Diese Befreiung nicht pauschal über die achtjährige Nutzungsdauer fortschreiben.</w:t>
      </w:r>
    </w:p>
    <w:p>
      <w:r>
        <w:br w:type="page"/>
      </w:r>
    </w:p>
    <w:p>
      <w:pPr>
        <w:pStyle w:val="Heading1"/>
      </w:pPr>
      <w:r>
        <w:t>13  Interpretation und Sensitivitäten</w:t>
      </w:r>
    </w:p>
    <w:p>
      <w:pPr>
        <w:pStyle w:val="Heading2"/>
      </w:pPr>
      <w:r>
        <w:t>13.1  Aussage des Zahlenbeispiels</w:t>
      </w:r>
    </w:p>
    <w:p>
      <w:r>
        <w:t>Unter den gesetzten Annahmen liegt BEV um 9.542,18 EUR/Jahr bzw. 5,52 % unter Diesel. Höhere Kapital- und Infrastrukturkosten werden durch geringere Energie-, Wartungs- und Mautkosten kompensiert. Dies ist ein Szenarioergebnis, keine allgemeine Technologie-Rangfolge.</w:t>
      </w:r>
    </w:p>
    <w:p>
      <w:r>
        <w:t>Der BEV-Strompreis, bei dem beide Varianten bei 100.000 km/Jahr gleich teuer sind, beträgt rund 0,330 EUR/kWh am Netzanschlusspunkt. Er gilt nur bei unveränderten übrigen Parametern, einschließlich Infrastrukturkosten und aktueller Mautbefreiung.</w:t>
      </w:r>
    </w:p>
    <w:p>
      <w:pPr>
        <w:pStyle w:val="Heading2"/>
      </w:pPr>
      <w:r>
        <w:t>13.2  Fahrleistung und Strompreis</w:t>
      </w:r>
    </w:p>
    <w:p>
      <w:r>
        <w:t>Variation: Hᵥ = H𝒹 = L/50, sonst gleiche Fixkosten und Verbrauchssätze; Infrastruktur bleibt unverändert. Bei höheren Fahrleistungen ist die operative Lade-/Fahrplanmachbarkeit separat zu prüfen. Keine Berücksichtigung zusätzlicher Schichten oder altersabhängiger Reparaturen.</w:t>
      </w:r>
    </w:p>
    <w:tbl>
      <w:tblPr>
        <w:tblStyle w:val="LightShading-Accent1"/>
        <w:tblW w:type="auto" w:w="0"/>
        <w:jc w:val="center"/>
        <w:tblLayout w:type="fixed"/>
        <w:tblLook w:firstColumn="1" w:firstRow="1" w:lastColumn="0" w:lastRow="0" w:noHBand="0" w:noVBand="1" w:val="04A0"/>
      </w:tblPr>
      <w:tblGrid>
        <w:gridCol w:w="2007"/>
        <w:gridCol w:w="2007"/>
        <w:gridCol w:w="2007"/>
        <w:gridCol w:w="2007"/>
        <w:gridCol w:w="2007"/>
      </w:tblGrid>
      <w:tr>
        <w:trPr>
          <w:cantSplit/>
          <w:tblHeader/>
        </w:trPr>
        <w:tc>
          <w:tcPr>
            <w:tcW w:type="dxa" w:w="1814"/>
            <w:vAlign w:val="center"/>
          </w:tcPr>
          <w:p>
            <w:pPr>
              <w:spacing w:after="60" w:before="40"/>
            </w:pPr>
            <w:r>
              <w:rPr>
                <w:b/>
                <w:color w:val="173B4B"/>
                <w:sz w:val="18"/>
              </w:rPr>
              <w:t>km/Jahr</w:t>
            </w:r>
          </w:p>
        </w:tc>
        <w:tc>
          <w:tcPr>
            <w:tcW w:type="dxa" w:w="1928"/>
            <w:vAlign w:val="center"/>
          </w:tcPr>
          <w:p>
            <w:pPr>
              <w:spacing w:after="60" w:before="40"/>
            </w:pPr>
            <w:r>
              <w:rPr>
                <w:b/>
                <w:color w:val="173B4B"/>
                <w:sz w:val="18"/>
              </w:rPr>
              <w:t>Strom EUR/kWh</w:t>
            </w:r>
          </w:p>
        </w:tc>
        <w:tc>
          <w:tcPr>
            <w:tcW w:type="dxa" w:w="2041"/>
            <w:vAlign w:val="center"/>
          </w:tcPr>
          <w:p>
            <w:pPr>
              <w:spacing w:after="60" w:before="40"/>
            </w:pPr>
            <w:r>
              <w:rPr>
                <w:b/>
                <w:color w:val="173B4B"/>
                <w:sz w:val="18"/>
              </w:rPr>
              <w:t>Diesel EUR/km</w:t>
            </w:r>
          </w:p>
        </w:tc>
        <w:tc>
          <w:tcPr>
            <w:tcW w:type="dxa" w:w="2041"/>
            <w:vAlign w:val="center"/>
          </w:tcPr>
          <w:p>
            <w:pPr>
              <w:spacing w:after="60" w:before="40"/>
            </w:pPr>
            <w:r>
              <w:rPr>
                <w:b/>
                <w:color w:val="173B4B"/>
                <w:sz w:val="18"/>
              </w:rPr>
              <w:t>BEV EUR/km</w:t>
            </w:r>
          </w:p>
        </w:tc>
        <w:tc>
          <w:tcPr>
            <w:tcW w:type="dxa" w:w="2098"/>
            <w:vAlign w:val="center"/>
          </w:tcPr>
          <w:p>
            <w:pPr>
              <w:spacing w:after="60" w:before="40"/>
            </w:pPr>
            <w:r>
              <w:rPr>
                <w:b/>
                <w:color w:val="173B4B"/>
                <w:sz w:val="18"/>
              </w:rPr>
              <w:t>BEV − Diesel</w:t>
            </w:r>
          </w:p>
        </w:tc>
      </w:tr>
      <w:tr>
        <w:trPr>
          <w:cantSplit/>
        </w:trPr>
        <w:tc>
          <w:tcPr>
            <w:tcW w:type="dxa" w:w="1814"/>
            <w:vAlign w:val="center"/>
          </w:tcPr>
          <w:p>
            <w:pPr>
              <w:spacing w:after="60" w:before="40"/>
            </w:pPr>
            <w:r>
              <w:rPr>
                <w:sz w:val="18"/>
              </w:rPr>
              <w:t>60.000</w:t>
            </w:r>
          </w:p>
        </w:tc>
        <w:tc>
          <w:tcPr>
            <w:tcW w:type="dxa" w:w="1928"/>
            <w:vAlign w:val="center"/>
          </w:tcPr>
          <w:p>
            <w:pPr>
              <w:spacing w:after="60" w:before="40"/>
            </w:pPr>
            <w:r>
              <w:rPr>
                <w:sz w:val="18"/>
              </w:rPr>
              <w:t>0,15</w:t>
            </w:r>
          </w:p>
        </w:tc>
        <w:tc>
          <w:tcPr>
            <w:tcW w:type="dxa" w:w="2041"/>
            <w:vAlign w:val="center"/>
          </w:tcPr>
          <w:p>
            <w:pPr>
              <w:spacing w:after="60" w:before="40"/>
            </w:pPr>
            <w:r>
              <w:rPr>
                <w:sz w:val="18"/>
              </w:rPr>
              <w:t>1,912</w:t>
            </w:r>
          </w:p>
        </w:tc>
        <w:tc>
          <w:tcPr>
            <w:tcW w:type="dxa" w:w="2041"/>
            <w:vAlign w:val="center"/>
          </w:tcPr>
          <w:p>
            <w:pPr>
              <w:spacing w:after="60" w:before="40"/>
            </w:pPr>
            <w:r>
              <w:rPr>
                <w:sz w:val="18"/>
              </w:rPr>
              <w:t>1,904</w:t>
            </w:r>
          </w:p>
        </w:tc>
        <w:tc>
          <w:tcPr>
            <w:tcW w:type="dxa" w:w="2098"/>
            <w:vAlign w:val="center"/>
          </w:tcPr>
          <w:p>
            <w:pPr>
              <w:spacing w:after="60" w:before="40"/>
            </w:pPr>
            <w:r>
              <w:rPr>
                <w:sz w:val="18"/>
              </w:rPr>
              <w:t>-0,009</w:t>
            </w:r>
          </w:p>
        </w:tc>
      </w:tr>
      <w:tr>
        <w:trPr>
          <w:cantSplit/>
        </w:trPr>
        <w:tc>
          <w:tcPr>
            <w:tcW w:type="dxa" w:w="1814"/>
            <w:vAlign w:val="center"/>
          </w:tcPr>
          <w:p>
            <w:pPr>
              <w:spacing w:after="60" w:before="40"/>
            </w:pPr>
            <w:r>
              <w:rPr>
                <w:sz w:val="18"/>
              </w:rPr>
              <w:t>60.000</w:t>
            </w:r>
          </w:p>
        </w:tc>
        <w:tc>
          <w:tcPr>
            <w:tcW w:type="dxa" w:w="1928"/>
            <w:vAlign w:val="center"/>
          </w:tcPr>
          <w:p>
            <w:pPr>
              <w:spacing w:after="60" w:before="40"/>
            </w:pPr>
            <w:r>
              <w:rPr>
                <w:sz w:val="18"/>
              </w:rPr>
              <w:t>0,25</w:t>
            </w:r>
          </w:p>
        </w:tc>
        <w:tc>
          <w:tcPr>
            <w:tcW w:type="dxa" w:w="2041"/>
            <w:vAlign w:val="center"/>
          </w:tcPr>
          <w:p>
            <w:pPr>
              <w:spacing w:after="60" w:before="40"/>
            </w:pPr>
            <w:r>
              <w:rPr>
                <w:sz w:val="18"/>
              </w:rPr>
              <w:t>1,912</w:t>
            </w:r>
          </w:p>
        </w:tc>
        <w:tc>
          <w:tcPr>
            <w:tcW w:type="dxa" w:w="2041"/>
            <w:vAlign w:val="center"/>
          </w:tcPr>
          <w:p>
            <w:pPr>
              <w:spacing w:after="60" w:before="40"/>
            </w:pPr>
            <w:r>
              <w:rPr>
                <w:sz w:val="18"/>
              </w:rPr>
              <w:t>2,023</w:t>
            </w:r>
          </w:p>
        </w:tc>
        <w:tc>
          <w:tcPr>
            <w:tcW w:type="dxa" w:w="2098"/>
            <w:vAlign w:val="center"/>
          </w:tcPr>
          <w:p>
            <w:pPr>
              <w:spacing w:after="60" w:before="40"/>
            </w:pPr>
            <w:r>
              <w:rPr>
                <w:sz w:val="18"/>
              </w:rPr>
              <w:t>0,111</w:t>
            </w:r>
          </w:p>
        </w:tc>
      </w:tr>
      <w:tr>
        <w:trPr>
          <w:cantSplit/>
        </w:trPr>
        <w:tc>
          <w:tcPr>
            <w:tcW w:type="dxa" w:w="1814"/>
            <w:vAlign w:val="center"/>
          </w:tcPr>
          <w:p>
            <w:pPr>
              <w:spacing w:after="60" w:before="40"/>
            </w:pPr>
            <w:r>
              <w:rPr>
                <w:sz w:val="18"/>
              </w:rPr>
              <w:t>60.000</w:t>
            </w:r>
          </w:p>
        </w:tc>
        <w:tc>
          <w:tcPr>
            <w:tcW w:type="dxa" w:w="1928"/>
            <w:vAlign w:val="center"/>
          </w:tcPr>
          <w:p>
            <w:pPr>
              <w:spacing w:after="60" w:before="40"/>
            </w:pPr>
            <w:r>
              <w:rPr>
                <w:sz w:val="18"/>
              </w:rPr>
              <w:t>0,40</w:t>
            </w:r>
          </w:p>
        </w:tc>
        <w:tc>
          <w:tcPr>
            <w:tcW w:type="dxa" w:w="2041"/>
            <w:vAlign w:val="center"/>
          </w:tcPr>
          <w:p>
            <w:pPr>
              <w:spacing w:after="60" w:before="40"/>
            </w:pPr>
            <w:r>
              <w:rPr>
                <w:sz w:val="18"/>
              </w:rPr>
              <w:t>1,912</w:t>
            </w:r>
          </w:p>
        </w:tc>
        <w:tc>
          <w:tcPr>
            <w:tcW w:type="dxa" w:w="2041"/>
            <w:vAlign w:val="center"/>
          </w:tcPr>
          <w:p>
            <w:pPr>
              <w:spacing w:after="60" w:before="40"/>
            </w:pPr>
            <w:r>
              <w:rPr>
                <w:sz w:val="18"/>
              </w:rPr>
              <w:t>2,203</w:t>
            </w:r>
          </w:p>
        </w:tc>
        <w:tc>
          <w:tcPr>
            <w:tcW w:type="dxa" w:w="2098"/>
            <w:vAlign w:val="center"/>
          </w:tcPr>
          <w:p>
            <w:pPr>
              <w:spacing w:after="60" w:before="40"/>
            </w:pPr>
            <w:r>
              <w:rPr>
                <w:sz w:val="18"/>
              </w:rPr>
              <w:t>0,290</w:t>
            </w:r>
          </w:p>
        </w:tc>
      </w:tr>
      <w:tr>
        <w:trPr>
          <w:cantSplit/>
        </w:trPr>
        <w:tc>
          <w:tcPr>
            <w:tcW w:type="dxa" w:w="1814"/>
            <w:vAlign w:val="center"/>
          </w:tcPr>
          <w:p>
            <w:pPr>
              <w:spacing w:after="60" w:before="40"/>
            </w:pPr>
            <w:r>
              <w:rPr>
                <w:sz w:val="18"/>
              </w:rPr>
              <w:t>60.000</w:t>
            </w:r>
          </w:p>
        </w:tc>
        <w:tc>
          <w:tcPr>
            <w:tcW w:type="dxa" w:w="1928"/>
            <w:vAlign w:val="center"/>
          </w:tcPr>
          <w:p>
            <w:pPr>
              <w:spacing w:after="60" w:before="40"/>
            </w:pPr>
            <w:r>
              <w:rPr>
                <w:sz w:val="18"/>
              </w:rPr>
              <w:t>0,60</w:t>
            </w:r>
          </w:p>
        </w:tc>
        <w:tc>
          <w:tcPr>
            <w:tcW w:type="dxa" w:w="2041"/>
            <w:vAlign w:val="center"/>
          </w:tcPr>
          <w:p>
            <w:pPr>
              <w:spacing w:after="60" w:before="40"/>
            </w:pPr>
            <w:r>
              <w:rPr>
                <w:sz w:val="18"/>
              </w:rPr>
              <w:t>1,912</w:t>
            </w:r>
          </w:p>
        </w:tc>
        <w:tc>
          <w:tcPr>
            <w:tcW w:type="dxa" w:w="2041"/>
            <w:vAlign w:val="center"/>
          </w:tcPr>
          <w:p>
            <w:pPr>
              <w:spacing w:after="60" w:before="40"/>
            </w:pPr>
            <w:r>
              <w:rPr>
                <w:sz w:val="18"/>
              </w:rPr>
              <w:t>2,442</w:t>
            </w:r>
          </w:p>
        </w:tc>
        <w:tc>
          <w:tcPr>
            <w:tcW w:type="dxa" w:w="2098"/>
            <w:vAlign w:val="center"/>
          </w:tcPr>
          <w:p>
            <w:pPr>
              <w:spacing w:after="60" w:before="40"/>
            </w:pPr>
            <w:r>
              <w:rPr>
                <w:sz w:val="18"/>
              </w:rPr>
              <w:t>0,529</w:t>
            </w:r>
          </w:p>
        </w:tc>
      </w:tr>
      <w:tr>
        <w:trPr>
          <w:cantSplit/>
        </w:trPr>
        <w:tc>
          <w:tcPr>
            <w:tcW w:type="dxa" w:w="1814"/>
            <w:vAlign w:val="center"/>
          </w:tcPr>
          <w:p>
            <w:pPr>
              <w:spacing w:after="60" w:before="40"/>
            </w:pPr>
            <w:r>
              <w:rPr>
                <w:sz w:val="18"/>
              </w:rPr>
              <w:t>100.000</w:t>
            </w:r>
          </w:p>
        </w:tc>
        <w:tc>
          <w:tcPr>
            <w:tcW w:type="dxa" w:w="1928"/>
            <w:vAlign w:val="center"/>
          </w:tcPr>
          <w:p>
            <w:pPr>
              <w:spacing w:after="60" w:before="40"/>
            </w:pPr>
            <w:r>
              <w:rPr>
                <w:sz w:val="18"/>
              </w:rPr>
              <w:t>0,15</w:t>
            </w:r>
          </w:p>
        </w:tc>
        <w:tc>
          <w:tcPr>
            <w:tcW w:type="dxa" w:w="2041"/>
            <w:vAlign w:val="center"/>
          </w:tcPr>
          <w:p>
            <w:pPr>
              <w:spacing w:after="60" w:before="40"/>
            </w:pPr>
            <w:r>
              <w:rPr>
                <w:sz w:val="18"/>
              </w:rPr>
              <w:t>1,729</w:t>
            </w:r>
          </w:p>
        </w:tc>
        <w:tc>
          <w:tcPr>
            <w:tcW w:type="dxa" w:w="2041"/>
            <w:vAlign w:val="center"/>
          </w:tcPr>
          <w:p>
            <w:pPr>
              <w:spacing w:after="60" w:before="40"/>
            </w:pPr>
            <w:r>
              <w:rPr>
                <w:sz w:val="18"/>
              </w:rPr>
              <w:t>1,514</w:t>
            </w:r>
          </w:p>
        </w:tc>
        <w:tc>
          <w:tcPr>
            <w:tcW w:type="dxa" w:w="2098"/>
            <w:vAlign w:val="center"/>
          </w:tcPr>
          <w:p>
            <w:pPr>
              <w:spacing w:after="60" w:before="40"/>
            </w:pPr>
            <w:r>
              <w:rPr>
                <w:sz w:val="18"/>
              </w:rPr>
              <w:t>-0,215</w:t>
            </w:r>
          </w:p>
        </w:tc>
      </w:tr>
      <w:tr>
        <w:trPr>
          <w:cantSplit/>
        </w:trPr>
        <w:tc>
          <w:tcPr>
            <w:tcW w:type="dxa" w:w="1814"/>
            <w:vAlign w:val="center"/>
          </w:tcPr>
          <w:p>
            <w:pPr>
              <w:spacing w:after="60" w:before="40"/>
            </w:pPr>
            <w:r>
              <w:rPr>
                <w:sz w:val="18"/>
              </w:rPr>
              <w:t>100.000</w:t>
            </w:r>
          </w:p>
        </w:tc>
        <w:tc>
          <w:tcPr>
            <w:tcW w:type="dxa" w:w="1928"/>
            <w:vAlign w:val="center"/>
          </w:tcPr>
          <w:p>
            <w:pPr>
              <w:spacing w:after="60" w:before="40"/>
            </w:pPr>
            <w:r>
              <w:rPr>
                <w:sz w:val="18"/>
              </w:rPr>
              <w:t>0,25</w:t>
            </w:r>
          </w:p>
        </w:tc>
        <w:tc>
          <w:tcPr>
            <w:tcW w:type="dxa" w:w="2041"/>
            <w:vAlign w:val="center"/>
          </w:tcPr>
          <w:p>
            <w:pPr>
              <w:spacing w:after="60" w:before="40"/>
            </w:pPr>
            <w:r>
              <w:rPr>
                <w:sz w:val="18"/>
              </w:rPr>
              <w:t>1,729</w:t>
            </w:r>
          </w:p>
        </w:tc>
        <w:tc>
          <w:tcPr>
            <w:tcW w:type="dxa" w:w="2041"/>
            <w:vAlign w:val="center"/>
          </w:tcPr>
          <w:p>
            <w:pPr>
              <w:spacing w:after="60" w:before="40"/>
            </w:pPr>
            <w:r>
              <w:rPr>
                <w:sz w:val="18"/>
              </w:rPr>
              <w:t>1,633</w:t>
            </w:r>
          </w:p>
        </w:tc>
        <w:tc>
          <w:tcPr>
            <w:tcW w:type="dxa" w:w="2098"/>
            <w:vAlign w:val="center"/>
          </w:tcPr>
          <w:p>
            <w:pPr>
              <w:spacing w:after="60" w:before="40"/>
            </w:pPr>
            <w:r>
              <w:rPr>
                <w:sz w:val="18"/>
              </w:rPr>
              <w:t>-0,095</w:t>
            </w:r>
          </w:p>
        </w:tc>
      </w:tr>
      <w:tr>
        <w:trPr>
          <w:cantSplit/>
        </w:trPr>
        <w:tc>
          <w:tcPr>
            <w:tcW w:type="dxa" w:w="1814"/>
            <w:vAlign w:val="center"/>
          </w:tcPr>
          <w:p>
            <w:pPr>
              <w:spacing w:after="60" w:before="40"/>
            </w:pPr>
            <w:r>
              <w:rPr>
                <w:sz w:val="18"/>
              </w:rPr>
              <w:t>100.000</w:t>
            </w:r>
          </w:p>
        </w:tc>
        <w:tc>
          <w:tcPr>
            <w:tcW w:type="dxa" w:w="1928"/>
            <w:vAlign w:val="center"/>
          </w:tcPr>
          <w:p>
            <w:pPr>
              <w:spacing w:after="60" w:before="40"/>
            </w:pPr>
            <w:r>
              <w:rPr>
                <w:sz w:val="18"/>
              </w:rPr>
              <w:t>0,40</w:t>
            </w:r>
          </w:p>
        </w:tc>
        <w:tc>
          <w:tcPr>
            <w:tcW w:type="dxa" w:w="2041"/>
            <w:vAlign w:val="center"/>
          </w:tcPr>
          <w:p>
            <w:pPr>
              <w:spacing w:after="60" w:before="40"/>
            </w:pPr>
            <w:r>
              <w:rPr>
                <w:sz w:val="18"/>
              </w:rPr>
              <w:t>1,729</w:t>
            </w:r>
          </w:p>
        </w:tc>
        <w:tc>
          <w:tcPr>
            <w:tcW w:type="dxa" w:w="2041"/>
            <w:vAlign w:val="center"/>
          </w:tcPr>
          <w:p>
            <w:pPr>
              <w:spacing w:after="60" w:before="40"/>
            </w:pPr>
            <w:r>
              <w:rPr>
                <w:sz w:val="18"/>
              </w:rPr>
              <w:t>1,813</w:t>
            </w:r>
          </w:p>
        </w:tc>
        <w:tc>
          <w:tcPr>
            <w:tcW w:type="dxa" w:w="2098"/>
            <w:vAlign w:val="center"/>
          </w:tcPr>
          <w:p>
            <w:pPr>
              <w:spacing w:after="60" w:before="40"/>
            </w:pPr>
            <w:r>
              <w:rPr>
                <w:sz w:val="18"/>
              </w:rPr>
              <w:t>0,084</w:t>
            </w:r>
          </w:p>
        </w:tc>
      </w:tr>
      <w:tr>
        <w:trPr>
          <w:cantSplit/>
        </w:trPr>
        <w:tc>
          <w:tcPr>
            <w:tcW w:type="dxa" w:w="1814"/>
            <w:vAlign w:val="center"/>
          </w:tcPr>
          <w:p>
            <w:pPr>
              <w:spacing w:after="60" w:before="40"/>
            </w:pPr>
            <w:r>
              <w:rPr>
                <w:sz w:val="18"/>
              </w:rPr>
              <w:t>100.000</w:t>
            </w:r>
          </w:p>
        </w:tc>
        <w:tc>
          <w:tcPr>
            <w:tcW w:type="dxa" w:w="1928"/>
            <w:vAlign w:val="center"/>
          </w:tcPr>
          <w:p>
            <w:pPr>
              <w:spacing w:after="60" w:before="40"/>
            </w:pPr>
            <w:r>
              <w:rPr>
                <w:sz w:val="18"/>
              </w:rPr>
              <w:t>0,60</w:t>
            </w:r>
          </w:p>
        </w:tc>
        <w:tc>
          <w:tcPr>
            <w:tcW w:type="dxa" w:w="2041"/>
            <w:vAlign w:val="center"/>
          </w:tcPr>
          <w:p>
            <w:pPr>
              <w:spacing w:after="60" w:before="40"/>
            </w:pPr>
            <w:r>
              <w:rPr>
                <w:sz w:val="18"/>
              </w:rPr>
              <w:t>1,729</w:t>
            </w:r>
          </w:p>
        </w:tc>
        <w:tc>
          <w:tcPr>
            <w:tcW w:type="dxa" w:w="2041"/>
            <w:vAlign w:val="center"/>
          </w:tcPr>
          <w:p>
            <w:pPr>
              <w:spacing w:after="60" w:before="40"/>
            </w:pPr>
            <w:r>
              <w:rPr>
                <w:sz w:val="18"/>
              </w:rPr>
              <w:t>2,052</w:t>
            </w:r>
          </w:p>
        </w:tc>
        <w:tc>
          <w:tcPr>
            <w:tcW w:type="dxa" w:w="2098"/>
            <w:vAlign w:val="center"/>
          </w:tcPr>
          <w:p>
            <w:pPr>
              <w:spacing w:after="60" w:before="40"/>
            </w:pPr>
            <w:r>
              <w:rPr>
                <w:sz w:val="18"/>
              </w:rPr>
              <w:t>0,323</w:t>
            </w:r>
          </w:p>
        </w:tc>
      </w:tr>
      <w:tr>
        <w:trPr>
          <w:cantSplit/>
        </w:trPr>
        <w:tc>
          <w:tcPr>
            <w:tcW w:type="dxa" w:w="1814"/>
            <w:vAlign w:val="center"/>
          </w:tcPr>
          <w:p>
            <w:pPr>
              <w:spacing w:after="60" w:before="40"/>
            </w:pPr>
            <w:r>
              <w:rPr>
                <w:sz w:val="18"/>
              </w:rPr>
              <w:t>140.000</w:t>
            </w:r>
          </w:p>
        </w:tc>
        <w:tc>
          <w:tcPr>
            <w:tcW w:type="dxa" w:w="1928"/>
            <w:vAlign w:val="center"/>
          </w:tcPr>
          <w:p>
            <w:pPr>
              <w:spacing w:after="60" w:before="40"/>
            </w:pPr>
            <w:r>
              <w:rPr>
                <w:sz w:val="18"/>
              </w:rPr>
              <w:t>0,15</w:t>
            </w:r>
          </w:p>
        </w:tc>
        <w:tc>
          <w:tcPr>
            <w:tcW w:type="dxa" w:w="2041"/>
            <w:vAlign w:val="center"/>
          </w:tcPr>
          <w:p>
            <w:pPr>
              <w:spacing w:after="60" w:before="40"/>
            </w:pPr>
            <w:r>
              <w:rPr>
                <w:sz w:val="18"/>
              </w:rPr>
              <w:t>1,650</w:t>
            </w:r>
          </w:p>
        </w:tc>
        <w:tc>
          <w:tcPr>
            <w:tcW w:type="dxa" w:w="2041"/>
            <w:vAlign w:val="center"/>
          </w:tcPr>
          <w:p>
            <w:pPr>
              <w:spacing w:after="60" w:before="40"/>
            </w:pPr>
            <w:r>
              <w:rPr>
                <w:sz w:val="18"/>
              </w:rPr>
              <w:t>1,347</w:t>
            </w:r>
          </w:p>
        </w:tc>
        <w:tc>
          <w:tcPr>
            <w:tcW w:type="dxa" w:w="2098"/>
            <w:vAlign w:val="center"/>
          </w:tcPr>
          <w:p>
            <w:pPr>
              <w:spacing w:after="60" w:before="40"/>
            </w:pPr>
            <w:r>
              <w:rPr>
                <w:sz w:val="18"/>
              </w:rPr>
              <w:t>-0,303</w:t>
            </w:r>
          </w:p>
        </w:tc>
      </w:tr>
      <w:tr>
        <w:trPr>
          <w:cantSplit/>
        </w:trPr>
        <w:tc>
          <w:tcPr>
            <w:tcW w:type="dxa" w:w="1814"/>
            <w:vAlign w:val="center"/>
          </w:tcPr>
          <w:p>
            <w:pPr>
              <w:spacing w:after="60" w:before="40"/>
            </w:pPr>
            <w:r>
              <w:rPr>
                <w:sz w:val="18"/>
              </w:rPr>
              <w:t>140.000</w:t>
            </w:r>
          </w:p>
        </w:tc>
        <w:tc>
          <w:tcPr>
            <w:tcW w:type="dxa" w:w="1928"/>
            <w:vAlign w:val="center"/>
          </w:tcPr>
          <w:p>
            <w:pPr>
              <w:spacing w:after="60" w:before="40"/>
            </w:pPr>
            <w:r>
              <w:rPr>
                <w:sz w:val="18"/>
              </w:rPr>
              <w:t>0,25</w:t>
            </w:r>
          </w:p>
        </w:tc>
        <w:tc>
          <w:tcPr>
            <w:tcW w:type="dxa" w:w="2041"/>
            <w:vAlign w:val="center"/>
          </w:tcPr>
          <w:p>
            <w:pPr>
              <w:spacing w:after="60" w:before="40"/>
            </w:pPr>
            <w:r>
              <w:rPr>
                <w:sz w:val="18"/>
              </w:rPr>
              <w:t>1,650</w:t>
            </w:r>
          </w:p>
        </w:tc>
        <w:tc>
          <w:tcPr>
            <w:tcW w:type="dxa" w:w="2041"/>
            <w:vAlign w:val="center"/>
          </w:tcPr>
          <w:p>
            <w:pPr>
              <w:spacing w:after="60" w:before="40"/>
            </w:pPr>
            <w:r>
              <w:rPr>
                <w:sz w:val="18"/>
              </w:rPr>
              <w:t>1,466</w:t>
            </w:r>
          </w:p>
        </w:tc>
        <w:tc>
          <w:tcPr>
            <w:tcW w:type="dxa" w:w="2098"/>
            <w:vAlign w:val="center"/>
          </w:tcPr>
          <w:p>
            <w:pPr>
              <w:spacing w:after="60" w:before="40"/>
            </w:pPr>
            <w:r>
              <w:rPr>
                <w:sz w:val="18"/>
              </w:rPr>
              <w:t>-0,184</w:t>
            </w:r>
          </w:p>
        </w:tc>
      </w:tr>
      <w:tr>
        <w:trPr>
          <w:cantSplit/>
        </w:trPr>
        <w:tc>
          <w:tcPr>
            <w:tcW w:type="dxa" w:w="1814"/>
            <w:vAlign w:val="center"/>
          </w:tcPr>
          <w:p>
            <w:pPr>
              <w:spacing w:after="60" w:before="40"/>
            </w:pPr>
            <w:r>
              <w:rPr>
                <w:sz w:val="18"/>
              </w:rPr>
              <w:t>140.000</w:t>
            </w:r>
          </w:p>
        </w:tc>
        <w:tc>
          <w:tcPr>
            <w:tcW w:type="dxa" w:w="1928"/>
            <w:vAlign w:val="center"/>
          </w:tcPr>
          <w:p>
            <w:pPr>
              <w:spacing w:after="60" w:before="40"/>
            </w:pPr>
            <w:r>
              <w:rPr>
                <w:sz w:val="18"/>
              </w:rPr>
              <w:t>0,40</w:t>
            </w:r>
          </w:p>
        </w:tc>
        <w:tc>
          <w:tcPr>
            <w:tcW w:type="dxa" w:w="2041"/>
            <w:vAlign w:val="center"/>
          </w:tcPr>
          <w:p>
            <w:pPr>
              <w:spacing w:after="60" w:before="40"/>
            </w:pPr>
            <w:r>
              <w:rPr>
                <w:sz w:val="18"/>
              </w:rPr>
              <w:t>1,650</w:t>
            </w:r>
          </w:p>
        </w:tc>
        <w:tc>
          <w:tcPr>
            <w:tcW w:type="dxa" w:w="2041"/>
            <w:vAlign w:val="center"/>
          </w:tcPr>
          <w:p>
            <w:pPr>
              <w:spacing w:after="60" w:before="40"/>
            </w:pPr>
            <w:r>
              <w:rPr>
                <w:sz w:val="18"/>
              </w:rPr>
              <w:t>1,646</w:t>
            </w:r>
          </w:p>
        </w:tc>
        <w:tc>
          <w:tcPr>
            <w:tcW w:type="dxa" w:w="2098"/>
            <w:vAlign w:val="center"/>
          </w:tcPr>
          <w:p>
            <w:pPr>
              <w:spacing w:after="60" w:before="40"/>
            </w:pPr>
            <w:r>
              <w:rPr>
                <w:sz w:val="18"/>
              </w:rPr>
              <w:t>-0,004</w:t>
            </w:r>
          </w:p>
        </w:tc>
      </w:tr>
      <w:tr>
        <w:trPr>
          <w:cantSplit/>
        </w:trPr>
        <w:tc>
          <w:tcPr>
            <w:tcW w:type="dxa" w:w="1814"/>
            <w:vAlign w:val="center"/>
          </w:tcPr>
          <w:p>
            <w:pPr>
              <w:spacing w:after="60" w:before="40"/>
            </w:pPr>
            <w:r>
              <w:rPr>
                <w:sz w:val="18"/>
              </w:rPr>
              <w:t>140.000</w:t>
            </w:r>
          </w:p>
        </w:tc>
        <w:tc>
          <w:tcPr>
            <w:tcW w:type="dxa" w:w="1928"/>
            <w:vAlign w:val="center"/>
          </w:tcPr>
          <w:p>
            <w:pPr>
              <w:spacing w:after="60" w:before="40"/>
            </w:pPr>
            <w:r>
              <w:rPr>
                <w:sz w:val="18"/>
              </w:rPr>
              <w:t>0,60</w:t>
            </w:r>
          </w:p>
        </w:tc>
        <w:tc>
          <w:tcPr>
            <w:tcW w:type="dxa" w:w="2041"/>
            <w:vAlign w:val="center"/>
          </w:tcPr>
          <w:p>
            <w:pPr>
              <w:spacing w:after="60" w:before="40"/>
            </w:pPr>
            <w:r>
              <w:rPr>
                <w:sz w:val="18"/>
              </w:rPr>
              <w:t>1,650</w:t>
            </w:r>
          </w:p>
        </w:tc>
        <w:tc>
          <w:tcPr>
            <w:tcW w:type="dxa" w:w="2041"/>
            <w:vAlign w:val="center"/>
          </w:tcPr>
          <w:p>
            <w:pPr>
              <w:spacing w:after="60" w:before="40"/>
            </w:pPr>
            <w:r>
              <w:rPr>
                <w:sz w:val="18"/>
              </w:rPr>
              <w:t>1,885</w:t>
            </w:r>
          </w:p>
        </w:tc>
        <w:tc>
          <w:tcPr>
            <w:tcW w:type="dxa" w:w="2098"/>
            <w:vAlign w:val="center"/>
          </w:tcPr>
          <w:p>
            <w:pPr>
              <w:spacing w:after="60" w:before="40"/>
            </w:pPr>
            <w:r>
              <w:rPr>
                <w:sz w:val="18"/>
              </w:rPr>
              <w:t>0,235</w:t>
            </w:r>
          </w:p>
        </w:tc>
      </w:tr>
    </w:tbl>
    <w:p>
      <w:pPr>
        <w:pStyle w:val="Heading2"/>
      </w:pPr>
      <w:r>
        <w:t>13.3  Weitere relevante Stresstests</w:t>
      </w:r>
    </w:p>
    <w:p>
      <w:r>
        <w:t>• Mautneutraler Vergleich: bei Maut = 0 für beide Varianten entfällt der Diesel-Mautblock von 27.840 EUR/Jahr. Diesel läge dann im Beispiel rund 18.298 EUR/Jahr unter BEV. Das isoliert die Bedeutung der Referenzjahrespolitik.</w:t>
        <w:br/>
        <w:t>• Zusätzliche bezahlte Ladezeit: 0,5 h an 250 Tagen = 4.000 EUR/Jahr zusätzliche Personalkosten. Besteht keine Schichtüberlappung mit Pausen, steigt der BEV-Satz um 0,040 EUR/km.</w:t>
        <w:br/>
        <w:t>• Außerplanmäßiger Batterietausch: 90.000 EUR in Jahr 6 würden bei 5 % und achtjähriger Annualisierung rund 10.391,02 EUR/Jahr zusätzlich verursachen, bei unverändertem Restwert. Nicht als wahrscheinlicher Ausfall interpretiert.</w:t>
        <w:br/>
        <w:t>• Nutzlast / Leerfahrt: bei identischen Kosten verändert jede Änderung der effektiven Tonnen je Gesamt-km unmittelbar den tkm-Satz. Bei Kapazitätsüberschreitung sind zusätzliche Fahrzeuge/Touren zu optimieren.</w:t>
      </w:r>
    </w:p>
    <w:p>
      <w:r>
        <w:rPr>
          <w:i/>
          <w:color w:val="526775"/>
          <w:sz w:val="18"/>
        </w:rPr>
        <w:t>Ein vollständiges Lebenszyklusmodell benötigt Preis- und Rechtsverläufe, zeitabhängigen Verbrauch/SoH, Ersatzereignisse, Steuerregeln und konsistente Restwerte. Einmalig annualisierte Investitionen mit konstanten Referenzjahresbetriebskosten sind davon zu unterscheiden.</w:t>
      </w:r>
    </w:p>
    <w:p>
      <w:r>
        <w:br w:type="page"/>
      </w:r>
    </w:p>
    <w:p>
      <w:pPr>
        <w:pStyle w:val="Heading1"/>
      </w:pPr>
      <w:r>
        <w:t>14  Übergabe an Flotten- und Tourenmodelle</w:t>
      </w:r>
    </w:p>
    <w:p>
      <w:pPr>
        <w:pStyle w:val="Heading2"/>
      </w:pPr>
      <w:r>
        <w:t>14.1  Strategische und operative Kostentreiber trennen</w:t>
      </w:r>
    </w:p>
    <w:p>
      <w:r>
        <w:t>Für FloTUV ist eine Zerlegung nach Fahrzeugaktivierung, Distanz, bezahlter Personalzeit und Lade-/Tankereignissen zweckmäßig. Der Projektantrag unterscheidet explizit variable kilometerbezogene und fixe zeitbezogene Einsatzkosten sowie die Allokation auf Aufträge [P1].</w:t>
      </w:r>
    </w:p>
    <w:tbl>
      <w:tblPr>
        <w:tblStyle w:val="LightShading-Accent1"/>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2494"/>
            <w:vAlign w:val="center"/>
          </w:tcPr>
          <w:p>
            <w:pPr>
              <w:spacing w:after="60" w:before="40"/>
            </w:pPr>
            <w:r>
              <w:rPr>
                <w:b/>
                <w:color w:val="173B4B"/>
                <w:sz w:val="18"/>
              </w:rPr>
              <w:t>Modellparameter</w:t>
            </w:r>
          </w:p>
        </w:tc>
        <w:tc>
          <w:tcPr>
            <w:tcW w:type="dxa" w:w="4706"/>
            <w:vAlign w:val="center"/>
          </w:tcPr>
          <w:p>
            <w:pPr>
              <w:spacing w:after="60" w:before="40"/>
            </w:pPr>
            <w:r>
              <w:rPr>
                <w:b/>
                <w:color w:val="173B4B"/>
                <w:sz w:val="18"/>
              </w:rPr>
              <w:t>Empfohlene Verwendung</w:t>
            </w:r>
          </w:p>
        </w:tc>
        <w:tc>
          <w:tcPr>
            <w:tcW w:type="dxa" w:w="2721"/>
            <w:vAlign w:val="center"/>
          </w:tcPr>
          <w:p>
            <w:pPr>
              <w:spacing w:after="60" w:before="40"/>
            </w:pPr>
            <w:r>
              <w:rPr>
                <w:b/>
                <w:color w:val="173B4B"/>
                <w:sz w:val="18"/>
              </w:rPr>
              <w:t>Beispielwerte Diesel / BEV</w:t>
            </w:r>
          </w:p>
        </w:tc>
      </w:tr>
      <w:tr>
        <w:trPr>
          <w:cantSplit/>
        </w:trPr>
        <w:tc>
          <w:tcPr>
            <w:tcW w:type="dxa" w:w="2494"/>
            <w:vAlign w:val="center"/>
          </w:tcPr>
          <w:p>
            <w:pPr>
              <w:spacing w:after="60" w:before="40"/>
            </w:pPr>
            <w:r>
              <w:rPr>
                <w:sz w:val="18"/>
              </w:rPr>
              <w:t>Fᵥ [EUR/Fahrzeugjahr]</w:t>
            </w:r>
          </w:p>
        </w:tc>
        <w:tc>
          <w:tcPr>
            <w:tcW w:type="dxa" w:w="4706"/>
            <w:vAlign w:val="center"/>
          </w:tcPr>
          <w:p>
            <w:pPr>
              <w:spacing w:after="60" w:before="40"/>
            </w:pPr>
            <w:r>
              <w:rPr>
                <w:sz w:val="18"/>
              </w:rPr>
              <w:t>Strategische Flottenwahl / aktiviertes Fahrzeug; im Routing nur über definierte Tages-/Tourenfixkosten</w:t>
            </w:r>
          </w:p>
        </w:tc>
        <w:tc>
          <w:tcPr>
            <w:tcW w:type="dxa" w:w="2721"/>
            <w:vAlign w:val="center"/>
          </w:tcPr>
          <w:p>
            <w:pPr>
              <w:spacing w:after="60" w:before="40"/>
            </w:pPr>
            <w:r>
              <w:rPr>
                <w:sz w:val="18"/>
              </w:rPr>
              <w:t>27.510,39 / 58.456,91</w:t>
            </w:r>
          </w:p>
        </w:tc>
      </w:tr>
      <w:tr>
        <w:trPr>
          <w:cantSplit/>
        </w:trPr>
        <w:tc>
          <w:tcPr>
            <w:tcW w:type="dxa" w:w="2494"/>
            <w:vAlign w:val="center"/>
          </w:tcPr>
          <w:p>
            <w:pPr>
              <w:spacing w:after="60" w:before="40"/>
            </w:pPr>
            <w:r>
              <w:rPr>
                <w:sz w:val="18"/>
              </w:rPr>
              <w:t>cᵥ,km [EUR/km]</w:t>
            </w:r>
          </w:p>
        </w:tc>
        <w:tc>
          <w:tcPr>
            <w:tcW w:type="dxa" w:w="4706"/>
            <w:vAlign w:val="center"/>
          </w:tcPr>
          <w:p>
            <w:pPr>
              <w:spacing w:after="60" w:before="40"/>
            </w:pPr>
            <w:r>
              <w:rPr>
                <w:sz w:val="18"/>
              </w:rPr>
              <w:t>Entfernungsabhängige Kosten; bei variabler Ladung Verbrauchsfunktion statt konstantem Mittel</w:t>
            </w:r>
          </w:p>
        </w:tc>
        <w:tc>
          <w:tcPr>
            <w:tcW w:type="dxa" w:w="2721"/>
            <w:vAlign w:val="center"/>
          </w:tcPr>
          <w:p>
            <w:pPr>
              <w:spacing w:after="60" w:before="40"/>
            </w:pPr>
            <w:r>
              <w:rPr>
                <w:sz w:val="18"/>
              </w:rPr>
              <w:t>0,8138 / 0,4089</w:t>
            </w:r>
          </w:p>
        </w:tc>
      </w:tr>
      <w:tr>
        <w:trPr>
          <w:cantSplit/>
        </w:trPr>
        <w:tc>
          <w:tcPr>
            <w:tcW w:type="dxa" w:w="2494"/>
            <w:vAlign w:val="center"/>
          </w:tcPr>
          <w:p>
            <w:pPr>
              <w:spacing w:after="60" w:before="40"/>
            </w:pPr>
            <w:r>
              <w:rPr>
                <w:sz w:val="18"/>
              </w:rPr>
              <w:t>c𝒹 [EUR/bezahlter h]</w:t>
            </w:r>
          </w:p>
        </w:tc>
        <w:tc>
          <w:tcPr>
            <w:tcW w:type="dxa" w:w="4706"/>
            <w:vAlign w:val="center"/>
          </w:tcPr>
          <w:p>
            <w:pPr>
              <w:spacing w:after="60" w:before="40"/>
            </w:pPr>
            <w:r>
              <w:rPr>
                <w:sz w:val="18"/>
              </w:rPr>
              <w:t>Fahr-, Service-, Warte- und ggf. Ladezeit gemäß Personaleinsatz</w:t>
            </w:r>
          </w:p>
        </w:tc>
        <w:tc>
          <w:tcPr>
            <w:tcW w:type="dxa" w:w="2721"/>
            <w:vAlign w:val="center"/>
          </w:tcPr>
          <w:p>
            <w:pPr>
              <w:spacing w:after="60" w:before="40"/>
            </w:pPr>
            <w:r>
              <w:rPr>
                <w:sz w:val="18"/>
              </w:rPr>
              <w:t>32 / 32</w:t>
            </w:r>
          </w:p>
        </w:tc>
      </w:tr>
      <w:tr>
        <w:trPr>
          <w:cantSplit/>
        </w:trPr>
        <w:tc>
          <w:tcPr>
            <w:tcW w:type="dxa" w:w="2494"/>
            <w:vAlign w:val="center"/>
          </w:tcPr>
          <w:p>
            <w:pPr>
              <w:spacing w:after="60" w:before="40"/>
            </w:pPr>
            <w:r>
              <w:rPr>
                <w:sz w:val="18"/>
              </w:rPr>
              <w:t>Fᵥ/Hᵥ [EUR/h]</w:t>
            </w:r>
          </w:p>
        </w:tc>
        <w:tc>
          <w:tcPr>
            <w:tcW w:type="dxa" w:w="4706"/>
            <w:vAlign w:val="center"/>
          </w:tcPr>
          <w:p>
            <w:pPr>
              <w:spacing w:after="60" w:before="40"/>
            </w:pPr>
            <w:r>
              <w:rPr>
                <w:sz w:val="18"/>
              </w:rPr>
              <w:t>Kalkulatorische Vollkostenumlage; nicht zusätzlich zu Fᵥ addieren</w:t>
            </w:r>
          </w:p>
        </w:tc>
        <w:tc>
          <w:tcPr>
            <w:tcW w:type="dxa" w:w="2721"/>
            <w:vAlign w:val="center"/>
          </w:tcPr>
          <w:p>
            <w:pPr>
              <w:spacing w:after="60" w:before="40"/>
            </w:pPr>
            <w:r>
              <w:rPr>
                <w:sz w:val="18"/>
              </w:rPr>
              <w:t>13,7552 / 29,2285</w:t>
            </w:r>
          </w:p>
        </w:tc>
      </w:tr>
      <w:tr>
        <w:trPr>
          <w:cantSplit/>
        </w:trPr>
        <w:tc>
          <w:tcPr>
            <w:tcW w:type="dxa" w:w="2494"/>
            <w:vAlign w:val="center"/>
          </w:tcPr>
          <w:p>
            <w:pPr>
              <w:spacing w:after="60" w:before="40"/>
            </w:pPr>
            <w:r>
              <w:rPr>
                <w:sz w:val="18"/>
              </w:rPr>
              <w:t>Qmax, Emax, η und SoC-Grenzen</w:t>
            </w:r>
          </w:p>
        </w:tc>
        <w:tc>
          <w:tcPr>
            <w:tcW w:type="dxa" w:w="4706"/>
            <w:vAlign w:val="center"/>
          </w:tcPr>
          <w:p>
            <w:pPr>
              <w:spacing w:after="60" w:before="40"/>
            </w:pPr>
            <w:r>
              <w:rPr>
                <w:sz w:val="18"/>
              </w:rPr>
              <w:t>Nutzlast-/Energie-/Zeitrestriktionen; Reichweite nicht nur als konstante Distanz</w:t>
            </w:r>
          </w:p>
        </w:tc>
        <w:tc>
          <w:tcPr>
            <w:tcW w:type="dxa" w:w="2721"/>
            <w:vAlign w:val="center"/>
          </w:tcPr>
          <w:p>
            <w:pPr>
              <w:spacing w:after="60" w:before="40"/>
            </w:pPr>
            <w:r>
              <w:rPr>
                <w:sz w:val="18"/>
              </w:rPr>
              <w:t>A: 24 / 22 t; BEV 600 kWh neu</w:t>
            </w:r>
          </w:p>
        </w:tc>
      </w:tr>
      <w:tr>
        <w:trPr>
          <w:cantSplit/>
        </w:trPr>
        <w:tc>
          <w:tcPr>
            <w:tcW w:type="dxa" w:w="2494"/>
            <w:vAlign w:val="center"/>
          </w:tcPr>
          <w:p>
            <w:pPr>
              <w:spacing w:after="60" w:before="40"/>
            </w:pPr>
            <w:r>
              <w:rPr>
                <w:sz w:val="18"/>
              </w:rPr>
              <w:t>Ainfra und Netzleistung</w:t>
            </w:r>
          </w:p>
        </w:tc>
        <w:tc>
          <w:tcPr>
            <w:tcW w:type="dxa" w:w="4706"/>
            <w:vAlign w:val="center"/>
          </w:tcPr>
          <w:p>
            <w:pPr>
              <w:spacing w:after="60" w:before="40"/>
            </w:pPr>
            <w:r>
              <w:rPr>
                <w:sz w:val="18"/>
              </w:rPr>
              <w:t>Standort-/Kapazitätsentscheidung; Umlage nur bei extern vorgegebenem Infrastrukturdesign</w:t>
            </w:r>
          </w:p>
        </w:tc>
        <w:tc>
          <w:tcPr>
            <w:tcW w:type="dxa" w:w="2721"/>
            <w:vAlign w:val="center"/>
          </w:tcPr>
          <w:p>
            <w:pPr>
              <w:spacing w:after="60" w:before="40"/>
            </w:pPr>
            <w:r>
              <w:rPr>
                <w:sz w:val="18"/>
              </w:rPr>
              <w:t>BEV 4.770,64 EUR/Fahrzeugjahr inkl. fixer OPEX</w:t>
            </w:r>
          </w:p>
        </w:tc>
      </w:tr>
    </w:tbl>
    <w:p>
      <w:pPr>
        <w:pStyle w:val="Heading2"/>
      </w:pPr>
      <w:r>
        <w:t>14.2  Transportkosten und Auftragsallokation</w:t>
      </w:r>
    </w:p>
    <w:p>
      <w:r>
        <w:t>cₜₖₘ = K/Σₐ qₐdₐ ist eine aggregierte Kennzahl, kein für jede Sendung konstanter Grenzkostensatz. Leerfahrten verursachen Kosten, aber keine Transportleistung. In Sammel-/Verteilertouren Last auf jedem Abschnitt erfassen. Die anschließende Allokation auf Verlader ist eine gesonderte normative bzw. spieltheoretische Entscheidung; sie folgt nicht automatisch aus dem tkm-Satz [P1].</w:t>
      </w:r>
    </w:p>
    <w:p>
      <w:pPr>
        <w:pStyle w:val="Heading2"/>
      </w:pPr>
      <w:r>
        <w:t>14.3  Optionale Umweltparameter</w:t>
      </w:r>
    </w:p>
    <w:p>
      <w:r>
        <w:t>Für einen Klimaeffizienzvergleich zusätzlich getrennte Tank-to-Wheel- und Well-to-Wheel-Faktoren sowie Energieherkunft, Bezugsjahr und Methode erfassen. Produktions-/Batterieemissionen sind eine separate Lebenszyklus-Systemgrenze. BEV hat keine fahrbedingten Abgas-CO₂-Emissionen, aber nicht automatisch null vorgelagerte Emissionen; bei LNG Methanschlupf und bei H₂ die Herstellungsroute dokumentieren. Der FloTUV-Antrag verlangt explizit die Unterscheidung der Emissionsgrenzen [P1].</w:t>
      </w:r>
    </w:p>
    <w:p>
      <w:pPr>
        <w:pStyle w:val="Heading2"/>
      </w:pPr>
      <w:r>
        <w:t>14.4  Reproduzierbarkeit und Aktualisierung</w:t>
      </w:r>
    </w:p>
    <w:p>
      <w:r>
        <w:t>Die begleitende CSV enthält die zwölf berechneten Fahrleistungs-/Strompreis-Szenarien. Word enthält statische Ergebnisse; Änderungen an Eingaben erfordern eine Neuberechnung. Für jeden neuen Datenstand Datensatz-ID, Abrufdatum und Quellenfassung archivieren. Vor einer empirischen oder publizierten Anwendung Annahmen durch Angebote, Verträge oder geeignete Messdaten ersetzen.</w:t>
      </w:r>
    </w:p>
    <w:p>
      <w:r>
        <w:br w:type="page"/>
      </w:r>
    </w:p>
    <w:p>
      <w:pPr>
        <w:pStyle w:val="Subtitle"/>
      </w:pPr>
      <w:r>
        <w:t>QUELLEN · 1 von 2</w:t>
      </w:r>
    </w:p>
    <w:p>
      <w:pPr>
        <w:pStyle w:val="Heading1"/>
      </w:pPr>
      <w:r>
        <w:t>15  Quellen und Nachweisregister</w:t>
      </w:r>
    </w:p>
    <w:p>
      <w:r>
        <w:t>Quellenschlüssel im Dokument verweisen auf die folgenden Originalquellen. Abruf-/Recherchestand jeweils 20.10.2026. Herstellerinformationen beschreiben Produkte und Auslegungsziele, ersetzen aber keine unabhängige Lebensdauer- oder Kostenvalidierung. URLs dienen der Rückverfolgung; Webseiten können sich ändern.</w:t>
      </w:r>
    </w:p>
    <w:p>
      <w:pPr>
        <w:pStyle w:val="Heading2"/>
      </w:pPr>
      <w:r>
        <w:t>P1</w:t>
      </w:r>
    </w:p>
    <w:p>
      <w:r>
        <w:t>Projektantrag_FloTUV.pdf; Vorhabenbeschreibung_DFG_FloTUV.pdf. Interne Projektdokumente, insbesondere Abschnitte zur Berechnung/Allokation von Fahrzeugkosten und technologischen/infrastrukturellen Daten.</w:t>
      </w:r>
    </w:p>
    <w:p>
      <w:r>
        <w:rPr>
          <w:i/>
          <w:color w:val="526775"/>
          <w:sz w:val="18"/>
        </w:rPr>
        <w:t>Projektdateien im FloTUV-Arbeitsbereich.</w:t>
      </w:r>
    </w:p>
    <w:p>
      <w:pPr>
        <w:pStyle w:val="Heading2"/>
      </w:pPr>
      <w:r>
        <w:t>Q1</w:t>
      </w:r>
    </w:p>
    <w:p>
      <w:r>
        <w:t>Basma, H.; Rodríguez, F. (2023): A total cost of ownership comparison of truck decarbonization pathways in Europe. ICCT Working Paper, 13.11.2023, Addendum 12.12.2023. Verwendung: Struktur der TCO-Komponenten; keine Übernahme aktueller 2026-Kaufpreise.</w:t>
      </w:r>
    </w:p>
    <w:p>
      <w:r>
        <w:rPr>
          <w:i/>
          <w:color w:val="526775"/>
          <w:sz w:val="18"/>
        </w:rPr>
        <w:t>https://theicct.org/publication/total-cost-ownership-trucks-europe-nov23/</w:t>
      </w:r>
    </w:p>
    <w:p>
      <w:pPr>
        <w:pStyle w:val="Heading2"/>
      </w:pPr>
      <w:r>
        <w:t>Q2</w:t>
      </w:r>
    </w:p>
    <w:p>
      <w:r>
        <w:t>Daimler Truck (30.09.2025): Mercedes-Benz Actros L ProCabin: Focus on Aerodynamics, Efficiency, and Driver Comfort. Verwendung: Seriengeneration seit Dezember 2024 und 12,8-l-OM-471-Dieselmotor.</w:t>
      </w:r>
    </w:p>
    <w:p>
      <w:r>
        <w:rPr>
          <w:i/>
          <w:color w:val="526775"/>
          <w:sz w:val="18"/>
        </w:rPr>
        <w:t>https://www.daimlertruck.com/en/newsroom/pressrelease/mercedes-benz-actros-l-procabin-focus-on-aerodynamics-efficiency-and-driver-comfort-53205138</w:t>
      </w:r>
    </w:p>
    <w:p>
      <w:pPr>
        <w:pStyle w:val="Heading2"/>
      </w:pPr>
      <w:r>
        <w:t>Q3</w:t>
      </w:r>
    </w:p>
    <w:p>
      <w:r>
        <w:t>Daimler Truck (09.12.2024): Mercedes-Benz Trucks hands over first series-produced eActros 600 to customers in Germany. Verwendung: Kundenauslieferung, zehn Jahre / 1,2 Mio. km als Auslegungsziel und Batterie-SoH &gt;80 %.</w:t>
      </w:r>
    </w:p>
    <w:p>
      <w:r>
        <w:rPr>
          <w:i/>
          <w:color w:val="526775"/>
          <w:sz w:val="18"/>
        </w:rPr>
        <w:t>https://www.daimlertruck.com/en/newsroom/pressrelease/mercedes-benz-trucks-hands-over-first-series-produced-eactros-600-to-customers-in-germany-52938275</w:t>
      </w:r>
    </w:p>
    <w:p>
      <w:pPr>
        <w:pStyle w:val="Heading2"/>
      </w:pPr>
      <w:r>
        <w:t>Q4</w:t>
      </w:r>
    </w:p>
    <w:p>
      <w:r>
        <w:t>Mercedes-Benz Trucks: The new eActros 600. CHARGED TO CHANGE. Britisches Produktblatt, ohne sicher erkennbares Ausgabedatum. Verwendung: 621/600 kWh, 400/600 kW, Gewicht, CCS/MCS, Testbedingungen und marktbezogene Garantiegrenzen. MCS-Zeit ausdrücklich als Simulation/Ziel beschrieben.</w:t>
      </w:r>
    </w:p>
    <w:p>
      <w:r>
        <w:rPr>
          <w:i/>
          <w:color w:val="526775"/>
          <w:sz w:val="18"/>
        </w:rPr>
        <w:t>https://www.mercedes-benz-trucks.com/content/dam/brandhub/markets/gb/files/product-sheets/eActros-600-product-sheet.pdf.coredownload.pdf</w:t>
      </w:r>
    </w:p>
    <w:p>
      <w:pPr>
        <w:pStyle w:val="Heading2"/>
      </w:pPr>
      <w:r>
        <w:t>Q5</w:t>
      </w:r>
    </w:p>
    <w:p>
      <w:r>
        <w:t>Daimler Truck (10.10.2023): Mercedes-Benz Trucks celebrates world premiere of the battery electric long-haul truck eActros 600. Verwendung: Aufbau der elektrischen Antriebsachse und Batteriearchitektur. Frühere Kommunikationsstände nicht für heutige Bestelloptionen verwenden.</w:t>
      </w:r>
    </w:p>
    <w:p>
      <w:r>
        <w:rPr>
          <w:i/>
          <w:color w:val="526775"/>
          <w:sz w:val="18"/>
        </w:rPr>
        <w:t>https://www.daimlertruck.com/fileadmin/user_upload/documents/investors/capital-market-releases/financial-news/20231010_Investor_Relations_Release_eActros_600_World_Premiere.pdf</w:t>
      </w:r>
    </w:p>
    <w:p>
      <w:r>
        <w:br w:type="page"/>
      </w:r>
    </w:p>
    <w:p>
      <w:pPr>
        <w:pStyle w:val="Subtitle"/>
      </w:pPr>
      <w:r>
        <w:t>QUELLEN · 2 von 2</w:t>
      </w:r>
    </w:p>
    <w:p>
      <w:pPr>
        <w:pStyle w:val="Heading1"/>
      </w:pPr>
      <w:r>
        <w:t>15  Quellen und Nachweisregister (Fortsetzung)</w:t>
      </w:r>
    </w:p>
    <w:p>
      <w:pPr>
        <w:pStyle w:val="Heading2"/>
      </w:pPr>
      <w:r>
        <w:t>Q6</w:t>
      </w:r>
    </w:p>
    <w:p>
      <w:r>
        <w:t>Volvo Trucks: Volvo FH Aero. Aerodynamics for the long haul. Hersteller-Modellübersicht; Diesel-, Elektro- und Gasantriebsvarianten. Verfügbarkeit laut Hersteller marktbezogen.</w:t>
      </w:r>
    </w:p>
    <w:p>
      <w:r>
        <w:rPr>
          <w:i/>
          <w:color w:val="526775"/>
          <w:sz w:val="18"/>
        </w:rPr>
        <w:t>https://www.volvotrucks.com/en-en/trucks/models/volvo-fh-aero.html</w:t>
      </w:r>
    </w:p>
    <w:p>
      <w:pPr>
        <w:pStyle w:val="Heading2"/>
      </w:pPr>
      <w:r>
        <w:t>Q7</w:t>
      </w:r>
    </w:p>
    <w:p>
      <w:r>
        <w:t>Volvo Trucks (14.09.2026): Volvo starts series production of electric trucks with up to 700 km range. Verwendung: Serien-/Auslieferungsstatus des FH Aero Electric mit Extended Range, nicht als Verbrauchsnachweis.</w:t>
      </w:r>
    </w:p>
    <w:p>
      <w:r>
        <w:rPr>
          <w:i/>
          <w:color w:val="526775"/>
          <w:sz w:val="18"/>
        </w:rPr>
        <w:t>https://www.volvotrucks.com/en-en/news-stories/press-releases/2026/sep/volvo-starts-series-production-of-electric-trucks-with-up-to-700.html</w:t>
      </w:r>
    </w:p>
    <w:p>
      <w:pPr>
        <w:pStyle w:val="Heading2"/>
      </w:pPr>
      <w:r>
        <w:t>Q8</w:t>
      </w:r>
    </w:p>
    <w:p>
      <w:r>
        <w:t>IVECO Deutschland: IVECO S-Way. Hersteller-Modellangebot, einschließlich S-Way Natural Gas Sattelzugmaschine. Konkrete LNG-/CNG-Konfiguration und Lieferbarkeit über Vertrieb bestätigen.</w:t>
      </w:r>
    </w:p>
    <w:p>
      <w:r>
        <w:rPr>
          <w:i/>
          <w:color w:val="526775"/>
          <w:sz w:val="18"/>
        </w:rPr>
        <w:t>https://www.iveco.com/germany/S-Way</w:t>
      </w:r>
    </w:p>
    <w:p>
      <w:pPr>
        <w:pStyle w:val="Heading2"/>
      </w:pPr>
      <w:r>
        <w:t>Q9</w:t>
      </w:r>
    </w:p>
    <w:p>
      <w:r>
        <w:t>Volvo Trucks: Volvo FH Aero gas-powered. Herstellerangebot für LNG/Bio-LNG; Angaben zu erneuerbaren Kraftstoffen ersetzen keine WTW-Bilanz mit Methanemissionen.</w:t>
      </w:r>
    </w:p>
    <w:p>
      <w:r>
        <w:rPr>
          <w:i/>
          <w:color w:val="526775"/>
          <w:sz w:val="18"/>
        </w:rPr>
        <w:t>https://www.volvotrucks.com/en-en/trucks/gas-powered/volvo-fh-aero-gas-powered.html</w:t>
      </w:r>
    </w:p>
    <w:p>
      <w:pPr>
        <w:pStyle w:val="Heading2"/>
      </w:pPr>
      <w:r>
        <w:t>Q10</w:t>
      </w:r>
    </w:p>
    <w:p>
      <w:r>
        <w:t>Hyundai Motor Company (05.02.2026): Hyundai Motor’s XCIENT Fuel Cell Truck Fleet Achieves 20-Million-Kilometer Milestone in Europe. Verwendung: 165 Fahrzeuge in fünf Ländern, kommerzieller Europaeinsatz und Modellpflege.</w:t>
      </w:r>
    </w:p>
    <w:p>
      <w:r>
        <w:rPr>
          <w:i/>
          <w:color w:val="526775"/>
          <w:sz w:val="18"/>
        </w:rPr>
        <w:t>https://www.hyundai.com/worldwide/en/newsroom/detail/0000001121</w:t>
      </w:r>
    </w:p>
    <w:p>
      <w:pPr>
        <w:pStyle w:val="Heading2"/>
      </w:pPr>
      <w:r>
        <w:t>Q11</w:t>
      </w:r>
    </w:p>
    <w:p>
      <w:r>
        <w:t>Toll Collect: Mauttarife, Tabelle seit 01.07.2024. Verwendung: 34,8 ct/km für CO₂-Klasse 1, Euro VI, &gt;18 t und mindestens fünf Achsen. Tatsächliche Fahrzeugklasse und zeitliche Gültigkeit prüfen.</w:t>
      </w:r>
    </w:p>
    <w:p>
      <w:r>
        <w:rPr>
          <w:i/>
          <w:color w:val="526775"/>
          <w:sz w:val="18"/>
        </w:rPr>
        <w:t>https://www.toll-collect.de/de/toll_collect/bezahlen/maut_tarife/p1745_mauttarife_07_2024.html</w:t>
      </w:r>
    </w:p>
    <w:p>
      <w:pPr>
        <w:pStyle w:val="Heading2"/>
      </w:pPr>
      <w:r>
        <w:t>Q12</w:t>
      </w:r>
    </w:p>
    <w:p>
      <w:r>
        <w:t>Toll Collect: Mautbefreiung; ergänzend Meldung vom 01.12.2025 zur Verlängerung. Verwendung: emissionsfreie Fahrzeuge &gt;4,25 t längstens bis 30.06.2031 befreit.</w:t>
      </w:r>
    </w:p>
    <w:p>
      <w:r>
        <w:rPr>
          <w:i/>
          <w:color w:val="526775"/>
          <w:sz w:val="18"/>
        </w:rPr>
        <w:t>https://www.toll-collect.de/de/toll_collect/rund_um_die_maut/mautbefreiung/mautbefreiung.html</w:t>
      </w:r>
    </w:p>
    <w:sectPr w:rsidR="00FC693F" w:rsidRPr="0006063C" w:rsidSect="00034616">
      <w:headerReference w:type="default" r:id="rId9"/>
      <w:footerReference w:type="default" r:id="rId10"/>
      <w:pgSz w:w="11906" w:h="16838"/>
      <w:pgMar w:top="935" w:right="935" w:bottom="935"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Stand 20.10.2026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717E"/>
      </w:rPr>
      <w:t>FLOTUV  |  TECHNO-ÖKONOMISCHE FAHRZEUGSTECKBRIEFE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73B4B"/>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73B4B"/>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173B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Calibri" w:hAnsi="Calibri"/>
      <w:color w:val="173B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Calibri" w:hAnsi="Calibri"/>
      <w:i/>
      <w:iCs/>
      <w:color w:val="173B4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FloTUV: Techno-ökonomische Lkw-Steckbriefe – Vorlage und zwei Beispiele</dc:title>
  <dc:subject>Diesel, BEV, LNG und Wasserstoff; Kosten je km, tkm und Stunde</dc:subject>
  <dc:creator>FloTUV – Arbeitsvorlage</dc:creator>
  <cp:keywords>FloTUV, Lkw, TCO, Diesel, BEV, LNG, Wasserstoff, techno-ökonomisch</cp:keywords>
  <dc:description>generated by python-docx</dc:description>
  <cp:lastModifiedBy/>
  <cp:revision>1</cp:revision>
  <dcterms:created xsi:type="dcterms:W3CDTF">2013-12-23T23:15:00Z</dcterms:created>
  <dcterms:modified xsi:type="dcterms:W3CDTF">2013-12-23T23:15:00Z</dcterms:modified>
  <cp:category/>
</cp:coreProperties>
</file>