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85E71D">
      <w:pPr>
        <w:pStyle w:val="31"/>
        <w:spacing w:after="160"/>
        <w:jc w:val="center"/>
      </w:pPr>
      <w:r>
        <w:rPr>
          <w:rFonts w:ascii="Times New Roman" w:hAnsi="Times New Roman" w:eastAsia="宋体"/>
          <w:b/>
          <w:color w:val="000000"/>
          <w:sz w:val="36"/>
        </w:rPr>
        <w:t>项目创新说明</w:t>
      </w:r>
    </w:p>
    <w:p w14:paraId="2E7991E5">
      <w:pPr>
        <w:widowControl/>
        <w:spacing w:before="0" w:after="60" w:line="30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项目名称：多智能体低开销通信与共享记忆实验系统</w:t>
      </w:r>
      <w:bookmarkStart w:id="0" w:name="_GoBack"/>
      <w:bookmarkEnd w:id="0"/>
    </w:p>
    <w:p w14:paraId="7B9D82AA">
      <w:pPr>
        <w:widowControl/>
        <w:spacing w:before="0" w:after="120" w:line="30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参赛队伍：斑马小队</w:t>
      </w:r>
    </w:p>
    <w:p w14:paraId="063839ED">
      <w:pPr>
        <w:widowControl/>
        <w:spacing w:before="0" w:after="100" w:line="30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我们面向连续问答与代码执行，围绕外部信息增量接入、题内状态管理和事实与经验双层记忆形成三项技术贡献。下文分别说明最接近的已有工作、已有能力、新增机制及验证依据。代码与记录路径均相对于 examples/competition_agents/。</w:t>
      </w:r>
    </w:p>
    <w:p w14:paraId="07449FD7">
      <w:pPr>
        <w:pStyle w:val="3"/>
        <w:keepNext/>
        <w:pageBreakBefore w:val="0"/>
        <w:spacing w:before="160" w:after="140"/>
      </w:pPr>
      <w:r>
        <w:rPr>
          <w:rFonts w:ascii="Times New Roman" w:hAnsi="Times New Roman" w:eastAsia="宋体"/>
          <w:b/>
          <w:color w:val="000000"/>
          <w:sz w:val="28"/>
        </w:rPr>
        <w:t>一 面向外部工具交互的隐状态增量协作机制</w:t>
      </w:r>
    </w:p>
    <w:p w14:paraId="609D2142">
      <w:pPr>
        <w:widowControl/>
        <w:spacing w:before="0" w:after="100" w:line="300" w:lineRule="auto"/>
      </w:pPr>
      <w:r>
        <w:rPr>
          <w:rFonts w:ascii="Times New Roman" w:hAnsi="Times New Roman" w:eastAsia="宋体"/>
          <w:b/>
          <w:color w:val="000000"/>
          <w:sz w:val="22"/>
        </w:rPr>
        <w:t xml:space="preserve">最接近的已有工作  </w:t>
      </w:r>
      <w:r>
        <w:rPr>
          <w:rFonts w:ascii="Times New Roman" w:hAnsi="Times New Roman" w:eastAsia="宋体"/>
          <w:b w:val="0"/>
          <w:color w:val="000000"/>
          <w:sz w:val="22"/>
        </w:rPr>
        <w:t>LatentMAS 的内部状态推理与角色间工作记忆传递机制。</w:t>
      </w:r>
    </w:p>
    <w:p w14:paraId="35011380">
      <w:pPr>
        <w:widowControl/>
        <w:spacing w:before="0" w:after="100" w:line="300" w:lineRule="auto"/>
      </w:pPr>
      <w:r>
        <w:rPr>
          <w:rFonts w:ascii="Times New Roman" w:hAnsi="Times New Roman" w:eastAsia="宋体"/>
          <w:b/>
          <w:color w:val="000000"/>
          <w:sz w:val="22"/>
        </w:rPr>
        <w:t xml:space="preserve">已有方案具备的能力  </w:t>
      </w:r>
      <w:r>
        <w:rPr>
          <w:rFonts w:ascii="Times New Roman" w:hAnsi="Times New Roman" w:eastAsia="宋体"/>
          <w:b w:val="0"/>
          <w:color w:val="000000"/>
          <w:sz w:val="22"/>
        </w:rPr>
        <w:t>原论文已有题内工作记忆和增量计算：角色生成连续内部表示，后继角色接续各层缓存，继续处理新输入和内部推理状态。我们接入的公开基准主流程围绕给定题目完成角色推理，未提供本项目中外部检索、持久记忆和执行反馈的接入与登记机制。</w:t>
      </w:r>
    </w:p>
    <w:p w14:paraId="484BF1F9">
      <w:pPr>
        <w:widowControl/>
        <w:spacing w:before="0" w:after="100" w:line="300" w:lineRule="auto"/>
      </w:pPr>
      <w:r>
        <w:rPr>
          <w:rFonts w:ascii="Times New Roman" w:hAnsi="Times New Roman" w:eastAsia="宋体"/>
          <w:b/>
          <w:color w:val="000000"/>
          <w:sz w:val="22"/>
        </w:rPr>
        <w:t xml:space="preserve">本项目新增的技术贡献  </w:t>
      </w:r>
      <w:r>
        <w:rPr>
          <w:rFonts w:ascii="Times New Roman" w:hAnsi="Times New Roman" w:eastAsia="宋体"/>
          <w:b w:val="0"/>
          <w:color w:val="000000"/>
          <w:sz w:val="22"/>
        </w:rPr>
        <w:t>我们让角色在内部状态中完成规划和推理，同时通过必要参数连接外部工具。检索函数和执行器不能直接读取模型状态，因此检索角色依据继承的状态输出动作与查询参数，代码执行输出待执行程序；完整规划和推理过程继续保留在计算状态中。调用返回的知识、记忆及实际执行反馈以字段形式补入已有状态，角色随后继续计算。</w:t>
      </w:r>
    </w:p>
    <w:p w14:paraId="05F6E8A9">
      <w:pPr>
        <w:widowControl/>
        <w:spacing w:before="0" w:after="100" w:line="300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同题事实以统一编号和内容指纹登记。已经处理且未变化的事实沿用原状态，新增或内容改变的事实追加编码；只有前向计算完成后才登记已处理。当前选中的证据另行记录，避免把“曾经编码过”误当作“本轮正在采用”。这项机制把外部信息持续到来的处理过程与角色状态接续连接起来，减少完整中间结果的文本转换和重复输入。</w:t>
      </w:r>
    </w:p>
    <w:p w14:paraId="2AE1C10F">
      <w:pPr>
        <w:widowControl/>
        <w:spacing w:before="0" w:after="100" w:line="300" w:lineRule="auto"/>
      </w:pPr>
      <w:r>
        <w:rPr>
          <w:rFonts w:ascii="Times New Roman" w:hAnsi="Times New Roman" w:eastAsia="宋体"/>
          <w:b/>
          <w:color w:val="000000"/>
          <w:sz w:val="22"/>
        </w:rPr>
        <w:t xml:space="preserve">代码位置  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876"/>
        <w:gridCol w:w="4762"/>
      </w:tblGrid>
      <w:tr w14:paraId="7ED992E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tblHeader/>
          <w:jc w:val="center"/>
        </w:trPr>
        <w:tc>
          <w:tcPr>
            <w:tcW w:w="4876" w:type="dxa"/>
            <w:shd w:val="clear" w:color="auto" w:fill="F2F2F2"/>
            <w:vAlign w:val="center"/>
          </w:tcPr>
          <w:p w14:paraId="0AB5122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代码位置</w:t>
            </w:r>
          </w:p>
        </w:tc>
        <w:tc>
          <w:tcPr>
            <w:tcW w:w="4762" w:type="dxa"/>
            <w:shd w:val="clear" w:color="auto" w:fill="F2F2F2"/>
            <w:vAlign w:val="center"/>
          </w:tcPr>
          <w:p w14:paraId="3DEC7A1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对应实现</w:t>
            </w:r>
          </w:p>
        </w:tc>
      </w:tr>
      <w:tr w14:paraId="3579353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4876" w:type="dxa"/>
            <w:vAlign w:val="center"/>
          </w:tcPr>
          <w:p w14:paraId="48C95BB6"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competition_agents/llm/continuous_state_chat.py</w:t>
            </w:r>
          </w:p>
        </w:tc>
        <w:tc>
          <w:tcPr>
            <w:tcW w:w="4762" w:type="dxa"/>
            <w:vAlign w:val="center"/>
          </w:tcPr>
          <w:p w14:paraId="06DED55E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TOOL_INTERFACE、_call_role：内部状态工作、工具参数输出及反馈后的接续。</w:t>
            </w:r>
          </w:p>
        </w:tc>
      </w:tr>
      <w:tr w14:paraId="298D721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4876" w:type="dxa"/>
            <w:vAlign w:val="center"/>
          </w:tcPr>
          <w:p w14:paraId="72D368D8"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competition_agents/llm/resident_chat.py</w:t>
            </w:r>
          </w:p>
        </w:tc>
        <w:tc>
          <w:tcPr>
            <w:tcW w:w="4762" w:type="dxa"/>
            <w:vAlign w:val="center"/>
          </w:tcPr>
          <w:p w14:paraId="2DB7A80E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_evidence：事实编号与内容指纹、增量编码登记和当前证据选择。</w:t>
            </w:r>
          </w:p>
        </w:tc>
      </w:tr>
      <w:tr w14:paraId="098D1F2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4876" w:type="dxa"/>
            <w:vAlign w:val="center"/>
          </w:tcPr>
          <w:p w14:paraId="0530748B"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competition_agents/unified_collaboration.py</w:t>
            </w:r>
          </w:p>
        </w:tc>
        <w:tc>
          <w:tcPr>
            <w:tcW w:w="4762" w:type="dxa"/>
            <w:vAlign w:val="center"/>
          </w:tcPr>
          <w:p w14:paraId="68E109CA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_lookup、_execute：知识与记忆检索、外部执行和结果反馈。</w:t>
            </w:r>
          </w:p>
        </w:tc>
      </w:tr>
      <w:tr w14:paraId="54EA81E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4876" w:type="dxa"/>
            <w:vAlign w:val="center"/>
          </w:tcPr>
          <w:p w14:paraId="2439179A"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tests/test_latentmas_upstream.py</w:t>
            </w:r>
          </w:p>
        </w:tc>
        <w:tc>
          <w:tcPr>
            <w:tcW w:w="4762" w:type="dxa"/>
            <w:vAlign w:val="center"/>
          </w:tcPr>
          <w:p w14:paraId="16ABA168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检查真实内部计算、各层缓存接续，以及工具、记忆和执行器的完整流程。</w:t>
            </w:r>
          </w:p>
        </w:tc>
      </w:tr>
    </w:tbl>
    <w:p w14:paraId="391604CE">
      <w:pPr>
        <w:widowControl/>
        <w:spacing w:before="0" w:after="0" w:line="300" w:lineRule="auto"/>
      </w:pPr>
    </w:p>
    <w:p w14:paraId="1D3C54A6">
      <w:pPr>
        <w:widowControl/>
        <w:spacing w:before="0" w:after="100" w:line="300" w:lineRule="auto"/>
      </w:pPr>
      <w:r>
        <w:rPr>
          <w:rFonts w:ascii="Times New Roman" w:hAnsi="Times New Roman" w:eastAsia="宋体"/>
          <w:b/>
          <w:color w:val="000000"/>
          <w:sz w:val="22"/>
        </w:rPr>
        <w:t xml:space="preserve">验证依据  </w:t>
      </w:r>
      <w:r>
        <w:rPr>
          <w:rFonts w:ascii="Times New Roman" w:hAnsi="Times New Roman" w:eastAsia="宋体"/>
          <w:b w:val="0"/>
          <w:color w:val="000000"/>
          <w:sz w:val="22"/>
        </w:rPr>
        <w:t>tests/test_latentmas_upstream.py 提供工具与记忆接入的流程核查；outputs/report_full_20261002/server-results/raw/ 中，各模型 qa/ 与 codeact/ 的 latent/result.json 保存实际输入、工具参数、反馈内容和缓存接续记录，可核对外部结果是否进入模型及已处理事实是否复用。</w:t>
      </w:r>
    </w:p>
    <w:p w14:paraId="0AA66C25">
      <w:pPr>
        <w:widowControl/>
        <w:spacing w:before="0" w:after="0" w:line="300" w:lineRule="auto"/>
      </w:pPr>
      <w:r>
        <w:rPr>
          <w:rFonts w:ascii="Calibri" w:hAnsi="Calibri" w:eastAsia="宋体"/>
          <w:b w:val="0"/>
          <w:color w:val="000000"/>
          <w:sz w:val="19"/>
        </w:rPr>
        <w:t>已有工作来源：https://arxiv.org/abs/2511.20639；https://github.com/Gen-Verse/LatentMAS。</w:t>
      </w:r>
    </w:p>
    <w:p w14:paraId="26CE242B">
      <w:pPr>
        <w:pStyle w:val="3"/>
        <w:keepNext/>
        <w:pageBreakBefore/>
        <w:spacing w:before="160" w:after="140"/>
      </w:pPr>
      <w:r>
        <w:rPr>
          <w:rFonts w:ascii="Times New Roman" w:hAnsi="Times New Roman" w:eastAsia="宋体"/>
          <w:b/>
          <w:color w:val="000000"/>
          <w:sz w:val="28"/>
        </w:rPr>
        <w:t>二 角色消费驱动的题内状态生命周期管理</w:t>
      </w:r>
    </w:p>
    <w:p w14:paraId="0E8DD1B9">
      <w:pPr>
        <w:widowControl/>
        <w:spacing w:before="0" w:after="100" w:line="300" w:lineRule="auto"/>
      </w:pPr>
      <w:r>
        <w:rPr>
          <w:rFonts w:ascii="Times New Roman" w:hAnsi="Times New Roman" w:eastAsia="宋体"/>
          <w:b/>
          <w:color w:val="000000"/>
          <w:sz w:val="22"/>
        </w:rPr>
        <w:t xml:space="preserve">最接近的已有工作  </w:t>
      </w:r>
      <w:r>
        <w:rPr>
          <w:rFonts w:ascii="Times New Roman" w:hAnsi="Times New Roman" w:eastAsia="宋体"/>
          <w:b w:val="0"/>
          <w:color w:val="000000"/>
          <w:sz w:val="22"/>
        </w:rPr>
        <w:t>LatentMAS 的隐状态多智能体协作实现。</w:t>
      </w:r>
    </w:p>
    <w:p w14:paraId="7995A7B0">
      <w:pPr>
        <w:widowControl/>
        <w:spacing w:before="0" w:after="100" w:line="300" w:lineRule="auto"/>
      </w:pPr>
      <w:r>
        <w:rPr>
          <w:rFonts w:ascii="Times New Roman" w:hAnsi="Times New Roman" w:eastAsia="宋体"/>
          <w:b/>
          <w:color w:val="000000"/>
          <w:sz w:val="22"/>
        </w:rPr>
        <w:t xml:space="preserve">已有方案具备的能力  </w:t>
      </w:r>
      <w:r>
        <w:rPr>
          <w:rFonts w:ascii="Times New Roman" w:hAnsi="Times New Roman" w:eastAsia="宋体"/>
          <w:b w:val="0"/>
          <w:color w:val="000000"/>
          <w:sz w:val="22"/>
        </w:rPr>
        <w:t>该实现通过连续表示进行中间计算，接续各层键值缓存，让后继角色继续使用已有计算状态，并提供保留部分后缀的截断选项。我们在此基础上增加按内容类型和消费条件管理状态的机制。</w:t>
      </w:r>
    </w:p>
    <w:p w14:paraId="7F9DF468">
      <w:pPr>
        <w:widowControl/>
        <w:spacing w:before="0" w:after="100" w:line="300" w:lineRule="auto"/>
      </w:pPr>
      <w:r>
        <w:rPr>
          <w:rFonts w:ascii="Times New Roman" w:hAnsi="Times New Roman" w:eastAsia="宋体"/>
          <w:b/>
          <w:color w:val="000000"/>
          <w:sz w:val="22"/>
        </w:rPr>
        <w:t xml:space="preserve">本项目新增的技术贡献  </w:t>
      </w:r>
      <w:r>
        <w:rPr>
          <w:rFonts w:ascii="Times New Roman" w:hAnsi="Times New Roman" w:eastAsia="宋体"/>
          <w:b w:val="0"/>
          <w:color w:val="000000"/>
          <w:sz w:val="22"/>
        </w:rPr>
        <w:t>我们把工作状态与内容类型、所属角色、消费时点和保留期限关联，区分原始证据、角色专用指令、工具控制信息及内部交付位置。题内回收原型在登记的消费条件满足后移除到期位置，保留问题、事实正文及用于后续交付的末端状态；模型仍可沿用保留的计算结果。</w:t>
      </w:r>
    </w:p>
    <w:p w14:paraId="52760A11">
      <w:pPr>
        <w:widowControl/>
        <w:spacing w:before="0" w:after="100" w:line="300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回收后，物理缓存长度可以缩短，逻辑位置继续增长。我们根据保留位置构造注意力掩码，避免把删除后的存储长度当作原始位置；混合结构中的递归状态保持原张量。键和值逐个替换，回收时的临时复制也计入峰值。同时，我们释放已不再被使用的输出引用，在事实与历史写入记忆后回收整题工作状态。</w:t>
      </w:r>
    </w:p>
    <w:p w14:paraId="0B3B2209">
      <w:pPr>
        <w:widowControl/>
        <w:spacing w:before="0" w:after="100" w:line="300" w:lineRule="auto"/>
      </w:pPr>
      <w:r>
        <w:rPr>
          <w:rFonts w:ascii="Times New Roman" w:hAnsi="Times New Roman" w:eastAsia="宋体"/>
          <w:b/>
          <w:color w:val="000000"/>
          <w:sz w:val="22"/>
        </w:rPr>
        <w:t xml:space="preserve">代码位置  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876"/>
        <w:gridCol w:w="4762"/>
      </w:tblGrid>
      <w:tr w14:paraId="00C5B60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tblHeader/>
          <w:jc w:val="center"/>
        </w:trPr>
        <w:tc>
          <w:tcPr>
            <w:tcW w:w="4876" w:type="dxa"/>
            <w:shd w:val="clear" w:color="auto" w:fill="F2F2F2"/>
            <w:vAlign w:val="center"/>
          </w:tcPr>
          <w:p w14:paraId="6FA9C9D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代码位置</w:t>
            </w:r>
          </w:p>
        </w:tc>
        <w:tc>
          <w:tcPr>
            <w:tcW w:w="4762" w:type="dxa"/>
            <w:shd w:val="clear" w:color="auto" w:fill="F2F2F2"/>
            <w:vAlign w:val="center"/>
          </w:tcPr>
          <w:p w14:paraId="308703F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对应实现</w:t>
            </w:r>
          </w:p>
        </w:tc>
      </w:tr>
      <w:tr w14:paraId="206931E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4876" w:type="dxa"/>
            <w:vAlign w:val="center"/>
          </w:tcPr>
          <w:p w14:paraId="0D15AF0E"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experiments/role_private_cache_probe.py</w:t>
            </w:r>
          </w:p>
        </w:tc>
        <w:tc>
          <w:tcPr>
            <w:tcW w:w="4762" w:type="dxa"/>
            <w:vAlign w:val="center"/>
          </w:tcPr>
          <w:p w14:paraId="312FB4A3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RolePrivateCache 与 PrivateInstructionManager：位置登记、消费条件、题内回收和掩码维护。</w:t>
            </w:r>
          </w:p>
        </w:tc>
      </w:tr>
      <w:tr w14:paraId="50DCB83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4876" w:type="dxa"/>
            <w:vAlign w:val="center"/>
          </w:tcPr>
          <w:p w14:paraId="5ABAF9F2"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competition_agents/latent_hidden/state_lifecycle.py</w:t>
            </w:r>
          </w:p>
        </w:tc>
        <w:tc>
          <w:tcPr>
            <w:tcW w:w="4762" w:type="dxa"/>
            <w:vAlign w:val="center"/>
          </w:tcPr>
          <w:p w14:paraId="5AE2C2D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TaskStateLifecycle：公共前缀保存与题末状态恢复。</w:t>
            </w:r>
          </w:p>
        </w:tc>
      </w:tr>
      <w:tr w14:paraId="11813E6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4876" w:type="dxa"/>
            <w:vAlign w:val="center"/>
          </w:tcPr>
          <w:p w14:paraId="5AE48AFA"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competition_agents/llm/latentmas_chat.py</w:t>
            </w:r>
          </w:p>
        </w:tc>
        <w:tc>
          <w:tcPr>
            <w:tcW w:w="4762" w:type="dxa"/>
            <w:vAlign w:val="center"/>
          </w:tcPr>
          <w:p w14:paraId="7AB0B104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StateForward、finish_task：临时输出释放及任务收尾。</w:t>
            </w:r>
          </w:p>
        </w:tc>
      </w:tr>
      <w:tr w14:paraId="62F6919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4876" w:type="dxa"/>
            <w:vAlign w:val="center"/>
          </w:tcPr>
          <w:p w14:paraId="3310394F"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tests/test_role_private_cache_probe.py</w:t>
            </w:r>
            <w:r>
              <w:rPr>
                <w:rFonts w:ascii="Calibri" w:hAnsi="Calibri" w:eastAsia="宋体"/>
                <w:b w:val="0"/>
                <w:color w:val="000000"/>
                <w:sz w:val="19"/>
              </w:rPr>
              <w:br w:type="textWrapping"/>
            </w:r>
            <w:r>
              <w:rPr>
                <w:rFonts w:ascii="Calibri" w:hAnsi="Calibri" w:eastAsia="宋体"/>
                <w:b w:val="0"/>
                <w:color w:val="000000"/>
                <w:sz w:val="19"/>
              </w:rPr>
              <w:t>tests/test_output_buffer_lifecycle.py</w:t>
            </w:r>
          </w:p>
        </w:tc>
        <w:tc>
          <w:tcPr>
            <w:tcW w:w="4762" w:type="dxa"/>
            <w:vAlign w:val="center"/>
          </w:tcPr>
          <w:p w14:paraId="3B5CAEC4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检查证据位置保护、递归状态保留、裁剪后的接续，以及输出缓冲释放前后的一致性。</w:t>
            </w:r>
          </w:p>
        </w:tc>
      </w:tr>
    </w:tbl>
    <w:p w14:paraId="403E3298">
      <w:pPr>
        <w:widowControl/>
        <w:spacing w:before="0" w:after="0" w:line="300" w:lineRule="auto"/>
      </w:pPr>
    </w:p>
    <w:p w14:paraId="4C57E77A">
      <w:pPr>
        <w:widowControl/>
        <w:spacing w:before="0" w:after="100" w:line="300" w:lineRule="auto"/>
      </w:pPr>
      <w:r>
        <w:rPr>
          <w:rFonts w:ascii="Times New Roman" w:hAnsi="Times New Roman" w:eastAsia="宋体"/>
          <w:b/>
          <w:color w:val="000000"/>
          <w:sz w:val="22"/>
        </w:rPr>
        <w:t xml:space="preserve">验证依据  </w:t>
      </w:r>
      <w:r>
        <w:rPr>
          <w:rFonts w:ascii="Times New Roman" w:hAnsi="Times New Roman" w:eastAsia="宋体"/>
          <w:b w:val="0"/>
          <w:color w:val="000000"/>
          <w:sz w:val="22"/>
        </w:rPr>
        <w:t>题内回收的三模型前三题记录位于 outputs/server_role_private_v3_20261003/server-results/role-private-three-v3-20261003/，各模型子目录保存 summary.json、tasks.json 和 live_boundaries.json，可逐题核对阶段缓存、回收位置、峰值及最终答案。</w:t>
      </w:r>
    </w:p>
    <w:p w14:paraId="361FC720">
      <w:pPr>
        <w:widowControl/>
        <w:spacing w:before="0" w:after="100" w:line="30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默认主流程已接入临时输出释放和题末回收；题内细粒度回收在独立原型中验证。早期潜在位置的回收属于近似策略，我们通过保留位置检查与最终答题结果共同检验其影响。</w:t>
      </w:r>
    </w:p>
    <w:p w14:paraId="0753E4DF">
      <w:pPr>
        <w:widowControl/>
        <w:spacing w:before="0" w:after="0" w:line="300" w:lineRule="auto"/>
      </w:pPr>
      <w:r>
        <w:rPr>
          <w:rFonts w:ascii="Calibri" w:hAnsi="Calibri" w:eastAsia="宋体"/>
          <w:b w:val="0"/>
          <w:color w:val="000000"/>
          <w:sz w:val="19"/>
        </w:rPr>
        <w:t>已有工作来源：https://github.com/Gen-Verse/LatentMAS；</w:t>
      </w:r>
    </w:p>
    <w:p w14:paraId="1DA98FDF">
      <w:pPr>
        <w:pStyle w:val="3"/>
        <w:keepNext/>
        <w:pageBreakBefore/>
        <w:spacing w:before="160" w:after="140"/>
      </w:pPr>
      <w:r>
        <w:rPr>
          <w:rFonts w:ascii="Times New Roman" w:hAnsi="Times New Roman" w:eastAsia="宋体"/>
          <w:b/>
          <w:color w:val="000000"/>
          <w:sz w:val="28"/>
        </w:rPr>
        <w:t>三 完整关系驱动的事实与经验双层超图复用</w:t>
      </w:r>
    </w:p>
    <w:p w14:paraId="6431B43C">
      <w:pPr>
        <w:widowControl/>
        <w:spacing w:before="0" w:after="100" w:line="300" w:lineRule="auto"/>
      </w:pPr>
      <w:r>
        <w:rPr>
          <w:rFonts w:ascii="Times New Roman" w:hAnsi="Times New Roman" w:eastAsia="宋体"/>
          <w:b/>
          <w:color w:val="000000"/>
          <w:sz w:val="22"/>
        </w:rPr>
        <w:t xml:space="preserve">最接近的已有工作  </w:t>
      </w:r>
      <w:r>
        <w:rPr>
          <w:rFonts w:ascii="Times New Roman" w:hAnsi="Times New Roman" w:eastAsia="宋体"/>
          <w:b w:val="0"/>
          <w:color w:val="000000"/>
          <w:sz w:val="22"/>
        </w:rPr>
        <w:t>HyperGraphRAG 的多元关系组织与关联检索。</w:t>
      </w:r>
    </w:p>
    <w:p w14:paraId="5AE206D5">
      <w:pPr>
        <w:widowControl/>
        <w:spacing w:before="0" w:after="100" w:line="300" w:lineRule="auto"/>
      </w:pPr>
      <w:r>
        <w:rPr>
          <w:rFonts w:ascii="Times New Roman" w:hAnsi="Times New Roman" w:eastAsia="宋体"/>
          <w:b/>
          <w:color w:val="000000"/>
          <w:sz w:val="22"/>
        </w:rPr>
        <w:t xml:space="preserve">已有方案具备的能力  </w:t>
      </w:r>
      <w:r>
        <w:rPr>
          <w:rFonts w:ascii="Times New Roman" w:hAnsi="Times New Roman" w:eastAsia="宋体"/>
          <w:b w:val="0"/>
          <w:color w:val="000000"/>
          <w:sz w:val="22"/>
        </w:rPr>
        <w:t>HyperGraphRAG 将多个实体的关系组织为超边，并结合关联证据回答问题。我们面向连续任务，将完整关系组织与跨题事实写回、经验记录和再次检索连接起来。</w:t>
      </w:r>
    </w:p>
    <w:p w14:paraId="7304A30F">
      <w:pPr>
        <w:widowControl/>
        <w:spacing w:before="0" w:after="100" w:line="300" w:lineRule="auto"/>
      </w:pPr>
      <w:r>
        <w:rPr>
          <w:rFonts w:ascii="Times New Roman" w:hAnsi="Times New Roman" w:eastAsia="宋体"/>
          <w:b/>
          <w:color w:val="000000"/>
          <w:sz w:val="22"/>
        </w:rPr>
        <w:t xml:space="preserve">本项目新增的技术贡献  </w:t>
      </w:r>
      <w:r>
        <w:rPr>
          <w:rFonts w:ascii="Times New Roman" w:hAnsi="Times New Roman" w:eastAsia="宋体"/>
          <w:b w:val="0"/>
          <w:color w:val="000000"/>
          <w:sz w:val="22"/>
        </w:rPr>
        <w:t>我们为事实保留统一身份与来源作用域，把主体、关系、客体、极性、限定条件和出处一起组织。别名与指代在来源范围内绑定，关联召回后完整交付关系；重复标题集中存入来源表，避免接收角色再次拼接主体与所属对象。</w:t>
      </w:r>
    </w:p>
    <w:p w14:paraId="6367122E">
      <w:pPr>
        <w:widowControl/>
        <w:spacing w:before="0" w:after="100" w:line="300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情景事实层写回实际取得的关系，包括本题暂未采用、后续可能需要的事实；经验层保存任务中观察到的检索路径、适用条件和采用反馈，供后续角色选择处理路径。角色先检查历史与已存事实，信息不足时再补查知识库，知识库和记忆使用同一套关系表示。跨题信息由持久记忆承接，每题结束后清理整题工作缓存。</w:t>
      </w:r>
    </w:p>
    <w:p w14:paraId="188A27E5">
      <w:pPr>
        <w:widowControl/>
        <w:spacing w:before="0" w:after="100" w:line="300" w:lineRule="auto"/>
      </w:pPr>
      <w:r>
        <w:rPr>
          <w:rFonts w:ascii="Times New Roman" w:hAnsi="Times New Roman" w:eastAsia="宋体"/>
          <w:b/>
          <w:color w:val="000000"/>
          <w:sz w:val="22"/>
        </w:rPr>
        <w:t xml:space="preserve">代码位置  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876"/>
        <w:gridCol w:w="4762"/>
      </w:tblGrid>
      <w:tr w14:paraId="7B2AA5A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tblHeader/>
          <w:jc w:val="center"/>
        </w:trPr>
        <w:tc>
          <w:tcPr>
            <w:tcW w:w="4876" w:type="dxa"/>
            <w:shd w:val="clear" w:color="auto" w:fill="F2F2F2"/>
            <w:vAlign w:val="center"/>
          </w:tcPr>
          <w:p w14:paraId="5021C27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代码位置</w:t>
            </w:r>
          </w:p>
        </w:tc>
        <w:tc>
          <w:tcPr>
            <w:tcW w:w="4762" w:type="dxa"/>
            <w:shd w:val="clear" w:color="auto" w:fill="F2F2F2"/>
            <w:vAlign w:val="center"/>
          </w:tcPr>
          <w:p w14:paraId="5593F77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对应实现</w:t>
            </w:r>
          </w:p>
        </w:tc>
      </w:tr>
      <w:tr w14:paraId="1D19259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4876" w:type="dxa"/>
            <w:vAlign w:val="center"/>
          </w:tcPr>
          <w:p w14:paraId="24040928"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hypergraph_memory_method/prepared_knowledge.py</w:t>
            </w:r>
            <w:r>
              <w:rPr>
                <w:rFonts w:ascii="Calibri" w:hAnsi="Calibri" w:eastAsia="宋体"/>
                <w:b w:val="0"/>
                <w:color w:val="000000"/>
                <w:sz w:val="19"/>
              </w:rPr>
              <w:br w:type="textWrapping"/>
            </w:r>
            <w:r>
              <w:rPr>
                <w:rFonts w:ascii="Calibri" w:hAnsi="Calibri" w:eastAsia="宋体"/>
                <w:b w:val="0"/>
                <w:color w:val="000000"/>
                <w:sz w:val="19"/>
              </w:rPr>
              <w:t>hypergraph_memory_method/source_context.py</w:t>
            </w:r>
          </w:p>
        </w:tc>
        <w:tc>
          <w:tcPr>
            <w:tcW w:w="4762" w:type="dxa"/>
            <w:vAlign w:val="center"/>
          </w:tcPr>
          <w:p w14:paraId="5808655C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来源作用域建图、实体身份绑定、完整关系与独立来源表组装。</w:t>
            </w:r>
          </w:p>
        </w:tc>
      </w:tr>
      <w:tr w14:paraId="77581F3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4876" w:type="dxa"/>
            <w:vAlign w:val="center"/>
          </w:tcPr>
          <w:p w14:paraId="2274C2AF"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competition_agents/evidence_memory.py</w:t>
            </w:r>
          </w:p>
        </w:tc>
        <w:tc>
          <w:tcPr>
            <w:tcW w:w="4762" w:type="dxa"/>
            <w:vAlign w:val="center"/>
          </w:tcPr>
          <w:p w14:paraId="2E8C6334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SessionEvidenceMemory：已见事实写回、实体关联召回和历史承接。</w:t>
            </w:r>
          </w:p>
        </w:tc>
      </w:tr>
      <w:tr w14:paraId="2417432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4876" w:type="dxa"/>
            <w:vAlign w:val="center"/>
          </w:tcPr>
          <w:p w14:paraId="4F2BD62E"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hypergraph_memory_method/retrieval_experience.py</w:t>
            </w:r>
          </w:p>
        </w:tc>
        <w:tc>
          <w:tcPr>
            <w:tcW w:w="4762" w:type="dxa"/>
            <w:vAlign w:val="center"/>
          </w:tcPr>
          <w:p w14:paraId="6452B058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RetrievalExperienceMemory：检索轨迹、适用条件、采用反馈与经验存储。</w:t>
            </w:r>
          </w:p>
        </w:tc>
      </w:tr>
      <w:tr w14:paraId="419E30E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4876" w:type="dxa"/>
            <w:vAlign w:val="center"/>
          </w:tcPr>
          <w:p w14:paraId="65B7AB3A">
            <w:pPr>
              <w:spacing w:after="20" w:line="276" w:lineRule="auto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competition_agents/collaboration_memory.py</w:t>
            </w:r>
            <w:r>
              <w:rPr>
                <w:rFonts w:ascii="Calibri" w:hAnsi="Calibri" w:eastAsia="宋体"/>
                <w:b w:val="0"/>
                <w:color w:val="000000"/>
                <w:sz w:val="19"/>
              </w:rPr>
              <w:br w:type="textWrapping"/>
            </w:r>
            <w:r>
              <w:rPr>
                <w:rFonts w:ascii="Calibri" w:hAnsi="Calibri" w:eastAsia="宋体"/>
                <w:b w:val="0"/>
                <w:color w:val="000000"/>
                <w:sz w:val="19"/>
              </w:rPr>
              <w:t>competition_agents/unified_collaboration.py</w:t>
            </w:r>
          </w:p>
        </w:tc>
        <w:tc>
          <w:tcPr>
            <w:tcW w:w="4762" w:type="dxa"/>
            <w:vAlign w:val="center"/>
          </w:tcPr>
          <w:p w14:paraId="31F5C0FA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记忆优先补查、已观察事实写回与跨题提交。</w:t>
            </w:r>
          </w:p>
        </w:tc>
      </w:tr>
    </w:tbl>
    <w:p w14:paraId="00CA2CE1">
      <w:pPr>
        <w:widowControl/>
        <w:spacing w:before="0" w:after="0" w:line="300" w:lineRule="auto"/>
      </w:pPr>
    </w:p>
    <w:p w14:paraId="473E6128">
      <w:pPr>
        <w:widowControl/>
        <w:spacing w:before="0" w:after="100" w:line="300" w:lineRule="auto"/>
      </w:pPr>
      <w:r>
        <w:rPr>
          <w:rFonts w:ascii="Times New Roman" w:hAnsi="Times New Roman" w:eastAsia="宋体"/>
          <w:b/>
          <w:color w:val="000000"/>
          <w:sz w:val="22"/>
        </w:rPr>
        <w:t xml:space="preserve">验证依据  </w:t>
      </w:r>
      <w:r>
        <w:rPr>
          <w:rFonts w:ascii="Times New Roman" w:hAnsi="Times New Roman" w:eastAsia="宋体"/>
          <w:b w:val="0"/>
          <w:color w:val="000000"/>
          <w:sz w:val="22"/>
        </w:rPr>
        <w:t>tests/test_memory_source_alignment.py、tests/test_source_context_packet.py 和 tests/test_retrieval_experience.py 检查后续关系取回、别名与限定交付、经验作用域及重复写入。</w:t>
      </w:r>
    </w:p>
    <w:p w14:paraId="5B4783EF">
      <w:pPr>
        <w:widowControl/>
        <w:spacing w:before="0" w:after="100" w:line="30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三个模型的十轮问答及十项代码任务结果保存在 outputs/report_full_20261002/server-results/raw/。各模型目录中的 qa/ 和 codeact/ 按三种协作方式分别保存 result.json，可核对实际输入、交付、记忆和工具轨迹。经验层当前采用检索路径提示，证据是否足够由检索或推理角色结合当前任务判断。</w:t>
      </w:r>
    </w:p>
    <w:p w14:paraId="35CF277F">
      <w:pPr>
        <w:widowControl/>
        <w:spacing w:before="0" w:after="0" w:line="300" w:lineRule="auto"/>
      </w:pPr>
      <w:r>
        <w:rPr>
          <w:rFonts w:ascii="Calibri" w:hAnsi="Calibri" w:eastAsia="宋体"/>
          <w:b w:val="0"/>
          <w:color w:val="000000"/>
          <w:sz w:val="19"/>
        </w:rPr>
        <w:t>已有工作来源：HyperGraphRAG，https://arxiv.org/abs/2503.21322。</w:t>
      </w:r>
    </w:p>
    <w:sectPr>
      <w:footerReference r:id="rId5" w:type="default"/>
      <w:pgSz w:w="11906" w:h="16838"/>
      <w:pgMar w:top="1020" w:right="1134" w:bottom="1020" w:left="1134" w:header="720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093A3E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F19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2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2122</Words>
  <Characters>3619</Characters>
  <Lines>0</Lines>
  <Paragraphs>0</Paragraphs>
  <TotalTime>0</TotalTime>
  <ScaleCrop>false</ScaleCrop>
  <LinksUpToDate>false</LinksUpToDate>
  <CharactersWithSpaces>3684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项目团队</dc:creator>
  <dc:description>generated by python-docx</dc:description>
  <cp:lastModifiedBy>对卟起～～</cp:lastModifiedBy>
  <dcterms:modified xsi:type="dcterms:W3CDTF">2026-10-03T15:37:15Z</dcterms:modified>
  <dc:title>项目创新说明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eyJoZGlkIjoiYzE3M2FmMDEyNjU3NmQ0YmRhMDk0MWU0OTBlY2ZkMjQiLCJ1c2VySWQiOiI0Mjk1MzMwNjAifQ==</vt:lpwstr>
  </property>
  <property fmtid="{D5CDD505-2E9C-101B-9397-08002B2CF9AE}" pid="3" name="KSOProductBuildVer">
    <vt:lpwstr>2052-12.1.0.28505</vt:lpwstr>
  </property>
  <property fmtid="{D5CDD505-2E9C-101B-9397-08002B2CF9AE}" pid="4" name="ICV">
    <vt:lpwstr>63A9D48F185C4CDAA033D149FFAFBCA1_12</vt:lpwstr>
  </property>
</Properties>
</file>