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C5A572"/>
          <w:sz w:val="48"/>
          <w:szCs w:val="48"/>
        </w:rPr>
        <w:t xml:space="preserve">AURUM KOREA</w:t>
      </w:r>
    </w:p>
    <w:p>
      <w:pPr>
        <w:spacing w:after="80"/>
        <w:jc w:val="center"/>
      </w:pPr>
      <w:r>
        <w:rPr>
          <w:color w:val="0A0A0A"/>
          <w:sz w:val="32"/>
          <w:szCs w:val="32"/>
        </w:rPr>
        <w:t xml:space="preserve">Competitive Positioning Memo</w:t>
      </w:r>
    </w:p>
    <w:p>
      <w:pPr>
        <w:spacing w:after="300"/>
        <w:jc w:val="center"/>
      </w:pPr>
      <w:r>
        <w:rPr>
          <w:i/>
          <w:iCs/>
          <w:color w:val="8A7D6B"/>
          <w:sz w:val="20"/>
          <w:szCs w:val="20"/>
        </w:rPr>
        <w:t xml:space="preserve">Internal reference for Marketing, Brand, Website, and Founder. One page, dense, actionable.</w:t>
      </w:r>
    </w:p>
    <w:p>
      <w:pPr>
        <w:pBdr>
          <w:bottom w:val="single" w:color="C5A572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0A0A0A"/>
          <w:sz w:val="36"/>
          <w:szCs w:val="36"/>
        </w:rPr>
        <w:t xml:space="preserve">Positioning Statement</w:t>
      </w:r>
    </w:p>
    <w:p>
      <w:pPr>
        <w:spacing w:after="160"/>
      </w:pPr>
      <w:r>
        <w:rPr>
          <w:sz w:val="24"/>
          <w:szCs w:val="24"/>
        </w:rPr>
        <w:t xml:space="preserve">Aurum Korea is the only way for Korean investors to save in physical gold, stored offshore at international spot price, with Korean-language service end-to-end. Where Korean banks offer paper gold and Korean brokerages trap you in KRX, Aurum gives you allocated physical metal in Singapore's Free Trade Zone — convertible to a real bar anytime.</w:t>
      </w:r>
    </w:p>
    <w:p>
      <w:pPr>
        <w:pBdr>
          <w:bottom w:val="single" w:color="C5A572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0A0A0A"/>
          <w:sz w:val="36"/>
          <w:szCs w:val="36"/>
        </w:rPr>
        <w:t xml:space="preserve">Competitive Map</w:t>
      </w:r>
    </w:p>
    <w:p>
      <w:pPr>
        <w:pStyle w:val="Heading2"/>
        <w:spacing w:after="160" w:before="320"/>
      </w:pPr>
      <w:r>
        <w:rPr>
          <w:b/>
          <w:bCs/>
          <w:color w:val="0A0A0A"/>
          <w:sz w:val="28"/>
          <w:szCs w:val="28"/>
        </w:rPr>
        <w:t xml:space="preserve">vs NH Investment + Toss Bank Gold Savings (launched April 3, 2026)</w:t>
      </w:r>
    </w:p>
    <w:p>
      <w:pPr>
        <w:spacing w:after="160"/>
      </w:pPr>
      <w:r>
        <w:t xml:space="preserve">They are paper; we are physical. They trap the customer in the KRX ecosystem — withdrawing any physical triggers 10% VAT at the point of withdrawal. We are offshore — no Korean VAT until the customer deliberately chooses to import. They price at KRX, which embeds the kimchi premium (5–15% above international spot). We price at international spot, saving the customer that premium. Their minimum is 1g; ours is 1g. Their convenience (embedded in Toss app) is real and we must match it via Toss Bank auto-debit integration. Where we beat them definitively: physicality, pricing, tax optimization, and optionality to actually hold the metal.</w:t>
      </w:r>
    </w:p>
    <w:p>
      <w:pPr>
        <w:pStyle w:val="Heading2"/>
        <w:spacing w:after="160" w:before="320"/>
      </w:pPr>
      <w:r>
        <w:rPr>
          <w:b/>
          <w:bCs/>
          <w:color w:val="0A0A0A"/>
          <w:sz w:val="28"/>
          <w:szCs w:val="28"/>
        </w:rPr>
        <w:t xml:space="preserve">vs Korean Bank Gold Passbooks (KB, Shinhan, UOB equivalents)</w:t>
      </w:r>
    </w:p>
    <w:p>
      <w:pPr>
        <w:spacing w:after="160"/>
      </w:pPr>
      <w:r>
        <w:t xml:space="preserve">Banks hold paper gold on their balance sheet — the customer is an unsecured creditor, not a bullion owner. Bank failures are rare but 1997 (Daewoo) and 2008 demonstrated that paper gold is counterparty-dependent and not covered by deposit insurance in the way cash deposits are. Bank gold passbook customers cannot take physical delivery at retail scale. AGP is allocated physical at a custodian whose fiduciary duty runs to the customer, not to Aurum. The customer owns metal, not a claim on a bank.</w:t>
      </w:r>
    </w:p>
    <w:p>
      <w:pPr>
        <w:pStyle w:val="Heading2"/>
        <w:spacing w:after="160" w:before="320"/>
      </w:pPr>
      <w:r>
        <w:rPr>
          <w:b/>
          <w:bCs/>
          <w:color w:val="0A0A0A"/>
          <w:sz w:val="28"/>
          <w:szCs w:val="28"/>
        </w:rPr>
        <w:t xml:space="preserve">vs KRX Direct (via Mirae Asset, NH, Kbank)</w:t>
      </w:r>
    </w:p>
    <w:p>
      <w:pPr>
        <w:spacing w:after="160"/>
      </w:pPr>
      <w:r>
        <w:t xml:space="preserve">KRX is a legitimate, well-regulated spot market that we respect. But it is Korean domestic infrastructure. VAT-free status applies only while the gold remains on KRX — the moment a customer wants to hold physical, they pay 10% VAT. KRX pricing incorporates the kimchi premium. Minimum physical withdrawal is 100g or 1kg only — no smaller units. For investors who want to physically own, diversify geographically, and hedge against Korean-specific policy or currency risk, KRX is insufficient on all three axes.</w:t>
      </w:r>
    </w:p>
    <w:p>
      <w:pPr>
        <w:pBdr>
          <w:bottom w:val="single" w:color="C5A572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0A0A0A"/>
          <w:sz w:val="36"/>
          <w:szCs w:val="36"/>
        </w:rPr>
        <w:t xml:space="preserve">Three Customer Personas</w:t>
      </w:r>
    </w:p>
    <w:p>
      <w:pPr>
        <w:pStyle w:val="Heading2"/>
        <w:spacing w:after="160" w:before="320"/>
      </w:pPr>
      <w:r>
        <w:rPr>
          <w:b/>
          <w:bCs/>
          <w:color w:val="0A0A0A"/>
          <w:sz w:val="28"/>
          <w:szCs w:val="28"/>
        </w:rPr>
        <w:t xml:space="preserve">Persona 1 — The Suspicious Saver (40–55, mid-career professional)</w:t>
      </w:r>
    </w:p>
    <w:p>
      <w:pPr>
        <w:spacing w:after="160"/>
      </w:pPr>
      <w:r>
        <w:t xml:space="preserve">Doesn't fully trust Korean banks after past scandals (Lotte Card, Daewoo, etc.). Wants gold as insurance against political, policy, or currency instability. Values the words segregated, allocated, offshore — looks for them explicitly. Pays monthly via AGP, typically KRW 300,000–1,000,000 per month. Will probably never convert to physical — they don't want the 13% import duty, and Singapore storage is the whole point. Loves that they could convert if they ever chose to. LTV driver: long-horizon storage AUC (7–15 year hold).</w:t>
      </w:r>
    </w:p>
    <w:p>
      <w:pPr>
        <w:pStyle w:val="Heading2"/>
        <w:spacing w:after="160" w:before="320"/>
      </w:pPr>
      <w:r>
        <w:rPr>
          <w:b/>
          <w:bCs/>
          <w:color w:val="0A0A0A"/>
          <w:sz w:val="28"/>
          <w:szCs w:val="28"/>
        </w:rPr>
        <w:t xml:space="preserve">Persona 2 — The Savvy Builder (28–40, tech / finance / HNW-track)</w:t>
      </w:r>
    </w:p>
    <w:p>
      <w:pPr>
        <w:spacing w:after="160"/>
      </w:pPr>
      <w:r>
        <w:t xml:space="preserve">Already owns domestic stocks and possibly crypto. Understands international diversification and portfolio theory. Reads English comfortably, researches providers carefully, comparison-shops. Will accumulate aggressively (KRW 1M–3M per month) and will likely convert to full bars as a milestone event. LTV driver: large conversion events (100g and 1kg bars), plus referrals to other tech-savvy peers. Highest-value cohort per customer.</w:t>
      </w:r>
    </w:p>
    <w:p>
      <w:pPr>
        <w:pStyle w:val="Heading2"/>
        <w:spacing w:after="160" w:before="320"/>
      </w:pPr>
      <w:r>
        <w:rPr>
          <w:b/>
          <w:bCs/>
          <w:color w:val="0A0A0A"/>
          <w:sz w:val="28"/>
          <w:szCs w:val="28"/>
        </w:rPr>
        <w:t xml:space="preserve">Persona 3 — The Inheritance Planner (55–70, pre-retirement)</w:t>
      </w:r>
    </w:p>
    <w:p>
      <w:pPr>
        <w:spacing w:after="160"/>
      </w:pPr>
      <w:r>
        <w:t xml:space="preserve">Has accumulated cash, wants a physical legacy asset to pass to children. Will likely make a single large purchase (1 kg or multiple kg bars) rather than use AGP as the primary vehicle. For this persona, AGP is the low-friction on-ramp that gets them comfortable; the 1 kg full-bar purchase is the revenue event. Storage fees + referrals to peers drive multi-year LTV. Strong conversion to Persona 1 and 2 behaviors among their children.</w:t>
      </w:r>
    </w:p>
    <w:p>
      <w:pPr>
        <w:pBdr>
          <w:bottom w:val="single" w:color="C5A572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0A0A0A"/>
          <w:sz w:val="36"/>
          <w:szCs w:val="36"/>
        </w:rPr>
        <w:t xml:space="preserve">What Not to Market On</w:t>
      </w:r>
    </w:p>
    <w:p>
      <w:pPr>
        <w:spacing w:after="160"/>
      </w:pPr>
      <w:r>
        <w:rPr>
          <w:i/>
          <w:iCs/>
          <w:color w:val="8A7D6B"/>
        </w:rPr>
        <w:t xml:space="preserve">These framings have outsized downside risk — either legally, reputationally, or in narrowing the addressable audience. Avoid categorically: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Apocalyptic / collapse / great reset / dollar death narratives — cheap, undignified, and alienates the mainstream Korean HNW customer who is our actual buyer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Guaranteed returns or specific performance forecasts — illegal under Korean capital markets law and unsupportable regardless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Comparison to crypto as an investment category — wrong audience and suggests speculative framing we do not want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Overuse of hype adjectives: 'revolutionary,' 'disruptive,' 'game-changing,' 'world's first' — AGP is intentionally boring and reliable. That is the point. Gold has been money for 5,000 years; nothing about it is revolutionary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Political talking points — any stance on Korean domestic politics, US politics, or Korea-US relations alienates half the audience and adds no commercial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Fear of Korean government specifically — even if customers think this, never voice it from the brand. It is a Korean regulator antagonism risk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Comparison to competitors by name in marketing copy — Korean competition law is strict on this. Use general language ("unlike domestic paper gold products") rather than naming NH, Toss, Kbank, etc.</w:t>
      </w:r>
    </w:p>
    <w:p>
      <w:pPr>
        <w:pBdr>
          <w:bottom w:val="single" w:color="C5A572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0A0A0A"/>
          <w:sz w:val="36"/>
          <w:szCs w:val="36"/>
        </w:rPr>
        <w:t xml:space="preserve">Message Principles (What to Market 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Proof-point-first. Every claim backed by a verifiable fact (LBMA, Bureau Veritas, Marsh, Lloyd's, Singapore AAA rating)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Numbers over adjectives. "62 years old, 400 tonnes vaulted, 0.65%/year" beats "world-class, premium, unparalleled"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 clarity. Korean customers are very tax-sensitive. Spell out the implications in plain language, always with a "consult a professional" caveat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Korean-first language. Not Korean translation of English. Written by or with a native Korean financial-services copywriter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Comfort over excitement. Our customer is deciding to trust us with their retirement money, not buying a lottery ticket. Write like a trusted banker, not a growth marketer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Optionality as a feature. "You can convert anytime," "You can withdraw anytime," "You can visit the vault in person" — customers value optionality they rarely use</w:t>
      </w:r>
    </w:p>
    <w:p>
      <w:pPr>
        <w:pBdr>
          <w:bottom w:val="single" w:color="C5A572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0A0A0A"/>
          <w:sz w:val="36"/>
          <w:szCs w:val="36"/>
        </w:rPr>
        <w:t xml:space="preserve">Bottom Line</w:t>
      </w:r>
    </w:p>
    <w:p>
      <w:pPr>
        <w:spacing w:after="160"/>
      </w:pPr>
      <w:r>
        <w:rPr>
          <w:sz w:val="22"/>
          <w:szCs w:val="22"/>
        </w:rPr>
        <w:t xml:space="preserve">Aurum's competitive position is unique in the Korean market today: physical + offshore + Korean-service + convertible. No Korean incumbent offers this combination. NH + Toss just entered the adjacent category (paper gold savings). Our window is to launch AGP while the market is still learning that gold savings products exist — and to be the obvious offshore alternative. Executing Storage page content + AGP page content + Toss Bank auto-debit integration in the next 60 days is the highest-priority brand and product workstream.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2026-04-13T14:03:34.012Z</dcterms:created>
  <dcterms:modified xsi:type="dcterms:W3CDTF">2026-04-13T14:03:34.013Z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