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Noto Sans CJK SC" w:hAnsi="Noto Sans CJK SC" w:eastAsia="Noto Sans CJK SC"/>
          <w:b/>
          <w:color w:val="114E79"/>
          <w:sz w:val="44"/>
        </w:rPr>
        <w:t>Highway PPO V5 Streamlit UI Parameter Guide</w:t>
      </w:r>
    </w:p>
    <w:p>
      <w:pPr>
        <w:spacing w:after="200"/>
        <w:jc w:val="center"/>
      </w:pPr>
      <w:r>
        <w:rPr>
          <w:rFonts w:ascii="Noto Sans CJK SC" w:hAnsi="Noto Sans CJK SC" w:eastAsia="Noto Sans CJK SC"/>
          <w:b/>
          <w:color w:val="595959"/>
          <w:sz w:val="26"/>
        </w:rPr>
        <w:t>中英文参数说明 | Bilingual Reference</w:t>
      </w:r>
    </w:p>
    <w:tbl>
      <w:tblPr>
        <w:tblW w:type="auto" w:w="0"/>
        <w:jc w:val="center"/>
        <w:tblLook w:firstColumn="1" w:firstRow="1" w:lastColumn="0" w:lastRow="0" w:noHBand="0" w:noVBand="1" w:val="04A0"/>
      </w:tblPr>
      <w:tblGrid>
        <w:gridCol w:w="14544"/>
      </w:tblGrid>
      <w:tr>
        <w:tc>
          <w:tcPr>
            <w:tcW w:type="dxa" w:w="14544"/>
            <w:shd w:fill="FFF2CC"/>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8"/>
              </w:rPr>
              <w:t>Presentation note: The English Streamlit file changes only labels, help text, tabs, buttons, and status messages. It does not change the PPO backend, model files, training results, or saved videos. For the presentation, use “Evaluation Only” and select an existing .zip model to avoid retraining.</w:t>
            </w:r>
          </w:p>
          <w:p>
            <w:pPr>
              <w:spacing w:after="0" w:before="0" w:line="240" w:lineRule="auto"/>
            </w:pPr>
            <w:r>
              <w:rPr>
                <w:rFonts w:ascii="Noto Sans CJK SC" w:hAnsi="Noto Sans CJK SC" w:eastAsia="Noto Sans CJK SC"/>
                <w:b w:val="0"/>
                <w:sz w:val="18"/>
              </w:rPr>
              <w:t>演讲提示：英文版 Streamlit 文件只修改界面文字，不修改 PPO 后端、模型、训练结果或已有视频。演讲时使用 “Evaluation Only”，选择已有的 .zip 模型，即可避免重新训练。</w:t>
            </w:r>
          </w:p>
        </w:tc>
      </w:tr>
    </w:tbl>
    <w:p>
      <w:pPr>
        <w:spacing w:before="160" w:after="80"/>
      </w:pPr>
      <w:r>
        <w:rPr>
          <w:rFonts w:ascii="Noto Sans CJK SC" w:hAnsi="Noto Sans CJK SC" w:eastAsia="Noto Sans CJK SC"/>
          <w:b/>
          <w:color w:val="114E79"/>
          <w:sz w:val="28"/>
        </w:rPr>
        <w:t>0. Core Concepts / 核心概念</w:t>
      </w:r>
    </w:p>
    <w:tbl>
      <w:tblPr>
        <w:tblStyle w:val="TableGrid"/>
        <w:tblW w:type="auto" w:w="0"/>
        <w:jc w:val="center"/>
        <w:tblLook w:firstColumn="1" w:firstRow="1" w:lastColumn="0" w:lastRow="0" w:noHBand="0" w:noVBand="1" w:val="04A0"/>
      </w:tblPr>
      <w:tblGrid>
        <w:gridCol w:w="3636"/>
        <w:gridCol w:w="3636"/>
        <w:gridCol w:w="3636"/>
        <w:gridCol w:w="3636"/>
      </w:tblGrid>
      <w:tr>
        <w:trPr>
          <w:tblHeader w:val="true"/>
        </w:trPr>
        <w:tc>
          <w:tcPr>
            <w:tcW w:type="dxa" w:w="2880"/>
            <w:shd w:fill="1F4E78"/>
            <w:vAlign w:val="center"/>
            <w:tcMar>
              <w:top w:w="60" w:type="dxa"/>
              <w:start w:w="80" w:type="dxa"/>
              <w:bottom w:w="60" w:type="dxa"/>
              <w:end w:w="80" w:type="dxa"/>
            </w:tcMar>
          </w:tcPr>
          <w:p>
            <w:pPr>
              <w:spacing w:after="0" w:before="0" w:line="240" w:lineRule="auto"/>
            </w:pPr>
            <w:r>
              <w:rPr>
                <w:b/>
                <w:color w:val="FFFFFF"/>
              </w:rPr>
            </w:r>
            <w:r>
              <w:rPr>
                <w:rFonts w:ascii="Noto Sans CJK SC" w:hAnsi="Noto Sans CJK SC" w:eastAsia="Noto Sans CJK SC"/>
                <w:b/>
                <w:color w:val="FFFFFF"/>
                <w:sz w:val="18"/>
              </w:rPr>
              <w:t>Parameter / Default</w:t>
            </w:r>
          </w:p>
        </w:tc>
        <w:tc>
          <w:tcPr>
            <w:tcW w:type="dxa" w:w="4536"/>
            <w:shd w:fill="1F4E78"/>
            <w:vAlign w:val="center"/>
            <w:tcMar>
              <w:top w:w="60" w:type="dxa"/>
              <w:start w:w="80" w:type="dxa"/>
              <w:bottom w:w="60" w:type="dxa"/>
              <w:end w:w="80" w:type="dxa"/>
            </w:tcMar>
          </w:tcPr>
          <w:p>
            <w:pPr>
              <w:spacing w:after="0" w:before="0" w:line="240" w:lineRule="auto"/>
            </w:pPr>
            <w:r>
              <w:rPr>
                <w:b/>
                <w:color w:val="FFFFFF"/>
              </w:rPr>
            </w:r>
            <w:r>
              <w:rPr>
                <w:rFonts w:ascii="Noto Sans CJK SC" w:hAnsi="Noto Sans CJK SC" w:eastAsia="Noto Sans CJK SC"/>
                <w:b/>
                <w:color w:val="FFFFFF"/>
                <w:sz w:val="18"/>
              </w:rPr>
              <w:t>English Explanation</w:t>
            </w:r>
          </w:p>
        </w:tc>
        <w:tc>
          <w:tcPr>
            <w:tcW w:type="dxa" w:w="4536"/>
            <w:shd w:fill="1F4E78"/>
            <w:vAlign w:val="center"/>
            <w:tcMar>
              <w:top w:w="60" w:type="dxa"/>
              <w:start w:w="80" w:type="dxa"/>
              <w:bottom w:w="60" w:type="dxa"/>
              <w:end w:w="80" w:type="dxa"/>
            </w:tcMar>
          </w:tcPr>
          <w:p>
            <w:pPr>
              <w:spacing w:after="0" w:before="0" w:line="240" w:lineRule="auto"/>
            </w:pPr>
            <w:r>
              <w:rPr>
                <w:b/>
                <w:color w:val="FFFFFF"/>
              </w:rPr>
            </w:r>
            <w:r>
              <w:rPr>
                <w:rFonts w:ascii="Noto Sans CJK SC" w:hAnsi="Noto Sans CJK SC" w:eastAsia="Noto Sans CJK SC"/>
                <w:b/>
                <w:color w:val="FFFFFF"/>
                <w:sz w:val="18"/>
              </w:rPr>
              <w:t>中文说明</w:t>
            </w:r>
          </w:p>
        </w:tc>
        <w:tc>
          <w:tcPr>
            <w:tcW w:type="dxa" w:w="3168"/>
            <w:shd w:fill="1F4E78"/>
            <w:vAlign w:val="center"/>
            <w:tcMar>
              <w:top w:w="60" w:type="dxa"/>
              <w:start w:w="80" w:type="dxa"/>
              <w:bottom w:w="60" w:type="dxa"/>
              <w:end w:w="80" w:type="dxa"/>
            </w:tcMar>
          </w:tcPr>
          <w:p>
            <w:pPr>
              <w:spacing w:after="0" w:before="0" w:line="240" w:lineRule="auto"/>
            </w:pPr>
            <w:r>
              <w:rPr>
                <w:b/>
                <w:color w:val="FFFFFF"/>
              </w:rPr>
            </w:r>
            <w:r>
              <w:rPr>
                <w:rFonts w:ascii="Noto Sans CJK SC" w:hAnsi="Noto Sans CJK SC" w:eastAsia="Noto Sans CJK SC"/>
                <w:b/>
                <w:color w:val="FFFFFF"/>
                <w:sz w:val="18"/>
              </w:rPr>
              <w:t>Practical Effect / 使用建议</w:t>
            </w:r>
          </w:p>
        </w:tc>
      </w:tr>
      <w:tr>
        <w:trPr>
          <w:cantSplit/>
        </w:trPr>
        <w:tc>
          <w:tcPr>
            <w:tcW w:type="dxa" w:w="2880"/>
            <w:vAlign w:val="center"/>
            <w:tcMar>
              <w:top w:w="60" w:type="dxa"/>
              <w:start w:w="80" w:type="dxa"/>
              <w:bottom w:w="60" w:type="dxa"/>
              <w:end w:w="80" w:type="dxa"/>
            </w:tcMar>
          </w:tcPr>
          <w:p>
            <w:pPr>
              <w:spacing w:after="0" w:before="0" w:line="240" w:lineRule="auto"/>
            </w:pPr>
            <w:r/>
            <w:r>
              <w:rPr>
                <w:rFonts w:ascii="Noto Sans CJK SC" w:hAnsi="Noto Sans CJK SC" w:eastAsia="Noto Sans CJK SC"/>
                <w:b/>
                <w:sz w:val="16"/>
              </w:rPr>
              <w:t>Episode</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One complete driving scenario from reset until the time limit or an early termination.</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一次完整驾驶场景，从环境重置开始，到时间上限或提前终止为止。</w:t>
            </w:r>
          </w:p>
        </w:tc>
        <w:tc>
          <w:tcPr>
            <w:tcW w:type="dxa" w:w="3168"/>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With duration=80 and policy frequency=5 Hz, a full episode is about 400 policy steps.</w:t>
            </w:r>
          </w:p>
          <w:p>
            <w:pPr>
              <w:spacing w:after="0" w:before="0" w:line="240" w:lineRule="auto"/>
            </w:pPr>
            <w:r>
              <w:rPr>
                <w:rFonts w:ascii="Noto Sans CJK SC" w:hAnsi="Noto Sans CJK SC" w:eastAsia="Noto Sans CJK SC"/>
                <w:b w:val="0"/>
                <w:sz w:val="16"/>
              </w:rPr>
              <w:t>duration=80 且决策频率为5Hz时，完整 episode 约为400步。</w:t>
            </w:r>
          </w:p>
        </w:tc>
      </w:tr>
      <w:tr>
        <w:trPr>
          <w:cantSplit/>
        </w:trPr>
        <w:tc>
          <w:tcPr>
            <w:tcW w:type="dxa" w:w="2880"/>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sz w:val="16"/>
              </w:rPr>
              <w:t>Timestep</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One interaction cycle: observe, choose an action, execute it, and receive a reward.</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一次环境交互：观察、选择动作、执行动作、获得奖励。</w:t>
            </w:r>
          </w:p>
        </w:tc>
        <w:tc>
          <w:tcPr>
            <w:tcW w:type="dxa" w:w="3168"/>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Total timesteps are accumulated across many episodes.</w:t>
            </w:r>
          </w:p>
          <w:p>
            <w:pPr>
              <w:spacing w:after="0" w:before="0" w:line="240" w:lineRule="auto"/>
            </w:pPr>
            <w:r>
              <w:rPr>
                <w:rFonts w:ascii="Noto Sans CJK SC" w:hAnsi="Noto Sans CJK SC" w:eastAsia="Noto Sans CJK SC"/>
                <w:b w:val="0"/>
                <w:sz w:val="16"/>
              </w:rPr>
              <w:t>总 timesteps 是很多 episodes 累加后的总交互次数。</w:t>
            </w:r>
          </w:p>
        </w:tc>
      </w:tr>
      <w:tr>
        <w:trPr>
          <w:cantSplit/>
        </w:trPr>
        <w:tc>
          <w:tcPr>
            <w:tcW w:type="dxa" w:w="2880"/>
            <w:vAlign w:val="center"/>
            <w:tcMar>
              <w:top w:w="60" w:type="dxa"/>
              <w:start w:w="80" w:type="dxa"/>
              <w:bottom w:w="60" w:type="dxa"/>
              <w:end w:w="80" w:type="dxa"/>
            </w:tcMar>
          </w:tcPr>
          <w:p>
            <w:pPr>
              <w:spacing w:after="0" w:before="0" w:line="240" w:lineRule="auto"/>
            </w:pPr>
            <w:r/>
            <w:r>
              <w:rPr>
                <w:rFonts w:ascii="Noto Sans CJK SC" w:hAnsi="Noto Sans CJK SC" w:eastAsia="Noto Sans CJK SC"/>
                <w:b/>
                <w:sz w:val="16"/>
              </w:rPr>
              <w:t>Evaluation</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A test run using the current or selected policy without updating model parameters.</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使用当前或选定模型进行测试，不更新模型参数。</w:t>
            </w:r>
          </w:p>
        </w:tc>
        <w:tc>
          <w:tcPr>
            <w:tcW w:type="dxa" w:w="3168"/>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Use for presentation videos and model comparison.</w:t>
            </w:r>
          </w:p>
          <w:p>
            <w:pPr>
              <w:spacing w:after="0" w:before="0" w:line="240" w:lineRule="auto"/>
            </w:pPr>
            <w:r>
              <w:rPr>
                <w:rFonts w:ascii="Noto Sans CJK SC" w:hAnsi="Noto Sans CJK SC" w:eastAsia="Noto Sans CJK SC"/>
                <w:b w:val="0"/>
                <w:sz w:val="16"/>
              </w:rPr>
              <w:t>用于演讲视频和模型比较。</w:t>
            </w:r>
          </w:p>
        </w:tc>
      </w:tr>
      <w:tr>
        <w:trPr>
          <w:cantSplit/>
        </w:trPr>
        <w:tc>
          <w:tcPr>
            <w:tcW w:type="dxa" w:w="2880"/>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sz w:val="16"/>
              </w:rPr>
              <w:t>TTC</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Time to Collision: estimated time until a rear-end collision if the current closing speed continues.</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碰撞时间：如果当前相对接近速度不变，预计多久会发生追尾。</w:t>
            </w:r>
          </w:p>
        </w:tc>
        <w:tc>
          <w:tcPr>
            <w:tcW w:type="dxa" w:w="3168"/>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Larger safety thresholds cause earlier intervention.</w:t>
            </w:r>
          </w:p>
          <w:p>
            <w:pPr>
              <w:spacing w:after="0" w:before="0" w:line="240" w:lineRule="auto"/>
            </w:pPr>
            <w:r>
              <w:rPr>
                <w:rFonts w:ascii="Noto Sans CJK SC" w:hAnsi="Noto Sans CJK SC" w:eastAsia="Noto Sans CJK SC"/>
                <w:b w:val="0"/>
                <w:sz w:val="16"/>
              </w:rPr>
              <w:t>安全阈值越大，系统越早介入。</w:t>
            </w:r>
          </w:p>
        </w:tc>
      </w:tr>
    </w:tbl>
    <w:p>
      <w:pPr>
        <w:spacing w:before="160" w:after="80"/>
      </w:pPr>
      <w:r>
        <w:rPr>
          <w:rFonts w:ascii="Noto Sans CJK SC" w:hAnsi="Noto Sans CJK SC" w:eastAsia="Noto Sans CJK SC"/>
          <w:b/>
          <w:color w:val="114E79"/>
          <w:sz w:val="28"/>
        </w:rPr>
        <w:t>1. Path Settings / 路径设置</w:t>
      </w:r>
    </w:p>
    <w:tbl>
      <w:tblPr>
        <w:tblStyle w:val="TableGrid"/>
        <w:tblW w:type="auto" w:w="0"/>
        <w:jc w:val="center"/>
        <w:tblLook w:firstColumn="1" w:firstRow="1" w:lastColumn="0" w:lastRow="0" w:noHBand="0" w:noVBand="1" w:val="04A0"/>
      </w:tblPr>
      <w:tblGrid>
        <w:gridCol w:w="3636"/>
        <w:gridCol w:w="3636"/>
        <w:gridCol w:w="3636"/>
        <w:gridCol w:w="3636"/>
      </w:tblGrid>
      <w:tr>
        <w:trPr>
          <w:tblHeader w:val="true"/>
        </w:trPr>
        <w:tc>
          <w:tcPr>
            <w:tcW w:type="dxa" w:w="2880"/>
            <w:shd w:fill="1F4E78"/>
            <w:vAlign w:val="center"/>
            <w:tcMar>
              <w:top w:w="60" w:type="dxa"/>
              <w:start w:w="80" w:type="dxa"/>
              <w:bottom w:w="60" w:type="dxa"/>
              <w:end w:w="80" w:type="dxa"/>
            </w:tcMar>
          </w:tcPr>
          <w:p>
            <w:pPr>
              <w:spacing w:after="0" w:before="0" w:line="240" w:lineRule="auto"/>
            </w:pPr>
            <w:r>
              <w:rPr>
                <w:b/>
                <w:color w:val="FFFFFF"/>
              </w:rPr>
            </w:r>
            <w:r>
              <w:rPr>
                <w:rFonts w:ascii="Noto Sans CJK SC" w:hAnsi="Noto Sans CJK SC" w:eastAsia="Noto Sans CJK SC"/>
                <w:b/>
                <w:color w:val="FFFFFF"/>
                <w:sz w:val="18"/>
              </w:rPr>
              <w:t>Parameter / Default</w:t>
            </w:r>
          </w:p>
        </w:tc>
        <w:tc>
          <w:tcPr>
            <w:tcW w:type="dxa" w:w="4536"/>
            <w:shd w:fill="1F4E78"/>
            <w:vAlign w:val="center"/>
            <w:tcMar>
              <w:top w:w="60" w:type="dxa"/>
              <w:start w:w="80" w:type="dxa"/>
              <w:bottom w:w="60" w:type="dxa"/>
              <w:end w:w="80" w:type="dxa"/>
            </w:tcMar>
          </w:tcPr>
          <w:p>
            <w:pPr>
              <w:spacing w:after="0" w:before="0" w:line="240" w:lineRule="auto"/>
            </w:pPr>
            <w:r>
              <w:rPr>
                <w:b/>
                <w:color w:val="FFFFFF"/>
              </w:rPr>
            </w:r>
            <w:r>
              <w:rPr>
                <w:rFonts w:ascii="Noto Sans CJK SC" w:hAnsi="Noto Sans CJK SC" w:eastAsia="Noto Sans CJK SC"/>
                <w:b/>
                <w:color w:val="FFFFFF"/>
                <w:sz w:val="18"/>
              </w:rPr>
              <w:t>English Explanation</w:t>
            </w:r>
          </w:p>
        </w:tc>
        <w:tc>
          <w:tcPr>
            <w:tcW w:type="dxa" w:w="4536"/>
            <w:shd w:fill="1F4E78"/>
            <w:vAlign w:val="center"/>
            <w:tcMar>
              <w:top w:w="60" w:type="dxa"/>
              <w:start w:w="80" w:type="dxa"/>
              <w:bottom w:w="60" w:type="dxa"/>
              <w:end w:w="80" w:type="dxa"/>
            </w:tcMar>
          </w:tcPr>
          <w:p>
            <w:pPr>
              <w:spacing w:after="0" w:before="0" w:line="240" w:lineRule="auto"/>
            </w:pPr>
            <w:r>
              <w:rPr>
                <w:b/>
                <w:color w:val="FFFFFF"/>
              </w:rPr>
            </w:r>
            <w:r>
              <w:rPr>
                <w:rFonts w:ascii="Noto Sans CJK SC" w:hAnsi="Noto Sans CJK SC" w:eastAsia="Noto Sans CJK SC"/>
                <w:b/>
                <w:color w:val="FFFFFF"/>
                <w:sz w:val="18"/>
              </w:rPr>
              <w:t>中文说明</w:t>
            </w:r>
          </w:p>
        </w:tc>
        <w:tc>
          <w:tcPr>
            <w:tcW w:type="dxa" w:w="3168"/>
            <w:shd w:fill="1F4E78"/>
            <w:vAlign w:val="center"/>
            <w:tcMar>
              <w:top w:w="60" w:type="dxa"/>
              <w:start w:w="80" w:type="dxa"/>
              <w:bottom w:w="60" w:type="dxa"/>
              <w:end w:w="80" w:type="dxa"/>
            </w:tcMar>
          </w:tcPr>
          <w:p>
            <w:pPr>
              <w:spacing w:after="0" w:before="0" w:line="240" w:lineRule="auto"/>
            </w:pPr>
            <w:r>
              <w:rPr>
                <w:b/>
                <w:color w:val="FFFFFF"/>
              </w:rPr>
            </w:r>
            <w:r>
              <w:rPr>
                <w:rFonts w:ascii="Noto Sans CJK SC" w:hAnsi="Noto Sans CJK SC" w:eastAsia="Noto Sans CJK SC"/>
                <w:b/>
                <w:color w:val="FFFFFF"/>
                <w:sz w:val="18"/>
              </w:rPr>
              <w:t>Practical Effect / 使用建议</w:t>
            </w:r>
          </w:p>
        </w:tc>
      </w:tr>
      <w:tr>
        <w:trPr>
          <w:cantSplit/>
        </w:trPr>
        <w:tc>
          <w:tcPr>
            <w:tcW w:type="dxa" w:w="2880"/>
            <w:vAlign w:val="center"/>
            <w:tcMar>
              <w:top w:w="60" w:type="dxa"/>
              <w:start w:w="80" w:type="dxa"/>
              <w:bottom w:w="60" w:type="dxa"/>
              <w:end w:w="80" w:type="dxa"/>
            </w:tcMar>
          </w:tcPr>
          <w:p>
            <w:pPr>
              <w:spacing w:after="0" w:before="0" w:line="240" w:lineRule="auto"/>
            </w:pPr>
            <w:r/>
            <w:r>
              <w:rPr>
                <w:rFonts w:ascii="Noto Sans CJK SC" w:hAnsi="Noto Sans CJK SC" w:eastAsia="Noto Sans CJK SC"/>
                <w:b/>
                <w:sz w:val="16"/>
              </w:rPr>
              <w:t>V5 backend script</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Path to the Python backend that creates the environment, trains PPO, evaluates models, and records videos.</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V5 后端脚本路径，负责创建环境、训练 PPO、评估模型和录制视频。</w:t>
            </w:r>
          </w:p>
        </w:tc>
        <w:tc>
          <w:tcPr>
            <w:tcW w:type="dxa" w:w="3168"/>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Normally keep the existing path. Change only if the backend file is stored elsewhere.</w:t>
            </w:r>
          </w:p>
          <w:p>
            <w:pPr>
              <w:spacing w:after="0" w:before="0" w:line="240" w:lineRule="auto"/>
            </w:pPr>
            <w:r>
              <w:rPr>
                <w:rFonts w:ascii="Noto Sans CJK SC" w:hAnsi="Noto Sans CJK SC" w:eastAsia="Noto Sans CJK SC"/>
                <w:b w:val="0"/>
                <w:sz w:val="16"/>
              </w:rPr>
              <w:t>通常保持原路径，只有后端文件移动时才修改。</w:t>
            </w:r>
          </w:p>
        </w:tc>
      </w:tr>
      <w:tr>
        <w:trPr>
          <w:cantSplit/>
        </w:trPr>
        <w:tc>
          <w:tcPr>
            <w:tcW w:type="dxa" w:w="2880"/>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sz w:val="16"/>
              </w:rPr>
              <w:t>Model dir</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Folder containing final models, checkpoints, and best_model.zip files.</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保存最终模型、checkpoint 和 best_model.zip 的文件夹。</w:t>
            </w:r>
          </w:p>
        </w:tc>
        <w:tc>
          <w:tcPr>
            <w:tcW w:type="dxa" w:w="3168"/>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Evaluation Only scans this folder for .zip models.</w:t>
            </w:r>
          </w:p>
          <w:p>
            <w:pPr>
              <w:spacing w:after="0" w:before="0" w:line="240" w:lineRule="auto"/>
            </w:pPr>
            <w:r>
              <w:rPr>
                <w:rFonts w:ascii="Noto Sans CJK SC" w:hAnsi="Noto Sans CJK SC" w:eastAsia="Noto Sans CJK SC"/>
                <w:b w:val="0"/>
                <w:sz w:val="16"/>
              </w:rPr>
              <w:t>“Evaluation Only” 会扫描该目录中的 .zip 模型。</w:t>
            </w:r>
          </w:p>
        </w:tc>
      </w:tr>
      <w:tr>
        <w:trPr>
          <w:cantSplit/>
        </w:trPr>
        <w:tc>
          <w:tcPr>
            <w:tcW w:type="dxa" w:w="2880"/>
            <w:vAlign w:val="center"/>
            <w:tcMar>
              <w:top w:w="60" w:type="dxa"/>
              <w:start w:w="80" w:type="dxa"/>
              <w:bottom w:w="60" w:type="dxa"/>
              <w:end w:w="80" w:type="dxa"/>
            </w:tcMar>
          </w:tcPr>
          <w:p>
            <w:pPr>
              <w:spacing w:after="0" w:before="0" w:line="240" w:lineRule="auto"/>
            </w:pPr>
            <w:r/>
            <w:r>
              <w:rPr>
                <w:rFonts w:ascii="Noto Sans CJK SC" w:hAnsi="Noto Sans CJK SC" w:eastAsia="Noto Sans CJK SC"/>
                <w:b/>
                <w:sz w:val="16"/>
              </w:rPr>
              <w:t>Log dir</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Folder for TensorBoard event files, monitor logs, and evaluation logs.</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TensorBoard 事件文件、Monitor 日志和 evaluation 日志的保存目录。</w:t>
            </w:r>
          </w:p>
        </w:tc>
        <w:tc>
          <w:tcPr>
            <w:tcW w:type="dxa" w:w="3168"/>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Changing it does not change the model; it only changes where new logs are written.</w:t>
            </w:r>
          </w:p>
          <w:p>
            <w:pPr>
              <w:spacing w:after="0" w:before="0" w:line="240" w:lineRule="auto"/>
            </w:pPr>
            <w:r>
              <w:rPr>
                <w:rFonts w:ascii="Noto Sans CJK SC" w:hAnsi="Noto Sans CJK SC" w:eastAsia="Noto Sans CJK SC"/>
                <w:b w:val="0"/>
                <w:sz w:val="16"/>
              </w:rPr>
              <w:t>修改它不会改变模型，只改变新日志的保存位置。</w:t>
            </w:r>
          </w:p>
        </w:tc>
      </w:tr>
      <w:tr>
        <w:trPr>
          <w:cantSplit/>
        </w:trPr>
        <w:tc>
          <w:tcPr>
            <w:tcW w:type="dxa" w:w="2880"/>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sz w:val="16"/>
              </w:rPr>
              <w:t>Video library dir</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Root folder used to store and display generated MP4 videos.</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保存并展示生成的 MP4 视频的根目录。</w:t>
            </w:r>
          </w:p>
        </w:tc>
        <w:tc>
          <w:tcPr>
            <w:tcW w:type="dxa" w:w="3168"/>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Use a stable folder so videos remain available in the Video Library tab.</w:t>
            </w:r>
          </w:p>
          <w:p>
            <w:pPr>
              <w:spacing w:after="0" w:before="0" w:line="240" w:lineRule="auto"/>
            </w:pPr>
            <w:r>
              <w:rPr>
                <w:rFonts w:ascii="Noto Sans CJK SC" w:hAnsi="Noto Sans CJK SC" w:eastAsia="Noto Sans CJK SC"/>
                <w:b w:val="0"/>
                <w:sz w:val="16"/>
              </w:rPr>
              <w:t>使用固定目录，便于视频库持续显示已有视频。</w:t>
            </w:r>
          </w:p>
        </w:tc>
      </w:tr>
    </w:tbl>
    <w:p>
      <w:pPr>
        <w:spacing w:before="160" w:after="80"/>
      </w:pPr>
      <w:r>
        <w:rPr>
          <w:rFonts w:ascii="Noto Sans CJK SC" w:hAnsi="Noto Sans CJK SC" w:eastAsia="Noto Sans CJK SC"/>
          <w:b/>
          <w:color w:val="114E79"/>
          <w:sz w:val="28"/>
        </w:rPr>
        <w:t>2. Environment and Safety Parameters / 环境与安全参数</w:t>
      </w:r>
    </w:p>
    <w:tbl>
      <w:tblPr>
        <w:tblStyle w:val="TableGrid"/>
        <w:tblW w:type="auto" w:w="0"/>
        <w:jc w:val="center"/>
        <w:tblLook w:firstColumn="1" w:firstRow="1" w:lastColumn="0" w:lastRow="0" w:noHBand="0" w:noVBand="1" w:val="04A0"/>
      </w:tblPr>
      <w:tblGrid>
        <w:gridCol w:w="3636"/>
        <w:gridCol w:w="3636"/>
        <w:gridCol w:w="3636"/>
        <w:gridCol w:w="3636"/>
      </w:tblGrid>
      <w:tr>
        <w:trPr>
          <w:tblHeader w:val="true"/>
        </w:trPr>
        <w:tc>
          <w:tcPr>
            <w:tcW w:type="dxa" w:w="2880"/>
            <w:shd w:fill="1F4E78"/>
            <w:vAlign w:val="center"/>
            <w:tcMar>
              <w:top w:w="60" w:type="dxa"/>
              <w:start w:w="80" w:type="dxa"/>
              <w:bottom w:w="60" w:type="dxa"/>
              <w:end w:w="80" w:type="dxa"/>
            </w:tcMar>
          </w:tcPr>
          <w:p>
            <w:pPr>
              <w:spacing w:after="0" w:before="0" w:line="240" w:lineRule="auto"/>
            </w:pPr>
            <w:r>
              <w:rPr>
                <w:b/>
                <w:color w:val="FFFFFF"/>
              </w:rPr>
            </w:r>
            <w:r>
              <w:rPr>
                <w:rFonts w:ascii="Noto Sans CJK SC" w:hAnsi="Noto Sans CJK SC" w:eastAsia="Noto Sans CJK SC"/>
                <w:b/>
                <w:color w:val="FFFFFF"/>
                <w:sz w:val="18"/>
              </w:rPr>
              <w:t>Parameter / Default</w:t>
            </w:r>
          </w:p>
        </w:tc>
        <w:tc>
          <w:tcPr>
            <w:tcW w:type="dxa" w:w="4536"/>
            <w:shd w:fill="1F4E78"/>
            <w:vAlign w:val="center"/>
            <w:tcMar>
              <w:top w:w="60" w:type="dxa"/>
              <w:start w:w="80" w:type="dxa"/>
              <w:bottom w:w="60" w:type="dxa"/>
              <w:end w:w="80" w:type="dxa"/>
            </w:tcMar>
          </w:tcPr>
          <w:p>
            <w:pPr>
              <w:spacing w:after="0" w:before="0" w:line="240" w:lineRule="auto"/>
            </w:pPr>
            <w:r>
              <w:rPr>
                <w:b/>
                <w:color w:val="FFFFFF"/>
              </w:rPr>
            </w:r>
            <w:r>
              <w:rPr>
                <w:rFonts w:ascii="Noto Sans CJK SC" w:hAnsi="Noto Sans CJK SC" w:eastAsia="Noto Sans CJK SC"/>
                <w:b/>
                <w:color w:val="FFFFFF"/>
                <w:sz w:val="18"/>
              </w:rPr>
              <w:t>English Explanation</w:t>
            </w:r>
          </w:p>
        </w:tc>
        <w:tc>
          <w:tcPr>
            <w:tcW w:type="dxa" w:w="4536"/>
            <w:shd w:fill="1F4E78"/>
            <w:vAlign w:val="center"/>
            <w:tcMar>
              <w:top w:w="60" w:type="dxa"/>
              <w:start w:w="80" w:type="dxa"/>
              <w:bottom w:w="60" w:type="dxa"/>
              <w:end w:w="80" w:type="dxa"/>
            </w:tcMar>
          </w:tcPr>
          <w:p>
            <w:pPr>
              <w:spacing w:after="0" w:before="0" w:line="240" w:lineRule="auto"/>
            </w:pPr>
            <w:r>
              <w:rPr>
                <w:b/>
                <w:color w:val="FFFFFF"/>
              </w:rPr>
            </w:r>
            <w:r>
              <w:rPr>
                <w:rFonts w:ascii="Noto Sans CJK SC" w:hAnsi="Noto Sans CJK SC" w:eastAsia="Noto Sans CJK SC"/>
                <w:b/>
                <w:color w:val="FFFFFF"/>
                <w:sz w:val="18"/>
              </w:rPr>
              <w:t>中文说明</w:t>
            </w:r>
          </w:p>
        </w:tc>
        <w:tc>
          <w:tcPr>
            <w:tcW w:type="dxa" w:w="3168"/>
            <w:shd w:fill="1F4E78"/>
            <w:vAlign w:val="center"/>
            <w:tcMar>
              <w:top w:w="60" w:type="dxa"/>
              <w:start w:w="80" w:type="dxa"/>
              <w:bottom w:w="60" w:type="dxa"/>
              <w:end w:w="80" w:type="dxa"/>
            </w:tcMar>
          </w:tcPr>
          <w:p>
            <w:pPr>
              <w:spacing w:after="0" w:before="0" w:line="240" w:lineRule="auto"/>
            </w:pPr>
            <w:r>
              <w:rPr>
                <w:b/>
                <w:color w:val="FFFFFF"/>
              </w:rPr>
            </w:r>
            <w:r>
              <w:rPr>
                <w:rFonts w:ascii="Noto Sans CJK SC" w:hAnsi="Noto Sans CJK SC" w:eastAsia="Noto Sans CJK SC"/>
                <w:b/>
                <w:color w:val="FFFFFF"/>
                <w:sz w:val="18"/>
              </w:rPr>
              <w:t>Practical Effect / 使用建议</w:t>
            </w:r>
          </w:p>
        </w:tc>
      </w:tr>
      <w:tr>
        <w:trPr>
          <w:cantSplit/>
        </w:trPr>
        <w:tc>
          <w:tcPr>
            <w:tcW w:type="dxa" w:w="2880"/>
            <w:vAlign w:val="center"/>
            <w:tcMar>
              <w:top w:w="60" w:type="dxa"/>
              <w:start w:w="80" w:type="dxa"/>
              <w:bottom w:w="60" w:type="dxa"/>
              <w:end w:w="80" w:type="dxa"/>
            </w:tcMar>
          </w:tcPr>
          <w:p>
            <w:pPr>
              <w:spacing w:after="0" w:before="0" w:line="240" w:lineRule="auto"/>
            </w:pPr>
            <w:r/>
            <w:r>
              <w:rPr>
                <w:rFonts w:ascii="Noto Sans CJK SC" w:hAnsi="Noto Sans CJK SC" w:eastAsia="Noto Sans CJK SC"/>
                <w:b/>
                <w:sz w:val="16"/>
              </w:rPr>
              <w:t>Traffic mode</w:t>
            </w:r>
          </w:p>
          <w:p>
            <w:pPr>
              <w:spacing w:after="0" w:before="0" w:line="240" w:lineRule="auto"/>
            </w:pPr>
            <w:r>
              <w:rPr>
                <w:rFonts w:ascii="Noto Sans CJK SC" w:hAnsi="Noto Sans CJK SC" w:eastAsia="Noto Sans CJK SC"/>
                <w:b w:val="0"/>
                <w:sz w:val="16"/>
              </w:rPr>
              <w:t>Default: realistic</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Controls traffic density and difficulty: simple, realistic, or dense.</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控制交通密度和难度：simple、realistic 或 dense。</w:t>
            </w:r>
          </w:p>
        </w:tc>
        <w:tc>
          <w:tcPr>
            <w:tcW w:type="dxa" w:w="3168"/>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Dense is harder and more random. For presentation, realistic is usually clearer and more reliable.</w:t>
            </w:r>
          </w:p>
          <w:p>
            <w:pPr>
              <w:spacing w:after="0" w:before="0" w:line="240" w:lineRule="auto"/>
            </w:pPr>
            <w:r>
              <w:rPr>
                <w:rFonts w:ascii="Noto Sans CJK SC" w:hAnsi="Noto Sans CJK SC" w:eastAsia="Noto Sans CJK SC"/>
                <w:b w:val="0"/>
                <w:sz w:val="16"/>
              </w:rPr>
              <w:t>dense 更难、更随机；演讲通常使用 realistic。</w:t>
            </w:r>
          </w:p>
        </w:tc>
      </w:tr>
      <w:tr>
        <w:trPr>
          <w:cantSplit/>
        </w:trPr>
        <w:tc>
          <w:tcPr>
            <w:tcW w:type="dxa" w:w="2880"/>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sz w:val="16"/>
              </w:rPr>
              <w:t>Seed</w:t>
            </w:r>
          </w:p>
          <w:p>
            <w:pPr>
              <w:spacing w:after="0" w:before="0" w:line="240" w:lineRule="auto"/>
            </w:pPr>
            <w:r>
              <w:rPr>
                <w:rFonts w:ascii="Noto Sans CJK SC" w:hAnsi="Noto Sans CJK SC" w:eastAsia="Noto Sans CJK SC"/>
                <w:b w:val="0"/>
                <w:sz w:val="16"/>
              </w:rPr>
              <w:t>Default: 42</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Controls reproducible random initialization of traffic and environment states.</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控制车辆初始分布和环境随机状态，以便复现实验。</w:t>
            </w:r>
          </w:p>
        </w:tc>
        <w:tc>
          <w:tcPr>
            <w:tcW w:type="dxa" w:w="3168"/>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Use the same seed for fair video comparisons. Try several seeds only when searching for a good demonstration.</w:t>
            </w:r>
          </w:p>
          <w:p>
            <w:pPr>
              <w:spacing w:after="0" w:before="0" w:line="240" w:lineRule="auto"/>
            </w:pPr>
            <w:r>
              <w:rPr>
                <w:rFonts w:ascii="Noto Sans CJK SC" w:hAnsi="Noto Sans CJK SC" w:eastAsia="Noto Sans CJK SC"/>
                <w:b w:val="0"/>
                <w:sz w:val="16"/>
              </w:rPr>
              <w:t>公平比较时使用相同 seed；寻找演示片段时可尝试不同 seed。</w:t>
            </w:r>
          </w:p>
        </w:tc>
      </w:tr>
      <w:tr>
        <w:trPr>
          <w:cantSplit/>
        </w:trPr>
        <w:tc>
          <w:tcPr>
            <w:tcW w:type="dxa" w:w="2880"/>
            <w:vAlign w:val="center"/>
            <w:tcMar>
              <w:top w:w="60" w:type="dxa"/>
              <w:start w:w="80" w:type="dxa"/>
              <w:bottom w:w="60" w:type="dxa"/>
              <w:end w:w="80" w:type="dxa"/>
            </w:tcMar>
          </w:tcPr>
          <w:p>
            <w:pPr>
              <w:spacing w:after="0" w:before="0" w:line="240" w:lineRule="auto"/>
            </w:pPr>
            <w:r/>
            <w:r>
              <w:rPr>
                <w:rFonts w:ascii="Noto Sans CJK SC" w:hAnsi="Noto Sans CJK SC" w:eastAsia="Noto Sans CJK SC"/>
                <w:b/>
                <w:sz w:val="16"/>
              </w:rPr>
              <w:t>Episode Duration</w:t>
            </w:r>
          </w:p>
          <w:p>
            <w:pPr>
              <w:spacing w:after="0" w:before="0" w:line="240" w:lineRule="auto"/>
            </w:pPr>
            <w:r>
              <w:rPr>
                <w:rFonts w:ascii="Noto Sans CJK SC" w:hAnsi="Noto Sans CJK SC" w:eastAsia="Noto Sans CJK SC"/>
                <w:b w:val="0"/>
                <w:sz w:val="16"/>
              </w:rPr>
              <w:t>Default: 80 s</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Maximum simulation time for each training or evaluation episode.</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每个训练或 evaluation episode 的最大仿真时长。</w:t>
            </w:r>
          </w:p>
        </w:tc>
        <w:tc>
          <w:tcPr>
            <w:tcW w:type="dxa" w:w="3168"/>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At 5 policy decisions per second, 80 s is about 400 steps. It is a maximum; collisions can end the episode earlier.</w:t>
            </w:r>
          </w:p>
          <w:p>
            <w:pPr>
              <w:spacing w:after="0" w:before="0" w:line="240" w:lineRule="auto"/>
            </w:pPr>
            <w:r>
              <w:rPr>
                <w:rFonts w:ascii="Noto Sans CJK SC" w:hAnsi="Noto Sans CJK SC" w:eastAsia="Noto Sans CJK SC"/>
                <w:b w:val="0"/>
                <w:sz w:val="16"/>
              </w:rPr>
              <w:t>每秒5次决策时约400步；碰撞可能提前结束。</w:t>
            </w:r>
          </w:p>
        </w:tc>
      </w:tr>
      <w:tr>
        <w:trPr>
          <w:cantSplit/>
        </w:trPr>
        <w:tc>
          <w:tcPr>
            <w:tcW w:type="dxa" w:w="2880"/>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sz w:val="16"/>
              </w:rPr>
              <w:t>Eval weather / rain intensity</w:t>
            </w:r>
          </w:p>
          <w:p>
            <w:pPr>
              <w:spacing w:after="0" w:before="0" w:line="240" w:lineRule="auto"/>
            </w:pPr>
            <w:r>
              <w:rPr>
                <w:rFonts w:ascii="Noto Sans CJK SC" w:hAnsi="Noto Sans CJK SC" w:eastAsia="Noto Sans CJK SC"/>
                <w:b w:val="0"/>
                <w:sz w:val="16"/>
              </w:rPr>
              <w:t>Default: 0.55</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Fixed rain intensity used in evaluation. Training weather is randomized by the backend.</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evaluation 使用的固定雨量强度；训练天气由后端随机生成。</w:t>
            </w:r>
          </w:p>
        </w:tc>
        <w:tc>
          <w:tcPr>
            <w:tcW w:type="dxa" w:w="3168"/>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0=dry, 1=very rainy. Higher rain increases safety distance and reduces target speed.</w:t>
            </w:r>
          </w:p>
          <w:p>
            <w:pPr>
              <w:spacing w:after="0" w:before="0" w:line="240" w:lineRule="auto"/>
            </w:pPr>
            <w:r>
              <w:rPr>
                <w:rFonts w:ascii="Noto Sans CJK SC" w:hAnsi="Noto Sans CJK SC" w:eastAsia="Noto Sans CJK SC"/>
                <w:b w:val="0"/>
                <w:sz w:val="16"/>
              </w:rPr>
              <w:t>0为干燥，1为强降雨；越大越保守。</w:t>
            </w:r>
          </w:p>
        </w:tc>
      </w:tr>
      <w:tr>
        <w:trPr>
          <w:cantSplit/>
        </w:trPr>
        <w:tc>
          <w:tcPr>
            <w:tcW w:type="dxa" w:w="2880"/>
            <w:vAlign w:val="center"/>
            <w:tcMar>
              <w:top w:w="60" w:type="dxa"/>
              <w:start w:w="80" w:type="dxa"/>
              <w:bottom w:w="60" w:type="dxa"/>
              <w:end w:w="80" w:type="dxa"/>
            </w:tcMar>
          </w:tcPr>
          <w:p>
            <w:pPr>
              <w:spacing w:after="0" w:before="0" w:line="240" w:lineRule="auto"/>
            </w:pPr>
            <w:r/>
            <w:r>
              <w:rPr>
                <w:rFonts w:ascii="Noto Sans CJK SC" w:hAnsi="Noto Sans CJK SC" w:eastAsia="Noto Sans CJK SC"/>
                <w:b/>
                <w:sz w:val="16"/>
              </w:rPr>
              <w:t>Fast-lane safety multiplier</w:t>
            </w:r>
          </w:p>
          <w:p>
            <w:pPr>
              <w:spacing w:after="0" w:before="0" w:line="240" w:lineRule="auto"/>
            </w:pPr>
            <w:r>
              <w:rPr>
                <w:rFonts w:ascii="Noto Sans CJK SC" w:hAnsi="Noto Sans CJK SC" w:eastAsia="Noto Sans CJK SC"/>
                <w:b w:val="0"/>
                <w:sz w:val="16"/>
              </w:rPr>
              <w:t>Default: 1.75</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Multiplies the normal safe following distance in the left-most overtaking lane.</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将最左侧超车道的普通安全跟车距离乘以该系数。</w:t>
            </w:r>
          </w:p>
        </w:tc>
        <w:tc>
          <w:tcPr>
            <w:tcW w:type="dxa" w:w="3168"/>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Higher = earlier slowing and larger gaps; lower = more active but riskier.</w:t>
            </w:r>
          </w:p>
          <w:p>
            <w:pPr>
              <w:spacing w:after="0" w:before="0" w:line="240" w:lineRule="auto"/>
            </w:pPr>
            <w:r>
              <w:rPr>
                <w:rFonts w:ascii="Noto Sans CJK SC" w:hAnsi="Noto Sans CJK SC" w:eastAsia="Noto Sans CJK SC"/>
                <w:b w:val="0"/>
                <w:sz w:val="16"/>
              </w:rPr>
              <w:t>越大越早减速、间距更大；越小越积极但风险更高。</w:t>
            </w:r>
          </w:p>
        </w:tc>
      </w:tr>
      <w:tr>
        <w:trPr>
          <w:cantSplit/>
        </w:trPr>
        <w:tc>
          <w:tcPr>
            <w:tcW w:type="dxa" w:w="2880"/>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sz w:val="16"/>
              </w:rPr>
              <w:t>Fast-lane minimum TTC</w:t>
            </w:r>
          </w:p>
          <w:p>
            <w:pPr>
              <w:spacing w:after="0" w:before="0" w:line="240" w:lineRule="auto"/>
            </w:pPr>
            <w:r>
              <w:rPr>
                <w:rFonts w:ascii="Noto Sans CJK SC" w:hAnsi="Noto Sans CJK SC" w:eastAsia="Noto Sans CJK SC"/>
                <w:b w:val="0"/>
                <w:sz w:val="16"/>
              </w:rPr>
              <w:t>Default: 4.0 s</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Minimum TTC threshold used by the fast-lane safety shield.</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快车道安全层使用的最小 TTC 阈值。</w:t>
            </w:r>
          </w:p>
        </w:tc>
        <w:tc>
          <w:tcPr>
            <w:tcW w:type="dxa" w:w="3168"/>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Higher = earlier braking or blocked acceleration.</w:t>
            </w:r>
          </w:p>
          <w:p>
            <w:pPr>
              <w:spacing w:after="0" w:before="0" w:line="240" w:lineRule="auto"/>
            </w:pPr>
            <w:r>
              <w:rPr>
                <w:rFonts w:ascii="Noto Sans CJK SC" w:hAnsi="Noto Sans CJK SC" w:eastAsia="Noto Sans CJK SC"/>
                <w:b w:val="0"/>
                <w:sz w:val="16"/>
              </w:rPr>
              <w:t>越大越早刹车或阻止加速。</w:t>
            </w:r>
          </w:p>
        </w:tc>
      </w:tr>
      <w:tr>
        <w:trPr>
          <w:cantSplit/>
        </w:trPr>
        <w:tc>
          <w:tcPr>
            <w:tcW w:type="dxa" w:w="2880"/>
            <w:vAlign w:val="center"/>
            <w:tcMar>
              <w:top w:w="60" w:type="dxa"/>
              <w:start w:w="80" w:type="dxa"/>
              <w:bottom w:w="60" w:type="dxa"/>
              <w:end w:w="80" w:type="dxa"/>
            </w:tcMar>
          </w:tcPr>
          <w:p>
            <w:pPr>
              <w:spacing w:after="0" w:before="0" w:line="240" w:lineRule="auto"/>
            </w:pPr>
            <w:r/>
            <w:r>
              <w:rPr>
                <w:rFonts w:ascii="Noto Sans CJK SC" w:hAnsi="Noto Sans CJK SC" w:eastAsia="Noto Sans CJK SC"/>
                <w:b/>
                <w:sz w:val="16"/>
              </w:rPr>
              <w:t>Fast-lane accel gap multiplier</w:t>
            </w:r>
          </w:p>
          <w:p>
            <w:pPr>
              <w:spacing w:after="0" w:before="0" w:line="240" w:lineRule="auto"/>
            </w:pPr>
            <w:r>
              <w:rPr>
                <w:rFonts w:ascii="Noto Sans CJK SC" w:hAnsi="Noto Sans CJK SC" w:eastAsia="Noto Sans CJK SC"/>
                <w:b w:val="0"/>
                <w:sz w:val="16"/>
              </w:rPr>
              <w:t>Default: 1.60</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Requires the front gap to exceed this multiple of the fast-lane safe distance before FASTER is allowed.</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只有当前方间距超过“快车道安全距离×该倍数”时，才允许 FASTER。</w:t>
            </w:r>
          </w:p>
        </w:tc>
        <w:tc>
          <w:tcPr>
            <w:tcW w:type="dxa" w:w="3168"/>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Higher = more restrictive acceleration in the fast lane.</w:t>
            </w:r>
          </w:p>
          <w:p>
            <w:pPr>
              <w:spacing w:after="0" w:before="0" w:line="240" w:lineRule="auto"/>
            </w:pPr>
            <w:r>
              <w:rPr>
                <w:rFonts w:ascii="Noto Sans CJK SC" w:hAnsi="Noto Sans CJK SC" w:eastAsia="Noto Sans CJK SC"/>
                <w:b w:val="0"/>
                <w:sz w:val="16"/>
              </w:rPr>
              <w:t>越大，快车道加速越受限制。</w:t>
            </w:r>
          </w:p>
        </w:tc>
      </w:tr>
      <w:tr>
        <w:trPr>
          <w:cantSplit/>
        </w:trPr>
        <w:tc>
          <w:tcPr>
            <w:tcW w:type="dxa" w:w="2880"/>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sz w:val="16"/>
              </w:rPr>
              <w:t>Continuous action</w:t>
            </w:r>
          </w:p>
          <w:p>
            <w:pPr>
              <w:spacing w:after="0" w:before="0" w:line="240" w:lineRule="auto"/>
            </w:pPr>
            <w:r>
              <w:rPr>
                <w:rFonts w:ascii="Noto Sans CJK SC" w:hAnsi="Noto Sans CJK SC" w:eastAsia="Noto Sans CJK SC"/>
                <w:b w:val="0"/>
                <w:sz w:val="16"/>
              </w:rPr>
              <w:t>Default: Off</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Switches from five discrete actions to continuous throttle and steering.</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从五个离散动作切换为连续油门与转向控制。</w:t>
            </w:r>
          </w:p>
        </w:tc>
        <w:tc>
          <w:tcPr>
            <w:tcW w:type="dxa" w:w="3168"/>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Requires a separately trained continuous-action model. Keep off for existing discrete models.</w:t>
            </w:r>
          </w:p>
          <w:p>
            <w:pPr>
              <w:spacing w:after="0" w:before="0" w:line="240" w:lineRule="auto"/>
            </w:pPr>
            <w:r>
              <w:rPr>
                <w:rFonts w:ascii="Noto Sans CJK SC" w:hAnsi="Noto Sans CJK SC" w:eastAsia="Noto Sans CJK SC"/>
                <w:b w:val="0"/>
                <w:sz w:val="16"/>
              </w:rPr>
              <w:t>需要单独训练连续动作模型；现有离散模型应关闭。</w:t>
            </w:r>
          </w:p>
        </w:tc>
      </w:tr>
      <w:tr>
        <w:trPr>
          <w:cantSplit/>
        </w:trPr>
        <w:tc>
          <w:tcPr>
            <w:tcW w:type="dxa" w:w="2880"/>
            <w:vAlign w:val="center"/>
            <w:tcMar>
              <w:top w:w="60" w:type="dxa"/>
              <w:start w:w="80" w:type="dxa"/>
              <w:bottom w:w="60" w:type="dxa"/>
              <w:end w:w="80" w:type="dxa"/>
            </w:tcMar>
          </w:tcPr>
          <w:p>
            <w:pPr>
              <w:spacing w:after="0" w:before="0" w:line="240" w:lineRule="auto"/>
            </w:pPr>
            <w:r/>
            <w:r>
              <w:rPr>
                <w:rFonts w:ascii="Noto Sans CJK SC" w:hAnsi="Noto Sans CJK SC" w:eastAsia="Noto Sans CJK SC"/>
                <w:b/>
                <w:sz w:val="16"/>
              </w:rPr>
              <w:t>Debug evaluation and action statistics</w:t>
            </w:r>
          </w:p>
          <w:p>
            <w:pPr>
              <w:spacing w:after="0" w:before="0" w:line="240" w:lineRule="auto"/>
            </w:pPr>
            <w:r>
              <w:rPr>
                <w:rFonts w:ascii="Noto Sans CJK SC" w:hAnsi="Noto Sans CJK SC" w:eastAsia="Noto Sans CJK SC"/>
                <w:b w:val="0"/>
                <w:sz w:val="16"/>
              </w:rPr>
              <w:t>Default: On</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Prints raw actions, executed actions, assists, safety interventions, blocked lane changes, and lane counts.</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输出原始动作、实际动作、辅助、安全介入、被阻止的换道和车道统计。</w:t>
            </w:r>
          </w:p>
        </w:tc>
        <w:tc>
          <w:tcPr>
            <w:tcW w:type="dxa" w:w="3168"/>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Useful during demonstrations; it does not retrain or modify the model.</w:t>
            </w:r>
          </w:p>
          <w:p>
            <w:pPr>
              <w:spacing w:after="0" w:before="0" w:line="240" w:lineRule="auto"/>
            </w:pPr>
            <w:r>
              <w:rPr>
                <w:rFonts w:ascii="Noto Sans CJK SC" w:hAnsi="Noto Sans CJK SC" w:eastAsia="Noto Sans CJK SC"/>
                <w:b w:val="0"/>
                <w:sz w:val="16"/>
              </w:rPr>
              <w:t>适合演示，不会重新训练或修改模型。</w:t>
            </w:r>
          </w:p>
        </w:tc>
      </w:tr>
    </w:tbl>
    <w:p>
      <w:pPr>
        <w:spacing w:before="160" w:after="80"/>
      </w:pPr>
      <w:r>
        <w:rPr>
          <w:rFonts w:ascii="Noto Sans CJK SC" w:hAnsi="Noto Sans CJK SC" w:eastAsia="Noto Sans CJK SC"/>
          <w:b/>
          <w:color w:val="114E79"/>
          <w:sz w:val="28"/>
        </w:rPr>
        <w:t>3. Rear-End Collision Prevention / 防追尾参数</w:t>
      </w:r>
    </w:p>
    <w:tbl>
      <w:tblPr>
        <w:tblStyle w:val="TableGrid"/>
        <w:tblW w:type="auto" w:w="0"/>
        <w:jc w:val="center"/>
        <w:tblLook w:firstColumn="1" w:firstRow="1" w:lastColumn="0" w:lastRow="0" w:noHBand="0" w:noVBand="1" w:val="04A0"/>
      </w:tblPr>
      <w:tblGrid>
        <w:gridCol w:w="3636"/>
        <w:gridCol w:w="3636"/>
        <w:gridCol w:w="3636"/>
        <w:gridCol w:w="3636"/>
      </w:tblGrid>
      <w:tr>
        <w:trPr>
          <w:tblHeader w:val="true"/>
        </w:trPr>
        <w:tc>
          <w:tcPr>
            <w:tcW w:type="dxa" w:w="2880"/>
            <w:shd w:fill="1F4E78"/>
            <w:vAlign w:val="center"/>
            <w:tcMar>
              <w:top w:w="60" w:type="dxa"/>
              <w:start w:w="80" w:type="dxa"/>
              <w:bottom w:w="60" w:type="dxa"/>
              <w:end w:w="80" w:type="dxa"/>
            </w:tcMar>
          </w:tcPr>
          <w:p>
            <w:pPr>
              <w:spacing w:after="0" w:before="0" w:line="240" w:lineRule="auto"/>
            </w:pPr>
            <w:r>
              <w:rPr>
                <w:b/>
                <w:color w:val="FFFFFF"/>
              </w:rPr>
            </w:r>
            <w:r>
              <w:rPr>
                <w:rFonts w:ascii="Noto Sans CJK SC" w:hAnsi="Noto Sans CJK SC" w:eastAsia="Noto Sans CJK SC"/>
                <w:b/>
                <w:color w:val="FFFFFF"/>
                <w:sz w:val="18"/>
              </w:rPr>
              <w:t>Parameter / Default</w:t>
            </w:r>
          </w:p>
        </w:tc>
        <w:tc>
          <w:tcPr>
            <w:tcW w:type="dxa" w:w="4536"/>
            <w:shd w:fill="1F4E78"/>
            <w:vAlign w:val="center"/>
            <w:tcMar>
              <w:top w:w="60" w:type="dxa"/>
              <w:start w:w="80" w:type="dxa"/>
              <w:bottom w:w="60" w:type="dxa"/>
              <w:end w:w="80" w:type="dxa"/>
            </w:tcMar>
          </w:tcPr>
          <w:p>
            <w:pPr>
              <w:spacing w:after="0" w:before="0" w:line="240" w:lineRule="auto"/>
            </w:pPr>
            <w:r>
              <w:rPr>
                <w:b/>
                <w:color w:val="FFFFFF"/>
              </w:rPr>
            </w:r>
            <w:r>
              <w:rPr>
                <w:rFonts w:ascii="Noto Sans CJK SC" w:hAnsi="Noto Sans CJK SC" w:eastAsia="Noto Sans CJK SC"/>
                <w:b/>
                <w:color w:val="FFFFFF"/>
                <w:sz w:val="18"/>
              </w:rPr>
              <w:t>English Explanation</w:t>
            </w:r>
          </w:p>
        </w:tc>
        <w:tc>
          <w:tcPr>
            <w:tcW w:type="dxa" w:w="4536"/>
            <w:shd w:fill="1F4E78"/>
            <w:vAlign w:val="center"/>
            <w:tcMar>
              <w:top w:w="60" w:type="dxa"/>
              <w:start w:w="80" w:type="dxa"/>
              <w:bottom w:w="60" w:type="dxa"/>
              <w:end w:w="80" w:type="dxa"/>
            </w:tcMar>
          </w:tcPr>
          <w:p>
            <w:pPr>
              <w:spacing w:after="0" w:before="0" w:line="240" w:lineRule="auto"/>
            </w:pPr>
            <w:r>
              <w:rPr>
                <w:b/>
                <w:color w:val="FFFFFF"/>
              </w:rPr>
            </w:r>
            <w:r>
              <w:rPr>
                <w:rFonts w:ascii="Noto Sans CJK SC" w:hAnsi="Noto Sans CJK SC" w:eastAsia="Noto Sans CJK SC"/>
                <w:b/>
                <w:color w:val="FFFFFF"/>
                <w:sz w:val="18"/>
              </w:rPr>
              <w:t>中文说明</w:t>
            </w:r>
          </w:p>
        </w:tc>
        <w:tc>
          <w:tcPr>
            <w:tcW w:type="dxa" w:w="3168"/>
            <w:shd w:fill="1F4E78"/>
            <w:vAlign w:val="center"/>
            <w:tcMar>
              <w:top w:w="60" w:type="dxa"/>
              <w:start w:w="80" w:type="dxa"/>
              <w:bottom w:w="60" w:type="dxa"/>
              <w:end w:w="80" w:type="dxa"/>
            </w:tcMar>
          </w:tcPr>
          <w:p>
            <w:pPr>
              <w:spacing w:after="0" w:before="0" w:line="240" w:lineRule="auto"/>
            </w:pPr>
            <w:r>
              <w:rPr>
                <w:b/>
                <w:color w:val="FFFFFF"/>
              </w:rPr>
            </w:r>
            <w:r>
              <w:rPr>
                <w:rFonts w:ascii="Noto Sans CJK SC" w:hAnsi="Noto Sans CJK SC" w:eastAsia="Noto Sans CJK SC"/>
                <w:b/>
                <w:color w:val="FFFFFF"/>
                <w:sz w:val="18"/>
              </w:rPr>
              <w:t>Practical Effect / 使用建议</w:t>
            </w:r>
          </w:p>
        </w:tc>
      </w:tr>
      <w:tr>
        <w:trPr>
          <w:cantSplit/>
        </w:trPr>
        <w:tc>
          <w:tcPr>
            <w:tcW w:type="dxa" w:w="2880"/>
            <w:vAlign w:val="center"/>
            <w:tcMar>
              <w:top w:w="60" w:type="dxa"/>
              <w:start w:w="80" w:type="dxa"/>
              <w:bottom w:w="60" w:type="dxa"/>
              <w:end w:w="80" w:type="dxa"/>
            </w:tcMar>
          </w:tcPr>
          <w:p>
            <w:pPr>
              <w:spacing w:after="0" w:before="0" w:line="240" w:lineRule="auto"/>
            </w:pPr>
            <w:r/>
            <w:r>
              <w:rPr>
                <w:rFonts w:ascii="Noto Sans CJK SC" w:hAnsi="Noto Sans CJK SC" w:eastAsia="Noto Sans CJK SC"/>
                <w:b/>
                <w:sz w:val="16"/>
              </w:rPr>
              <w:t>Enable speed governor</w:t>
            </w:r>
          </w:p>
          <w:p>
            <w:pPr>
              <w:spacing w:after="0" w:before="0" w:line="240" w:lineRule="auto"/>
            </w:pPr>
            <w:r>
              <w:rPr>
                <w:rFonts w:ascii="Noto Sans CJK SC" w:hAnsi="Noto Sans CJK SC" w:eastAsia="Noto Sans CJK SC"/>
                <w:b w:val="0"/>
                <w:sz w:val="16"/>
              </w:rPr>
              <w:t>Default: On</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Allows the system to directly cap ego.target_speed when a front vehicle is too close.</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当前车过近时，允许系统直接限制 ego.target_speed。</w:t>
            </w:r>
          </w:p>
        </w:tc>
        <w:tc>
          <w:tcPr>
            <w:tcW w:type="dxa" w:w="3168"/>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Recommended for safe evaluation videos. It can modify behavior even when the PPO action is IDLE.</w:t>
            </w:r>
          </w:p>
          <w:p>
            <w:pPr>
              <w:spacing w:after="0" w:before="0" w:line="240" w:lineRule="auto"/>
            </w:pPr>
            <w:r>
              <w:rPr>
                <w:rFonts w:ascii="Noto Sans CJK SC" w:hAnsi="Noto Sans CJK SC" w:eastAsia="Noto Sans CJK SC"/>
                <w:b w:val="0"/>
                <w:sz w:val="16"/>
              </w:rPr>
              <w:t>建议演示时开启；即使 PPO 输出 IDLE 也可限制速度。</w:t>
            </w:r>
          </w:p>
        </w:tc>
      </w:tr>
      <w:tr>
        <w:trPr>
          <w:cantSplit/>
        </w:trPr>
        <w:tc>
          <w:tcPr>
            <w:tcW w:type="dxa" w:w="2880"/>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sz w:val="16"/>
              </w:rPr>
              <w:t>Check front vehicle in target lane</w:t>
            </w:r>
          </w:p>
          <w:p>
            <w:pPr>
              <w:spacing w:after="0" w:before="0" w:line="240" w:lineRule="auto"/>
            </w:pPr>
            <w:r>
              <w:rPr>
                <w:rFonts w:ascii="Noto Sans CJK SC" w:hAnsi="Noto Sans CJK SC" w:eastAsia="Noto Sans CJK SC"/>
                <w:b w:val="0"/>
                <w:sz w:val="16"/>
              </w:rPr>
              <w:t>Default: On</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During a lane change, checks front vehicles in both the current lane and the target lane.</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变道时同时检查当前车道和目标车道的前车。</w:t>
            </w:r>
          </w:p>
        </w:tc>
        <w:tc>
          <w:tcPr>
            <w:tcW w:type="dxa" w:w="3168"/>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Keep on to avoid entering an overtaking lane behind a slower vehicle.</w:t>
            </w:r>
          </w:p>
          <w:p>
            <w:pPr>
              <w:spacing w:after="0" w:before="0" w:line="240" w:lineRule="auto"/>
            </w:pPr>
            <w:r>
              <w:rPr>
                <w:rFonts w:ascii="Noto Sans CJK SC" w:hAnsi="Noto Sans CJK SC" w:eastAsia="Noto Sans CJK SC"/>
                <w:b w:val="0"/>
                <w:sz w:val="16"/>
              </w:rPr>
              <w:t>建议一直开启，防止进入目标车道后追尾。</w:t>
            </w:r>
          </w:p>
        </w:tc>
      </w:tr>
      <w:tr>
        <w:trPr>
          <w:cantSplit/>
        </w:trPr>
        <w:tc>
          <w:tcPr>
            <w:tcW w:type="dxa" w:w="2880"/>
            <w:vAlign w:val="center"/>
            <w:tcMar>
              <w:top w:w="60" w:type="dxa"/>
              <w:start w:w="80" w:type="dxa"/>
              <w:bottom w:w="60" w:type="dxa"/>
              <w:end w:w="80" w:type="dxa"/>
            </w:tcMar>
          </w:tcPr>
          <w:p>
            <w:pPr>
              <w:spacing w:after="0" w:before="0" w:line="240" w:lineRule="auto"/>
            </w:pPr>
            <w:r/>
            <w:r>
              <w:rPr>
                <w:rFonts w:ascii="Noto Sans CJK SC" w:hAnsi="Noto Sans CJK SC" w:eastAsia="Noto Sans CJK SC"/>
                <w:b/>
                <w:sz w:val="16"/>
              </w:rPr>
              <w:t>Speed-governor gap multiplier</w:t>
            </w:r>
          </w:p>
          <w:p>
            <w:pPr>
              <w:spacing w:after="0" w:before="0" w:line="240" w:lineRule="auto"/>
            </w:pPr>
            <w:r>
              <w:rPr>
                <w:rFonts w:ascii="Noto Sans CJK SC" w:hAnsi="Noto Sans CJK SC" w:eastAsia="Noto Sans CJK SC"/>
                <w:b w:val="0"/>
                <w:sz w:val="16"/>
              </w:rPr>
              <w:t>Default: 1.90</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Activates target-speed limiting when the front gap is below this multiplier times the safe distance.</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当前方间距低于“安全距离×该倍数”时启动目标速度限制。</w:t>
            </w:r>
          </w:p>
        </w:tc>
        <w:tc>
          <w:tcPr>
            <w:tcW w:type="dxa" w:w="3168"/>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Higher = earlier and more frequent intervention; lower = later intervention.</w:t>
            </w:r>
          </w:p>
          <w:p>
            <w:pPr>
              <w:spacing w:after="0" w:before="0" w:line="240" w:lineRule="auto"/>
            </w:pPr>
            <w:r>
              <w:rPr>
                <w:rFonts w:ascii="Noto Sans CJK SC" w:hAnsi="Noto Sans CJK SC" w:eastAsia="Noto Sans CJK SC"/>
                <w:b w:val="0"/>
                <w:sz w:val="16"/>
              </w:rPr>
              <w:t>越大越早、越频繁介入；越小越晚介入。</w:t>
            </w:r>
          </w:p>
        </w:tc>
      </w:tr>
      <w:tr>
        <w:trPr>
          <w:cantSplit/>
        </w:trPr>
        <w:tc>
          <w:tcPr>
            <w:tcW w:type="dxa" w:w="2880"/>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sz w:val="16"/>
              </w:rPr>
              <w:t>Fast-lane speed margin</w:t>
            </w:r>
          </w:p>
          <w:p>
            <w:pPr>
              <w:spacing w:after="0" w:before="0" w:line="240" w:lineRule="auto"/>
            </w:pPr>
            <w:r>
              <w:rPr>
                <w:rFonts w:ascii="Noto Sans CJK SC" w:hAnsi="Noto Sans CJK SC" w:eastAsia="Noto Sans CJK SC"/>
                <w:b w:val="0"/>
                <w:sz w:val="16"/>
              </w:rPr>
              <w:t>Default: 0.0 m/s</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Allowed target-speed margin above the front vehicle speed in an unsafe fast-lane situation.</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快车道不安全时，目标速度允许比前车快多少。</w:t>
            </w:r>
          </w:p>
        </w:tc>
        <w:tc>
          <w:tcPr>
            <w:tcW w:type="dxa" w:w="3168"/>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0.0 means the target speed cannot exceed the front vehicle speed. Positive values are more aggressive.</w:t>
            </w:r>
          </w:p>
          <w:p>
            <w:pPr>
              <w:spacing w:after="0" w:before="0" w:line="240" w:lineRule="auto"/>
            </w:pPr>
            <w:r>
              <w:rPr>
                <w:rFonts w:ascii="Noto Sans CJK SC" w:hAnsi="Noto Sans CJK SC" w:eastAsia="Noto Sans CJK SC"/>
                <w:b w:val="0"/>
                <w:sz w:val="16"/>
              </w:rPr>
              <w:t>0表示不能快于前车；正值更激进。</w:t>
            </w:r>
          </w:p>
        </w:tc>
      </w:tr>
      <w:tr>
        <w:trPr>
          <w:cantSplit/>
        </w:trPr>
        <w:tc>
          <w:tcPr>
            <w:tcW w:type="dxa" w:w="2880"/>
            <w:vAlign w:val="center"/>
            <w:tcMar>
              <w:top w:w="60" w:type="dxa"/>
              <w:start w:w="80" w:type="dxa"/>
              <w:bottom w:w="60" w:type="dxa"/>
              <w:end w:w="80" w:type="dxa"/>
            </w:tcMar>
          </w:tcPr>
          <w:p>
            <w:pPr>
              <w:spacing w:after="0" w:before="0" w:line="240" w:lineRule="auto"/>
            </w:pPr>
            <w:r/>
            <w:r>
              <w:rPr>
                <w:rFonts w:ascii="Noto Sans CJK SC" w:hAnsi="Noto Sans CJK SC" w:eastAsia="Noto Sans CJK SC"/>
                <w:b/>
                <w:sz w:val="16"/>
              </w:rPr>
              <w:t>Normal-lane speed margin</w:t>
            </w:r>
          </w:p>
          <w:p>
            <w:pPr>
              <w:spacing w:after="0" w:before="0" w:line="240" w:lineRule="auto"/>
            </w:pPr>
            <w:r>
              <w:rPr>
                <w:rFonts w:ascii="Noto Sans CJK SC" w:hAnsi="Noto Sans CJK SC" w:eastAsia="Noto Sans CJK SC"/>
                <w:b w:val="0"/>
                <w:sz w:val="16"/>
              </w:rPr>
              <w:t>Default: 1.2 m/s</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Allowed target-speed margin above the front vehicle speed in normal lanes when the gap is unsafe.</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普通车道间距不安全时，目标速度允许比前车快多少。</w:t>
            </w:r>
          </w:p>
        </w:tc>
        <w:tc>
          <w:tcPr>
            <w:tcW w:type="dxa" w:w="3168"/>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Lower values are safer and more conservative; higher values close the gap faster.</w:t>
            </w:r>
          </w:p>
          <w:p>
            <w:pPr>
              <w:spacing w:after="0" w:before="0" w:line="240" w:lineRule="auto"/>
            </w:pPr>
            <w:r>
              <w:rPr>
                <w:rFonts w:ascii="Noto Sans CJK SC" w:hAnsi="Noto Sans CJK SC" w:eastAsia="Noto Sans CJK SC"/>
                <w:b w:val="0"/>
                <w:sz w:val="16"/>
              </w:rPr>
              <w:t>越小越保守安全；越大越快接近前车。</w:t>
            </w:r>
          </w:p>
        </w:tc>
      </w:tr>
    </w:tbl>
    <w:p>
      <w:pPr>
        <w:spacing w:before="160" w:after="80"/>
      </w:pPr>
      <w:r>
        <w:rPr>
          <w:rFonts w:ascii="Noto Sans CJK SC" w:hAnsi="Noto Sans CJK SC" w:eastAsia="Noto Sans CJK SC"/>
          <w:b/>
          <w:color w:val="114E79"/>
          <w:sz w:val="28"/>
        </w:rPr>
        <w:t>4. Purposeful Lane-Change Filter / 有目的换道参数</w:t>
      </w:r>
    </w:p>
    <w:tbl>
      <w:tblPr>
        <w:tblStyle w:val="TableGrid"/>
        <w:tblW w:type="auto" w:w="0"/>
        <w:jc w:val="center"/>
        <w:tblLook w:firstColumn="1" w:firstRow="1" w:lastColumn="0" w:lastRow="0" w:noHBand="0" w:noVBand="1" w:val="04A0"/>
      </w:tblPr>
      <w:tblGrid>
        <w:gridCol w:w="3636"/>
        <w:gridCol w:w="3636"/>
        <w:gridCol w:w="3636"/>
        <w:gridCol w:w="3636"/>
      </w:tblGrid>
      <w:tr>
        <w:trPr>
          <w:tblHeader w:val="true"/>
        </w:trPr>
        <w:tc>
          <w:tcPr>
            <w:tcW w:type="dxa" w:w="2880"/>
            <w:shd w:fill="1F4E78"/>
            <w:vAlign w:val="center"/>
            <w:tcMar>
              <w:top w:w="60" w:type="dxa"/>
              <w:start w:w="80" w:type="dxa"/>
              <w:bottom w:w="60" w:type="dxa"/>
              <w:end w:w="80" w:type="dxa"/>
            </w:tcMar>
          </w:tcPr>
          <w:p>
            <w:pPr>
              <w:spacing w:after="0" w:before="0" w:line="240" w:lineRule="auto"/>
            </w:pPr>
            <w:r>
              <w:rPr>
                <w:b/>
                <w:color w:val="FFFFFF"/>
              </w:rPr>
            </w:r>
            <w:r>
              <w:rPr>
                <w:rFonts w:ascii="Noto Sans CJK SC" w:hAnsi="Noto Sans CJK SC" w:eastAsia="Noto Sans CJK SC"/>
                <w:b/>
                <w:color w:val="FFFFFF"/>
                <w:sz w:val="18"/>
              </w:rPr>
              <w:t>Parameter / Default</w:t>
            </w:r>
          </w:p>
        </w:tc>
        <w:tc>
          <w:tcPr>
            <w:tcW w:type="dxa" w:w="4536"/>
            <w:shd w:fill="1F4E78"/>
            <w:vAlign w:val="center"/>
            <w:tcMar>
              <w:top w:w="60" w:type="dxa"/>
              <w:start w:w="80" w:type="dxa"/>
              <w:bottom w:w="60" w:type="dxa"/>
              <w:end w:w="80" w:type="dxa"/>
            </w:tcMar>
          </w:tcPr>
          <w:p>
            <w:pPr>
              <w:spacing w:after="0" w:before="0" w:line="240" w:lineRule="auto"/>
            </w:pPr>
            <w:r>
              <w:rPr>
                <w:b/>
                <w:color w:val="FFFFFF"/>
              </w:rPr>
            </w:r>
            <w:r>
              <w:rPr>
                <w:rFonts w:ascii="Noto Sans CJK SC" w:hAnsi="Noto Sans CJK SC" w:eastAsia="Noto Sans CJK SC"/>
                <w:b/>
                <w:color w:val="FFFFFF"/>
                <w:sz w:val="18"/>
              </w:rPr>
              <w:t>English Explanation</w:t>
            </w:r>
          </w:p>
        </w:tc>
        <w:tc>
          <w:tcPr>
            <w:tcW w:type="dxa" w:w="4536"/>
            <w:shd w:fill="1F4E78"/>
            <w:vAlign w:val="center"/>
            <w:tcMar>
              <w:top w:w="60" w:type="dxa"/>
              <w:start w:w="80" w:type="dxa"/>
              <w:bottom w:w="60" w:type="dxa"/>
              <w:end w:w="80" w:type="dxa"/>
            </w:tcMar>
          </w:tcPr>
          <w:p>
            <w:pPr>
              <w:spacing w:after="0" w:before="0" w:line="240" w:lineRule="auto"/>
            </w:pPr>
            <w:r>
              <w:rPr>
                <w:b/>
                <w:color w:val="FFFFFF"/>
              </w:rPr>
            </w:r>
            <w:r>
              <w:rPr>
                <w:rFonts w:ascii="Noto Sans CJK SC" w:hAnsi="Noto Sans CJK SC" w:eastAsia="Noto Sans CJK SC"/>
                <w:b/>
                <w:color w:val="FFFFFF"/>
                <w:sz w:val="18"/>
              </w:rPr>
              <w:t>中文说明</w:t>
            </w:r>
          </w:p>
        </w:tc>
        <w:tc>
          <w:tcPr>
            <w:tcW w:type="dxa" w:w="3168"/>
            <w:shd w:fill="1F4E78"/>
            <w:vAlign w:val="center"/>
            <w:tcMar>
              <w:top w:w="60" w:type="dxa"/>
              <w:start w:w="80" w:type="dxa"/>
              <w:bottom w:w="60" w:type="dxa"/>
              <w:end w:w="80" w:type="dxa"/>
            </w:tcMar>
          </w:tcPr>
          <w:p>
            <w:pPr>
              <w:spacing w:after="0" w:before="0" w:line="240" w:lineRule="auto"/>
            </w:pPr>
            <w:r>
              <w:rPr>
                <w:b/>
                <w:color w:val="FFFFFF"/>
              </w:rPr>
            </w:r>
            <w:r>
              <w:rPr>
                <w:rFonts w:ascii="Noto Sans CJK SC" w:hAnsi="Noto Sans CJK SC" w:eastAsia="Noto Sans CJK SC"/>
                <w:b/>
                <w:color w:val="FFFFFF"/>
                <w:sz w:val="18"/>
              </w:rPr>
              <w:t>Practical Effect / 使用建议</w:t>
            </w:r>
          </w:p>
        </w:tc>
      </w:tr>
      <w:tr>
        <w:trPr>
          <w:cantSplit/>
        </w:trPr>
        <w:tc>
          <w:tcPr>
            <w:tcW w:type="dxa" w:w="2880"/>
            <w:vAlign w:val="center"/>
            <w:tcMar>
              <w:top w:w="60" w:type="dxa"/>
              <w:start w:w="80" w:type="dxa"/>
              <w:bottom w:w="60" w:type="dxa"/>
              <w:end w:w="80" w:type="dxa"/>
            </w:tcMar>
          </w:tcPr>
          <w:p>
            <w:pPr>
              <w:spacing w:after="0" w:before="0" w:line="240" w:lineRule="auto"/>
            </w:pPr>
            <w:r/>
            <w:r>
              <w:rPr>
                <w:rFonts w:ascii="Noto Sans CJK SC" w:hAnsi="Noto Sans CJK SC" w:eastAsia="Noto Sans CJK SC"/>
                <w:b/>
                <w:sz w:val="16"/>
              </w:rPr>
              <w:t>Allow only purposeful lane changes</w:t>
            </w:r>
          </w:p>
          <w:p>
            <w:pPr>
              <w:spacing w:after="0" w:before="0" w:line="240" w:lineRule="auto"/>
            </w:pPr>
            <w:r>
              <w:rPr>
                <w:rFonts w:ascii="Noto Sans CJK SC" w:hAnsi="Noto Sans CJK SC" w:eastAsia="Noto Sans CJK SC"/>
                <w:b w:val="0"/>
                <w:sz w:val="16"/>
              </w:rPr>
              <w:t>Default: On</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Blocks lane changes without a clear overtaking or return-right purpose.</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阻止没有明确超车或返回右侧目的的换道。</w:t>
            </w:r>
          </w:p>
        </w:tc>
        <w:tc>
          <w:tcPr>
            <w:tcW w:type="dxa" w:w="3168"/>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Keep on to reduce unnecessary left-right weaving.</w:t>
            </w:r>
          </w:p>
          <w:p>
            <w:pPr>
              <w:spacing w:after="0" w:before="0" w:line="240" w:lineRule="auto"/>
            </w:pPr>
            <w:r>
              <w:rPr>
                <w:rFonts w:ascii="Noto Sans CJK SC" w:hAnsi="Noto Sans CJK SC" w:eastAsia="Noto Sans CJK SC"/>
                <w:b w:val="0"/>
                <w:sz w:val="16"/>
              </w:rPr>
              <w:t>建议开启，减少无意义左右摇摆。</w:t>
            </w:r>
          </w:p>
        </w:tc>
      </w:tr>
      <w:tr>
        <w:trPr>
          <w:cantSplit/>
        </w:trPr>
        <w:tc>
          <w:tcPr>
            <w:tcW w:type="dxa" w:w="2880"/>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sz w:val="16"/>
              </w:rPr>
              <w:t>Lane-change min benefit</w:t>
            </w:r>
          </w:p>
          <w:p>
            <w:pPr>
              <w:spacing w:after="0" w:before="0" w:line="240" w:lineRule="auto"/>
            </w:pPr>
            <w:r>
              <w:rPr>
                <w:rFonts w:ascii="Noto Sans CJK SC" w:hAnsi="Noto Sans CJK SC" w:eastAsia="Noto Sans CJK SC"/>
                <w:b w:val="0"/>
                <w:sz w:val="16"/>
              </w:rPr>
              <w:t>Default: 22 m</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Minimum extra front space the target-left lane must provide compared with the current lane.</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目标左侧车道相对当前车道至少需要多出的前方空间。</w:t>
            </w:r>
          </w:p>
        </w:tc>
        <w:tc>
          <w:tcPr>
            <w:tcW w:type="dxa" w:w="3168"/>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Higher = fewer lane changes; lower = more frequent overtaking attempts.</w:t>
            </w:r>
          </w:p>
          <w:p>
            <w:pPr>
              <w:spacing w:after="0" w:before="0" w:line="240" w:lineRule="auto"/>
            </w:pPr>
            <w:r>
              <w:rPr>
                <w:rFonts w:ascii="Noto Sans CJK SC" w:hAnsi="Noto Sans CJK SC" w:eastAsia="Noto Sans CJK SC"/>
                <w:b w:val="0"/>
                <w:sz w:val="16"/>
              </w:rPr>
              <w:t>越大换道越少；越小更容易尝试超车。</w:t>
            </w:r>
          </w:p>
        </w:tc>
      </w:tr>
      <w:tr>
        <w:trPr>
          <w:cantSplit/>
        </w:trPr>
        <w:tc>
          <w:tcPr>
            <w:tcW w:type="dxa" w:w="2880"/>
            <w:vAlign w:val="center"/>
            <w:tcMar>
              <w:top w:w="60" w:type="dxa"/>
              <w:start w:w="80" w:type="dxa"/>
              <w:bottom w:w="60" w:type="dxa"/>
              <w:end w:w="80" w:type="dxa"/>
            </w:tcMar>
          </w:tcPr>
          <w:p>
            <w:pPr>
              <w:spacing w:after="0" w:before="0" w:line="240" w:lineRule="auto"/>
            </w:pPr>
            <w:r/>
            <w:r>
              <w:rPr>
                <w:rFonts w:ascii="Noto Sans CJK SC" w:hAnsi="Noto Sans CJK SC" w:eastAsia="Noto Sans CJK SC"/>
                <w:b/>
                <w:sz w:val="16"/>
              </w:rPr>
              <w:t>Return-right clear time</w:t>
            </w:r>
          </w:p>
          <w:p>
            <w:pPr>
              <w:spacing w:after="0" w:before="0" w:line="240" w:lineRule="auto"/>
            </w:pPr>
            <w:r>
              <w:rPr>
                <w:rFonts w:ascii="Noto Sans CJK SC" w:hAnsi="Noto Sans CJK SC" w:eastAsia="Noto Sans CJK SC"/>
                <w:b w:val="0"/>
                <w:sz w:val="16"/>
              </w:rPr>
              <w:t>Default: 10 s</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Prevents returning right when the right lane is expected to become blocked again within this time.</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如果预计在该时间内右侧车道又会被慢车阻挡，则暂不返回右侧。</w:t>
            </w:r>
          </w:p>
        </w:tc>
        <w:tc>
          <w:tcPr>
            <w:tcW w:type="dxa" w:w="3168"/>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Higher = stays left longer; lower = returns right sooner.</w:t>
            </w:r>
          </w:p>
          <w:p>
            <w:pPr>
              <w:spacing w:after="0" w:before="0" w:line="240" w:lineRule="auto"/>
            </w:pPr>
            <w:r>
              <w:rPr>
                <w:rFonts w:ascii="Noto Sans CJK SC" w:hAnsi="Noto Sans CJK SC" w:eastAsia="Noto Sans CJK SC"/>
                <w:b w:val="0"/>
                <w:sz w:val="16"/>
              </w:rPr>
              <w:t>越大在左侧停留更久；越小更快返回右侧。</w:t>
            </w:r>
          </w:p>
        </w:tc>
      </w:tr>
      <w:tr>
        <w:trPr>
          <w:cantSplit/>
        </w:trPr>
        <w:tc>
          <w:tcPr>
            <w:tcW w:type="dxa" w:w="2880"/>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sz w:val="16"/>
              </w:rPr>
              <w:t>Enable overtake assist</w:t>
            </w:r>
          </w:p>
          <w:p>
            <w:pPr>
              <w:spacing w:after="0" w:before="0" w:line="240" w:lineRule="auto"/>
            </w:pPr>
            <w:r>
              <w:rPr>
                <w:rFonts w:ascii="Noto Sans CJK SC" w:hAnsi="Noto Sans CJK SC" w:eastAsia="Noto Sans CJK SC"/>
                <w:b w:val="0"/>
                <w:sz w:val="16"/>
              </w:rPr>
              <w:t>Default: On</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Rule-based assistance can convert passive PPO actions into purposeful overtaking, slowing, or return-right actions.</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规则辅助可将被动 PPO 动作转换为有目的的超车、减速或返回右侧动作。</w:t>
            </w:r>
          </w:p>
        </w:tc>
        <w:tc>
          <w:tcPr>
            <w:tcW w:type="dxa" w:w="3168"/>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Good for reliable demonstrations, but some behavior then comes from rules rather than PPO alone.</w:t>
            </w:r>
          </w:p>
          <w:p>
            <w:pPr>
              <w:spacing w:after="0" w:before="0" w:line="240" w:lineRule="auto"/>
            </w:pPr>
            <w:r>
              <w:rPr>
                <w:rFonts w:ascii="Noto Sans CJK SC" w:hAnsi="Noto Sans CJK SC" w:eastAsia="Noto Sans CJK SC"/>
                <w:b w:val="0"/>
                <w:sz w:val="16"/>
              </w:rPr>
              <w:t>有利于稳定演示，但部分行为来自规则而非纯 PPO。</w:t>
            </w:r>
          </w:p>
        </w:tc>
      </w:tr>
      <w:tr>
        <w:trPr>
          <w:cantSplit/>
        </w:trPr>
        <w:tc>
          <w:tcPr>
            <w:tcW w:type="dxa" w:w="2880"/>
            <w:vAlign w:val="center"/>
            <w:tcMar>
              <w:top w:w="60" w:type="dxa"/>
              <w:start w:w="80" w:type="dxa"/>
              <w:bottom w:w="60" w:type="dxa"/>
              <w:end w:w="80" w:type="dxa"/>
            </w:tcMar>
          </w:tcPr>
          <w:p>
            <w:pPr>
              <w:spacing w:after="0" w:before="0" w:line="240" w:lineRule="auto"/>
            </w:pPr>
            <w:r/>
            <w:r>
              <w:rPr>
                <w:rFonts w:ascii="Noto Sans CJK SC" w:hAnsi="Noto Sans CJK SC" w:eastAsia="Noto Sans CJK SC"/>
                <w:b/>
                <w:sz w:val="16"/>
              </w:rPr>
              <w:t>Enable action noise during training</w:t>
            </w:r>
          </w:p>
          <w:p>
            <w:pPr>
              <w:spacing w:after="0" w:before="0" w:line="240" w:lineRule="auto"/>
            </w:pPr>
            <w:r>
              <w:rPr>
                <w:rFonts w:ascii="Noto Sans CJK SC" w:hAnsi="Noto Sans CJK SC" w:eastAsia="Noto Sans CJK SC"/>
                <w:b w:val="0"/>
                <w:sz w:val="16"/>
              </w:rPr>
              <w:t>Default: On</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Occasionally delays a training action by replacing it with IDLE to improve robustness.</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训练中偶尔把动作延迟为 IDLE，以提高鲁棒性。</w:t>
            </w:r>
          </w:p>
        </w:tc>
        <w:tc>
          <w:tcPr>
            <w:tcW w:type="dxa" w:w="3168"/>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Affects new training only. It does not affect an already trained model.</w:t>
            </w:r>
          </w:p>
          <w:p>
            <w:pPr>
              <w:spacing w:after="0" w:before="0" w:line="240" w:lineRule="auto"/>
            </w:pPr>
            <w:r>
              <w:rPr>
                <w:rFonts w:ascii="Noto Sans CJK SC" w:hAnsi="Noto Sans CJK SC" w:eastAsia="Noto Sans CJK SC"/>
                <w:b w:val="0"/>
                <w:sz w:val="16"/>
              </w:rPr>
              <w:t>只影响新训练，不影响已有模型。</w:t>
            </w:r>
          </w:p>
        </w:tc>
      </w:tr>
      <w:tr>
        <w:trPr>
          <w:cantSplit/>
        </w:trPr>
        <w:tc>
          <w:tcPr>
            <w:tcW w:type="dxa" w:w="2880"/>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sz w:val="16"/>
              </w:rPr>
              <w:t>Enable action noise during evaluation</w:t>
            </w:r>
          </w:p>
          <w:p>
            <w:pPr>
              <w:spacing w:after="0" w:before="0" w:line="240" w:lineRule="auto"/>
            </w:pPr>
            <w:r>
              <w:rPr>
                <w:rFonts w:ascii="Noto Sans CJK SC" w:hAnsi="Noto Sans CJK SC" w:eastAsia="Noto Sans CJK SC"/>
                <w:b w:val="0"/>
                <w:sz w:val="16"/>
              </w:rPr>
              <w:t>Default: Off</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Adds random action delays during evaluation.</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evaluation 中加入随机动作延迟。</w:t>
            </w:r>
          </w:p>
        </w:tc>
        <w:tc>
          <w:tcPr>
            <w:tcW w:type="dxa" w:w="3168"/>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Keep off for stable, repeatable presentation videos.</w:t>
            </w:r>
          </w:p>
          <w:p>
            <w:pPr>
              <w:spacing w:after="0" w:before="0" w:line="240" w:lineRule="auto"/>
            </w:pPr>
            <w:r>
              <w:rPr>
                <w:rFonts w:ascii="Noto Sans CJK SC" w:hAnsi="Noto Sans CJK SC" w:eastAsia="Noto Sans CJK SC"/>
                <w:b w:val="0"/>
                <w:sz w:val="16"/>
              </w:rPr>
              <w:t>演讲视频建议关闭，以保证稳定和可复现。</w:t>
            </w:r>
          </w:p>
        </w:tc>
      </w:tr>
    </w:tbl>
    <w:p>
      <w:pPr>
        <w:spacing w:before="160" w:after="80"/>
      </w:pPr>
      <w:r>
        <w:rPr>
          <w:rFonts w:ascii="Noto Sans CJK SC" w:hAnsi="Noto Sans CJK SC" w:eastAsia="Noto Sans CJK SC"/>
          <w:b/>
          <w:color w:val="114E79"/>
          <w:sz w:val="28"/>
        </w:rPr>
        <w:t>5. PPO Training Parameters / PPO 训练参数</w:t>
      </w:r>
    </w:p>
    <w:tbl>
      <w:tblPr>
        <w:tblStyle w:val="TableGrid"/>
        <w:tblW w:type="auto" w:w="0"/>
        <w:jc w:val="center"/>
        <w:tblLook w:firstColumn="1" w:firstRow="1" w:lastColumn="0" w:lastRow="0" w:noHBand="0" w:noVBand="1" w:val="04A0"/>
      </w:tblPr>
      <w:tblGrid>
        <w:gridCol w:w="3636"/>
        <w:gridCol w:w="3636"/>
        <w:gridCol w:w="3636"/>
        <w:gridCol w:w="3636"/>
      </w:tblGrid>
      <w:tr>
        <w:trPr>
          <w:tblHeader w:val="true"/>
        </w:trPr>
        <w:tc>
          <w:tcPr>
            <w:tcW w:type="dxa" w:w="2880"/>
            <w:shd w:fill="1F4E78"/>
            <w:vAlign w:val="center"/>
            <w:tcMar>
              <w:top w:w="60" w:type="dxa"/>
              <w:start w:w="80" w:type="dxa"/>
              <w:bottom w:w="60" w:type="dxa"/>
              <w:end w:w="80" w:type="dxa"/>
            </w:tcMar>
          </w:tcPr>
          <w:p>
            <w:pPr>
              <w:spacing w:after="0" w:before="0" w:line="240" w:lineRule="auto"/>
            </w:pPr>
            <w:r>
              <w:rPr>
                <w:b/>
                <w:color w:val="FFFFFF"/>
              </w:rPr>
            </w:r>
            <w:r>
              <w:rPr>
                <w:rFonts w:ascii="Noto Sans CJK SC" w:hAnsi="Noto Sans CJK SC" w:eastAsia="Noto Sans CJK SC"/>
                <w:b/>
                <w:color w:val="FFFFFF"/>
                <w:sz w:val="18"/>
              </w:rPr>
              <w:t>Parameter / Default</w:t>
            </w:r>
          </w:p>
        </w:tc>
        <w:tc>
          <w:tcPr>
            <w:tcW w:type="dxa" w:w="4536"/>
            <w:shd w:fill="1F4E78"/>
            <w:vAlign w:val="center"/>
            <w:tcMar>
              <w:top w:w="60" w:type="dxa"/>
              <w:start w:w="80" w:type="dxa"/>
              <w:bottom w:w="60" w:type="dxa"/>
              <w:end w:w="80" w:type="dxa"/>
            </w:tcMar>
          </w:tcPr>
          <w:p>
            <w:pPr>
              <w:spacing w:after="0" w:before="0" w:line="240" w:lineRule="auto"/>
            </w:pPr>
            <w:r>
              <w:rPr>
                <w:b/>
                <w:color w:val="FFFFFF"/>
              </w:rPr>
            </w:r>
            <w:r>
              <w:rPr>
                <w:rFonts w:ascii="Noto Sans CJK SC" w:hAnsi="Noto Sans CJK SC" w:eastAsia="Noto Sans CJK SC"/>
                <w:b/>
                <w:color w:val="FFFFFF"/>
                <w:sz w:val="18"/>
              </w:rPr>
              <w:t>English Explanation</w:t>
            </w:r>
          </w:p>
        </w:tc>
        <w:tc>
          <w:tcPr>
            <w:tcW w:type="dxa" w:w="4536"/>
            <w:shd w:fill="1F4E78"/>
            <w:vAlign w:val="center"/>
            <w:tcMar>
              <w:top w:w="60" w:type="dxa"/>
              <w:start w:w="80" w:type="dxa"/>
              <w:bottom w:w="60" w:type="dxa"/>
              <w:end w:w="80" w:type="dxa"/>
            </w:tcMar>
          </w:tcPr>
          <w:p>
            <w:pPr>
              <w:spacing w:after="0" w:before="0" w:line="240" w:lineRule="auto"/>
            </w:pPr>
            <w:r>
              <w:rPr>
                <w:b/>
                <w:color w:val="FFFFFF"/>
              </w:rPr>
            </w:r>
            <w:r>
              <w:rPr>
                <w:rFonts w:ascii="Noto Sans CJK SC" w:hAnsi="Noto Sans CJK SC" w:eastAsia="Noto Sans CJK SC"/>
                <w:b/>
                <w:color w:val="FFFFFF"/>
                <w:sz w:val="18"/>
              </w:rPr>
              <w:t>中文说明</w:t>
            </w:r>
          </w:p>
        </w:tc>
        <w:tc>
          <w:tcPr>
            <w:tcW w:type="dxa" w:w="3168"/>
            <w:shd w:fill="1F4E78"/>
            <w:vAlign w:val="center"/>
            <w:tcMar>
              <w:top w:w="60" w:type="dxa"/>
              <w:start w:w="80" w:type="dxa"/>
              <w:bottom w:w="60" w:type="dxa"/>
              <w:end w:w="80" w:type="dxa"/>
            </w:tcMar>
          </w:tcPr>
          <w:p>
            <w:pPr>
              <w:spacing w:after="0" w:before="0" w:line="240" w:lineRule="auto"/>
            </w:pPr>
            <w:r>
              <w:rPr>
                <w:b/>
                <w:color w:val="FFFFFF"/>
              </w:rPr>
            </w:r>
            <w:r>
              <w:rPr>
                <w:rFonts w:ascii="Noto Sans CJK SC" w:hAnsi="Noto Sans CJK SC" w:eastAsia="Noto Sans CJK SC"/>
                <w:b/>
                <w:color w:val="FFFFFF"/>
                <w:sz w:val="18"/>
              </w:rPr>
              <w:t>Practical Effect / 使用建议</w:t>
            </w:r>
          </w:p>
        </w:tc>
      </w:tr>
      <w:tr>
        <w:trPr>
          <w:cantSplit/>
        </w:trPr>
        <w:tc>
          <w:tcPr>
            <w:tcW w:type="dxa" w:w="2880"/>
            <w:vAlign w:val="center"/>
            <w:tcMar>
              <w:top w:w="60" w:type="dxa"/>
              <w:start w:w="80" w:type="dxa"/>
              <w:bottom w:w="60" w:type="dxa"/>
              <w:end w:w="80" w:type="dxa"/>
            </w:tcMar>
          </w:tcPr>
          <w:p>
            <w:pPr>
              <w:spacing w:after="0" w:before="0" w:line="240" w:lineRule="auto"/>
            </w:pPr>
            <w:r/>
            <w:r>
              <w:rPr>
                <w:rFonts w:ascii="Noto Sans CJK SC" w:hAnsi="Noto Sans CJK SC" w:eastAsia="Noto Sans CJK SC"/>
                <w:b/>
                <w:sz w:val="16"/>
              </w:rPr>
              <w:t>Total timesteps</w:t>
            </w:r>
          </w:p>
          <w:p>
            <w:pPr>
              <w:spacing w:after="0" w:before="0" w:line="240" w:lineRule="auto"/>
            </w:pPr>
            <w:r>
              <w:rPr>
                <w:rFonts w:ascii="Noto Sans CJK SC" w:hAnsi="Noto Sans CJK SC" w:eastAsia="Noto Sans CJK SC"/>
                <w:b w:val="0"/>
                <w:sz w:val="16"/>
              </w:rPr>
              <w:t>Default: 300,000</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Total number of environment interactions used for a new training run.</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一次新训练中，模型与环境交互的总次数。</w:t>
            </w:r>
          </w:p>
        </w:tc>
        <w:tc>
          <w:tcPr>
            <w:tcW w:type="dxa" w:w="3168"/>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This is not episode duration. Changing it matters only when starting a new training run.</w:t>
            </w:r>
          </w:p>
          <w:p>
            <w:pPr>
              <w:spacing w:after="0" w:before="0" w:line="240" w:lineRule="auto"/>
            </w:pPr>
            <w:r>
              <w:rPr>
                <w:rFonts w:ascii="Noto Sans CJK SC" w:hAnsi="Noto Sans CJK SC" w:eastAsia="Noto Sans CJK SC"/>
                <w:b w:val="0"/>
                <w:sz w:val="16"/>
              </w:rPr>
              <w:t>不是单个 episode 长度；只有重新训练时才生效。</w:t>
            </w:r>
          </w:p>
        </w:tc>
      </w:tr>
      <w:tr>
        <w:trPr>
          <w:cantSplit/>
        </w:trPr>
        <w:tc>
          <w:tcPr>
            <w:tcW w:type="dxa" w:w="2880"/>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sz w:val="16"/>
              </w:rPr>
              <w:t>n-envs</w:t>
            </w:r>
          </w:p>
          <w:p>
            <w:pPr>
              <w:spacing w:after="0" w:before="0" w:line="240" w:lineRule="auto"/>
            </w:pPr>
            <w:r>
              <w:rPr>
                <w:rFonts w:ascii="Noto Sans CJK SC" w:hAnsi="Noto Sans CJK SC" w:eastAsia="Noto Sans CJK SC"/>
                <w:b w:val="0"/>
                <w:sz w:val="16"/>
              </w:rPr>
              <w:t>Default: 1</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Number of training environments collecting data in parallel.</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并行收集训练数据的环境数量。</w:t>
            </w:r>
          </w:p>
        </w:tc>
        <w:tc>
          <w:tcPr>
            <w:tcW w:type="dxa" w:w="3168"/>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More environments increase diversity and resource use. Keep 1 for the current reproducible setup.</w:t>
            </w:r>
          </w:p>
          <w:p>
            <w:pPr>
              <w:spacing w:after="0" w:before="0" w:line="240" w:lineRule="auto"/>
            </w:pPr>
            <w:r>
              <w:rPr>
                <w:rFonts w:ascii="Noto Sans CJK SC" w:hAnsi="Noto Sans CJK SC" w:eastAsia="Noto Sans CJK SC"/>
                <w:b w:val="0"/>
                <w:sz w:val="16"/>
              </w:rPr>
              <w:t>更多环境会增加多样性和资源占用；当前建议保持1。</w:t>
            </w:r>
          </w:p>
        </w:tc>
      </w:tr>
      <w:tr>
        <w:trPr>
          <w:cantSplit/>
        </w:trPr>
        <w:tc>
          <w:tcPr>
            <w:tcW w:type="dxa" w:w="2880"/>
            <w:vAlign w:val="center"/>
            <w:tcMar>
              <w:top w:w="60" w:type="dxa"/>
              <w:start w:w="80" w:type="dxa"/>
              <w:bottom w:w="60" w:type="dxa"/>
              <w:end w:w="80" w:type="dxa"/>
            </w:tcMar>
          </w:tcPr>
          <w:p>
            <w:pPr>
              <w:spacing w:after="0" w:before="0" w:line="240" w:lineRule="auto"/>
            </w:pPr>
            <w:r/>
            <w:r>
              <w:rPr>
                <w:rFonts w:ascii="Noto Sans CJK SC" w:hAnsi="Noto Sans CJK SC" w:eastAsia="Noto Sans CJK SC"/>
                <w:b/>
                <w:sz w:val="16"/>
              </w:rPr>
              <w:t>Learning rate</w:t>
            </w:r>
          </w:p>
          <w:p>
            <w:pPr>
              <w:spacing w:after="0" w:before="0" w:line="240" w:lineRule="auto"/>
            </w:pPr>
            <w:r>
              <w:rPr>
                <w:rFonts w:ascii="Noto Sans CJK SC" w:hAnsi="Noto Sans CJK SC" w:eastAsia="Noto Sans CJK SC"/>
                <w:b w:val="0"/>
                <w:sz w:val="16"/>
              </w:rPr>
              <w:t>Default: 0.0003</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Controls the size of each PPO parameter update.</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控制每次 PPO 参数更新的幅度。</w:t>
            </w:r>
          </w:p>
        </w:tc>
        <w:tc>
          <w:tcPr>
            <w:tcW w:type="dxa" w:w="3168"/>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Higher learns faster but may oscillate; lower is more conservative but needs more timesteps.</w:t>
            </w:r>
          </w:p>
          <w:p>
            <w:pPr>
              <w:spacing w:after="0" w:before="0" w:line="240" w:lineRule="auto"/>
            </w:pPr>
            <w:r>
              <w:rPr>
                <w:rFonts w:ascii="Noto Sans CJK SC" w:hAnsi="Noto Sans CJK SC" w:eastAsia="Noto Sans CJK SC"/>
                <w:b w:val="0"/>
                <w:sz w:val="16"/>
              </w:rPr>
              <w:t>越大学得快但可能震荡；越小更稳定但需要更多步数。</w:t>
            </w:r>
          </w:p>
        </w:tc>
      </w:tr>
      <w:tr>
        <w:trPr>
          <w:cantSplit/>
        </w:trPr>
        <w:tc>
          <w:tcPr>
            <w:tcW w:type="dxa" w:w="2880"/>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sz w:val="16"/>
              </w:rPr>
              <w:t>PPO n-steps</w:t>
            </w:r>
          </w:p>
          <w:p>
            <w:pPr>
              <w:spacing w:after="0" w:before="0" w:line="240" w:lineRule="auto"/>
            </w:pPr>
            <w:r>
              <w:rPr>
                <w:rFonts w:ascii="Noto Sans CJK SC" w:hAnsi="Noto Sans CJK SC" w:eastAsia="Noto Sans CJK SC"/>
                <w:b w:val="0"/>
                <w:sz w:val="16"/>
              </w:rPr>
              <w:t>Default: 2048</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Number of steps collected per environment before one PPO update.</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每次 PPO 更新前，每个环境收集的步数。</w:t>
            </w:r>
          </w:p>
        </w:tc>
        <w:tc>
          <w:tcPr>
            <w:tcW w:type="dxa" w:w="3168"/>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Rollout buffer size = n-steps × n-envs. Larger buffers can reduce update noise.</w:t>
            </w:r>
          </w:p>
          <w:p>
            <w:pPr>
              <w:spacing w:after="0" w:before="0" w:line="240" w:lineRule="auto"/>
            </w:pPr>
            <w:r>
              <w:rPr>
                <w:rFonts w:ascii="Noto Sans CJK SC" w:hAnsi="Noto Sans CJK SC" w:eastAsia="Noto Sans CJK SC"/>
                <w:b w:val="0"/>
                <w:sz w:val="16"/>
              </w:rPr>
              <w:t>缓冲区大小=n-steps×n-envs；更大可能更稳定。</w:t>
            </w:r>
          </w:p>
        </w:tc>
      </w:tr>
      <w:tr>
        <w:trPr>
          <w:cantSplit/>
        </w:trPr>
        <w:tc>
          <w:tcPr>
            <w:tcW w:type="dxa" w:w="2880"/>
            <w:vAlign w:val="center"/>
            <w:tcMar>
              <w:top w:w="60" w:type="dxa"/>
              <w:start w:w="80" w:type="dxa"/>
              <w:bottom w:w="60" w:type="dxa"/>
              <w:end w:w="80" w:type="dxa"/>
            </w:tcMar>
          </w:tcPr>
          <w:p>
            <w:pPr>
              <w:spacing w:after="0" w:before="0" w:line="240" w:lineRule="auto"/>
            </w:pPr>
            <w:r/>
            <w:r>
              <w:rPr>
                <w:rFonts w:ascii="Noto Sans CJK SC" w:hAnsi="Noto Sans CJK SC" w:eastAsia="Noto Sans CJK SC"/>
                <w:b/>
                <w:sz w:val="16"/>
              </w:rPr>
              <w:t>Batch size</w:t>
            </w:r>
          </w:p>
          <w:p>
            <w:pPr>
              <w:spacing w:after="0" w:before="0" w:line="240" w:lineRule="auto"/>
            </w:pPr>
            <w:r>
              <w:rPr>
                <w:rFonts w:ascii="Noto Sans CJK SC" w:hAnsi="Noto Sans CJK SC" w:eastAsia="Noto Sans CJK SC"/>
                <w:b w:val="0"/>
                <w:sz w:val="16"/>
              </w:rPr>
              <w:t>Default: 64</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Number of rollout samples used in each minibatch update.</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每个小批次梯度更新使用的样本数。</w:t>
            </w:r>
          </w:p>
        </w:tc>
        <w:tc>
          <w:tcPr>
            <w:tcW w:type="dxa" w:w="3168"/>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Should divide n-steps × n-envs. Larger batches are smoother but use more memory.</w:t>
            </w:r>
          </w:p>
          <w:p>
            <w:pPr>
              <w:spacing w:after="0" w:before="0" w:line="240" w:lineRule="auto"/>
            </w:pPr>
            <w:r>
              <w:rPr>
                <w:rFonts w:ascii="Noto Sans CJK SC" w:hAnsi="Noto Sans CJK SC" w:eastAsia="Noto Sans CJK SC"/>
                <w:b w:val="0"/>
                <w:sz w:val="16"/>
              </w:rPr>
              <w:t>最好能整除总缓冲区；越大越平滑但更耗内存。</w:t>
            </w:r>
          </w:p>
        </w:tc>
      </w:tr>
      <w:tr>
        <w:trPr>
          <w:cantSplit/>
        </w:trPr>
        <w:tc>
          <w:tcPr>
            <w:tcW w:type="dxa" w:w="2880"/>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sz w:val="16"/>
              </w:rPr>
              <w:t>n-epochs</w:t>
            </w:r>
          </w:p>
          <w:p>
            <w:pPr>
              <w:spacing w:after="0" w:before="0" w:line="240" w:lineRule="auto"/>
            </w:pPr>
            <w:r>
              <w:rPr>
                <w:rFonts w:ascii="Noto Sans CJK SC" w:hAnsi="Noto Sans CJK SC" w:eastAsia="Noto Sans CJK SC"/>
                <w:b w:val="0"/>
                <w:sz w:val="16"/>
              </w:rPr>
              <w:t>Default: 10</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Number of passes over the same rollout data during each PPO update.</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每次 PPO 更新中，同一批 rollout 数据重复训练的轮数。</w:t>
            </w:r>
          </w:p>
        </w:tc>
        <w:tc>
          <w:tcPr>
            <w:tcW w:type="dxa" w:w="3168"/>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Higher reuses data more but can overfit or change the policy too much.</w:t>
            </w:r>
          </w:p>
          <w:p>
            <w:pPr>
              <w:spacing w:after="0" w:before="0" w:line="240" w:lineRule="auto"/>
            </w:pPr>
            <w:r>
              <w:rPr>
                <w:rFonts w:ascii="Noto Sans CJK SC" w:hAnsi="Noto Sans CJK SC" w:eastAsia="Noto Sans CJK SC"/>
                <w:b w:val="0"/>
                <w:sz w:val="16"/>
              </w:rPr>
              <w:t>越大利用数据更多，但可能过拟合或更新过度。</w:t>
            </w:r>
          </w:p>
        </w:tc>
      </w:tr>
      <w:tr>
        <w:trPr>
          <w:cantSplit/>
        </w:trPr>
        <w:tc>
          <w:tcPr>
            <w:tcW w:type="dxa" w:w="2880"/>
            <w:vAlign w:val="center"/>
            <w:tcMar>
              <w:top w:w="60" w:type="dxa"/>
              <w:start w:w="80" w:type="dxa"/>
              <w:bottom w:w="60" w:type="dxa"/>
              <w:end w:w="80" w:type="dxa"/>
            </w:tcMar>
          </w:tcPr>
          <w:p>
            <w:pPr>
              <w:spacing w:after="0" w:before="0" w:line="240" w:lineRule="auto"/>
            </w:pPr>
            <w:r/>
            <w:r>
              <w:rPr>
                <w:rFonts w:ascii="Noto Sans CJK SC" w:hAnsi="Noto Sans CJK SC" w:eastAsia="Noto Sans CJK SC"/>
                <w:b/>
                <w:sz w:val="16"/>
              </w:rPr>
              <w:t>Entropy coef</w:t>
            </w:r>
          </w:p>
          <w:p>
            <w:pPr>
              <w:spacing w:after="0" w:before="0" w:line="240" w:lineRule="auto"/>
            </w:pPr>
            <w:r>
              <w:rPr>
                <w:rFonts w:ascii="Noto Sans CJK SC" w:hAnsi="Noto Sans CJK SC" w:eastAsia="Noto Sans CJK SC"/>
                <w:b w:val="0"/>
                <w:sz w:val="16"/>
              </w:rPr>
              <w:t>UI default: 0.0</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Controls exploration. In this backend, UI value 0.0 is internally converted to 0.003 for discrete actions or 0.01 for continuous actions.</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控制探索程度。本后端中，界面输入0时，离散动作内部使用0.003，连续动作使用0.01。</w:t>
            </w:r>
          </w:p>
        </w:tc>
        <w:tc>
          <w:tcPr>
            <w:tcW w:type="dxa" w:w="3168"/>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Higher values make actions more random. Existing models are unaffected unless retrained.</w:t>
            </w:r>
          </w:p>
          <w:p>
            <w:pPr>
              <w:spacing w:after="0" w:before="0" w:line="240" w:lineRule="auto"/>
            </w:pPr>
            <w:r>
              <w:rPr>
                <w:rFonts w:ascii="Noto Sans CJK SC" w:hAnsi="Noto Sans CJK SC" w:eastAsia="Noto Sans CJK SC"/>
                <w:b w:val="0"/>
                <w:sz w:val="16"/>
              </w:rPr>
              <w:t>越大动作越随机；只有重新训练才影响模型。</w:t>
            </w:r>
          </w:p>
        </w:tc>
      </w:tr>
      <w:tr>
        <w:trPr>
          <w:cantSplit/>
        </w:trPr>
        <w:tc>
          <w:tcPr>
            <w:tcW w:type="dxa" w:w="2880"/>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sz w:val="16"/>
              </w:rPr>
              <w:t>Device</w:t>
            </w:r>
          </w:p>
          <w:p>
            <w:pPr>
              <w:spacing w:after="0" w:before="0" w:line="240" w:lineRule="auto"/>
            </w:pPr>
            <w:r>
              <w:rPr>
                <w:rFonts w:ascii="Noto Sans CJK SC" w:hAnsi="Noto Sans CJK SC" w:eastAsia="Noto Sans CJK SC"/>
                <w:b w:val="0"/>
                <w:sz w:val="16"/>
              </w:rPr>
              <w:t>Default: auto</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Selects automatic device choice, CPU, or CUDA GPU.</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选择自动设备、CPU 或 CUDA GPU。</w:t>
            </w:r>
          </w:p>
        </w:tc>
        <w:tc>
          <w:tcPr>
            <w:tcW w:type="dxa" w:w="3168"/>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Affects computation only, not learned behavior.</w:t>
            </w:r>
          </w:p>
          <w:p>
            <w:pPr>
              <w:spacing w:after="0" w:before="0" w:line="240" w:lineRule="auto"/>
            </w:pPr>
            <w:r>
              <w:rPr>
                <w:rFonts w:ascii="Noto Sans CJK SC" w:hAnsi="Noto Sans CJK SC" w:eastAsia="Noto Sans CJK SC"/>
                <w:b w:val="0"/>
                <w:sz w:val="16"/>
              </w:rPr>
              <w:t>只影响计算设备，不改变模型逻辑。</w:t>
            </w:r>
          </w:p>
        </w:tc>
      </w:tr>
      <w:tr>
        <w:trPr>
          <w:cantSplit/>
        </w:trPr>
        <w:tc>
          <w:tcPr>
            <w:tcW w:type="dxa" w:w="2880"/>
            <w:vAlign w:val="center"/>
            <w:tcMar>
              <w:top w:w="60" w:type="dxa"/>
              <w:start w:w="80" w:type="dxa"/>
              <w:bottom w:w="60" w:type="dxa"/>
              <w:end w:w="80" w:type="dxa"/>
            </w:tcMar>
          </w:tcPr>
          <w:p>
            <w:pPr>
              <w:spacing w:after="0" w:before="0" w:line="240" w:lineRule="auto"/>
            </w:pPr>
            <w:r/>
            <w:r>
              <w:rPr>
                <w:rFonts w:ascii="Noto Sans CJK SC" w:hAnsi="Noto Sans CJK SC" w:eastAsia="Noto Sans CJK SC"/>
                <w:b/>
                <w:sz w:val="16"/>
              </w:rPr>
              <w:t>Eval freq</w:t>
            </w:r>
          </w:p>
          <w:p>
            <w:pPr>
              <w:spacing w:after="0" w:before="0" w:line="240" w:lineRule="auto"/>
            </w:pPr>
            <w:r>
              <w:rPr>
                <w:rFonts w:ascii="Noto Sans CJK SC" w:hAnsi="Noto Sans CJK SC" w:eastAsia="Noto Sans CJK SC"/>
                <w:b w:val="0"/>
                <w:sz w:val="16"/>
              </w:rPr>
              <w:t>Default: 10,000</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Runs periodic evaluation after this many callback steps during training.</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训练过程中每隔多少 callback steps 运行一次定期 evaluation。</w:t>
            </w:r>
          </w:p>
        </w:tc>
        <w:tc>
          <w:tcPr>
            <w:tcW w:type="dxa" w:w="3168"/>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Smaller values create more evaluation points but increase training time.</w:t>
            </w:r>
          </w:p>
          <w:p>
            <w:pPr>
              <w:spacing w:after="0" w:before="0" w:line="240" w:lineRule="auto"/>
            </w:pPr>
            <w:r>
              <w:rPr>
                <w:rFonts w:ascii="Noto Sans CJK SC" w:hAnsi="Noto Sans CJK SC" w:eastAsia="Noto Sans CJK SC"/>
                <w:b w:val="0"/>
                <w:sz w:val="16"/>
              </w:rPr>
              <w:t>越小评估点越多，但训练耗时更长。</w:t>
            </w:r>
          </w:p>
        </w:tc>
      </w:tr>
      <w:tr>
        <w:trPr>
          <w:cantSplit/>
        </w:trPr>
        <w:tc>
          <w:tcPr>
            <w:tcW w:type="dxa" w:w="2880"/>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sz w:val="16"/>
              </w:rPr>
              <w:t>EvalCallback episodes</w:t>
            </w:r>
          </w:p>
          <w:p>
            <w:pPr>
              <w:spacing w:after="0" w:before="0" w:line="240" w:lineRule="auto"/>
            </w:pPr>
            <w:r>
              <w:rPr>
                <w:rFonts w:ascii="Noto Sans CJK SC" w:hAnsi="Noto Sans CJK SC" w:eastAsia="Noto Sans CJK SC"/>
                <w:b w:val="0"/>
                <w:sz w:val="16"/>
              </w:rPr>
              <w:t>Default: 5</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Number of episodes averaged at each periodic evaluation checkpoint.</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每次定期 evaluation 用多少个 episodes 求平均。</w:t>
            </w:r>
          </w:p>
        </w:tc>
        <w:tc>
          <w:tcPr>
            <w:tcW w:type="dxa" w:w="3168"/>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More episodes produce more reliable curves but take longer.</w:t>
            </w:r>
          </w:p>
          <w:p>
            <w:pPr>
              <w:spacing w:after="0" w:before="0" w:line="240" w:lineRule="auto"/>
            </w:pPr>
            <w:r>
              <w:rPr>
                <w:rFonts w:ascii="Noto Sans CJK SC" w:hAnsi="Noto Sans CJK SC" w:eastAsia="Noto Sans CJK SC"/>
                <w:b w:val="0"/>
                <w:sz w:val="16"/>
              </w:rPr>
              <w:t>越多曲线越可靠，但更耗时间。</w:t>
            </w:r>
          </w:p>
        </w:tc>
      </w:tr>
      <w:tr>
        <w:trPr>
          <w:cantSplit/>
        </w:trPr>
        <w:tc>
          <w:tcPr>
            <w:tcW w:type="dxa" w:w="2880"/>
            <w:vAlign w:val="center"/>
            <w:tcMar>
              <w:top w:w="60" w:type="dxa"/>
              <w:start w:w="80" w:type="dxa"/>
              <w:bottom w:w="60" w:type="dxa"/>
              <w:end w:w="80" w:type="dxa"/>
            </w:tcMar>
          </w:tcPr>
          <w:p>
            <w:pPr>
              <w:spacing w:after="0" w:before="0" w:line="240" w:lineRule="auto"/>
            </w:pPr>
            <w:r/>
            <w:r>
              <w:rPr>
                <w:rFonts w:ascii="Noto Sans CJK SC" w:hAnsi="Noto Sans CJK SC" w:eastAsia="Noto Sans CJK SC"/>
                <w:b/>
                <w:sz w:val="16"/>
              </w:rPr>
              <w:t>Checkpoint freq</w:t>
            </w:r>
          </w:p>
          <w:p>
            <w:pPr>
              <w:spacing w:after="0" w:before="0" w:line="240" w:lineRule="auto"/>
            </w:pPr>
            <w:r>
              <w:rPr>
                <w:rFonts w:ascii="Noto Sans CJK SC" w:hAnsi="Noto Sans CJK SC" w:eastAsia="Noto Sans CJK SC"/>
                <w:b w:val="0"/>
                <w:sz w:val="16"/>
              </w:rPr>
              <w:t>Default: 25,000</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Saves a model checkpoint at this interval during training.</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训练过程中按该间隔保存 checkpoint。</w:t>
            </w:r>
          </w:p>
        </w:tc>
        <w:tc>
          <w:tcPr>
            <w:tcW w:type="dxa" w:w="3168"/>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Does not affect policy learning; it only controls saved recovery points.</w:t>
            </w:r>
          </w:p>
          <w:p>
            <w:pPr>
              <w:spacing w:after="0" w:before="0" w:line="240" w:lineRule="auto"/>
            </w:pPr>
            <w:r>
              <w:rPr>
                <w:rFonts w:ascii="Noto Sans CJK SC" w:hAnsi="Noto Sans CJK SC" w:eastAsia="Noto Sans CJK SC"/>
                <w:b w:val="0"/>
                <w:sz w:val="16"/>
              </w:rPr>
              <w:t>不影响学习，只控制保存频率。</w:t>
            </w:r>
          </w:p>
        </w:tc>
      </w:tr>
    </w:tbl>
    <w:p>
      <w:pPr>
        <w:spacing w:before="160" w:after="80"/>
      </w:pPr>
      <w:r>
        <w:rPr>
          <w:rFonts w:ascii="Noto Sans CJK SC" w:hAnsi="Noto Sans CJK SC" w:eastAsia="Noto Sans CJK SC"/>
          <w:b/>
          <w:color w:val="114E79"/>
          <w:sz w:val="28"/>
        </w:rPr>
        <w:t>6. Evaluation and Video Controls / Evaluation 与视频参数</w:t>
      </w:r>
    </w:p>
    <w:tbl>
      <w:tblPr>
        <w:tblStyle w:val="TableGrid"/>
        <w:tblW w:type="auto" w:w="0"/>
        <w:jc w:val="center"/>
        <w:tblLook w:firstColumn="1" w:firstRow="1" w:lastColumn="0" w:lastRow="0" w:noHBand="0" w:noVBand="1" w:val="04A0"/>
      </w:tblPr>
      <w:tblGrid>
        <w:gridCol w:w="3636"/>
        <w:gridCol w:w="3636"/>
        <w:gridCol w:w="3636"/>
        <w:gridCol w:w="3636"/>
      </w:tblGrid>
      <w:tr>
        <w:trPr>
          <w:tblHeader w:val="true"/>
        </w:trPr>
        <w:tc>
          <w:tcPr>
            <w:tcW w:type="dxa" w:w="2880"/>
            <w:shd w:fill="1F4E78"/>
            <w:vAlign w:val="center"/>
            <w:tcMar>
              <w:top w:w="60" w:type="dxa"/>
              <w:start w:w="80" w:type="dxa"/>
              <w:bottom w:w="60" w:type="dxa"/>
              <w:end w:w="80" w:type="dxa"/>
            </w:tcMar>
          </w:tcPr>
          <w:p>
            <w:pPr>
              <w:spacing w:after="0" w:before="0" w:line="240" w:lineRule="auto"/>
            </w:pPr>
            <w:r>
              <w:rPr>
                <w:b/>
                <w:color w:val="FFFFFF"/>
              </w:rPr>
            </w:r>
            <w:r>
              <w:rPr>
                <w:rFonts w:ascii="Noto Sans CJK SC" w:hAnsi="Noto Sans CJK SC" w:eastAsia="Noto Sans CJK SC"/>
                <w:b/>
                <w:color w:val="FFFFFF"/>
                <w:sz w:val="18"/>
              </w:rPr>
              <w:t>Parameter / Default</w:t>
            </w:r>
          </w:p>
        </w:tc>
        <w:tc>
          <w:tcPr>
            <w:tcW w:type="dxa" w:w="4536"/>
            <w:shd w:fill="1F4E78"/>
            <w:vAlign w:val="center"/>
            <w:tcMar>
              <w:top w:w="60" w:type="dxa"/>
              <w:start w:w="80" w:type="dxa"/>
              <w:bottom w:w="60" w:type="dxa"/>
              <w:end w:w="80" w:type="dxa"/>
            </w:tcMar>
          </w:tcPr>
          <w:p>
            <w:pPr>
              <w:spacing w:after="0" w:before="0" w:line="240" w:lineRule="auto"/>
            </w:pPr>
            <w:r>
              <w:rPr>
                <w:b/>
                <w:color w:val="FFFFFF"/>
              </w:rPr>
            </w:r>
            <w:r>
              <w:rPr>
                <w:rFonts w:ascii="Noto Sans CJK SC" w:hAnsi="Noto Sans CJK SC" w:eastAsia="Noto Sans CJK SC"/>
                <w:b/>
                <w:color w:val="FFFFFF"/>
                <w:sz w:val="18"/>
              </w:rPr>
              <w:t>English Explanation</w:t>
            </w:r>
          </w:p>
        </w:tc>
        <w:tc>
          <w:tcPr>
            <w:tcW w:type="dxa" w:w="4536"/>
            <w:shd w:fill="1F4E78"/>
            <w:vAlign w:val="center"/>
            <w:tcMar>
              <w:top w:w="60" w:type="dxa"/>
              <w:start w:w="80" w:type="dxa"/>
              <w:bottom w:w="60" w:type="dxa"/>
              <w:end w:w="80" w:type="dxa"/>
            </w:tcMar>
          </w:tcPr>
          <w:p>
            <w:pPr>
              <w:spacing w:after="0" w:before="0" w:line="240" w:lineRule="auto"/>
            </w:pPr>
            <w:r>
              <w:rPr>
                <w:b/>
                <w:color w:val="FFFFFF"/>
              </w:rPr>
            </w:r>
            <w:r>
              <w:rPr>
                <w:rFonts w:ascii="Noto Sans CJK SC" w:hAnsi="Noto Sans CJK SC" w:eastAsia="Noto Sans CJK SC"/>
                <w:b/>
                <w:color w:val="FFFFFF"/>
                <w:sz w:val="18"/>
              </w:rPr>
              <w:t>中文说明</w:t>
            </w:r>
          </w:p>
        </w:tc>
        <w:tc>
          <w:tcPr>
            <w:tcW w:type="dxa" w:w="3168"/>
            <w:shd w:fill="1F4E78"/>
            <w:vAlign w:val="center"/>
            <w:tcMar>
              <w:top w:w="60" w:type="dxa"/>
              <w:start w:w="80" w:type="dxa"/>
              <w:bottom w:w="60" w:type="dxa"/>
              <w:end w:w="80" w:type="dxa"/>
            </w:tcMar>
          </w:tcPr>
          <w:p>
            <w:pPr>
              <w:spacing w:after="0" w:before="0" w:line="240" w:lineRule="auto"/>
            </w:pPr>
            <w:r>
              <w:rPr>
                <w:b/>
                <w:color w:val="FFFFFF"/>
              </w:rPr>
            </w:r>
            <w:r>
              <w:rPr>
                <w:rFonts w:ascii="Noto Sans CJK SC" w:hAnsi="Noto Sans CJK SC" w:eastAsia="Noto Sans CJK SC"/>
                <w:b/>
                <w:color w:val="FFFFFF"/>
                <w:sz w:val="18"/>
              </w:rPr>
              <w:t>Practical Effect / 使用建议</w:t>
            </w:r>
          </w:p>
        </w:tc>
      </w:tr>
      <w:tr>
        <w:trPr>
          <w:cantSplit/>
        </w:trPr>
        <w:tc>
          <w:tcPr>
            <w:tcW w:type="dxa" w:w="2880"/>
            <w:vAlign w:val="center"/>
            <w:tcMar>
              <w:top w:w="60" w:type="dxa"/>
              <w:start w:w="80" w:type="dxa"/>
              <w:bottom w:w="60" w:type="dxa"/>
              <w:end w:w="80" w:type="dxa"/>
            </w:tcMar>
          </w:tcPr>
          <w:p>
            <w:pPr>
              <w:spacing w:after="0" w:before="0" w:line="240" w:lineRule="auto"/>
            </w:pPr>
            <w:r/>
            <w:r>
              <w:rPr>
                <w:rFonts w:ascii="Noto Sans CJK SC" w:hAnsi="Noto Sans CJK SC" w:eastAsia="Noto Sans CJK SC"/>
                <w:b/>
                <w:sz w:val="16"/>
              </w:rPr>
              <w:t>Number of evaluation videos</w:t>
            </w:r>
          </w:p>
          <w:p>
            <w:pPr>
              <w:spacing w:after="0" w:before="0" w:line="240" w:lineRule="auto"/>
            </w:pPr>
            <w:r>
              <w:rPr>
                <w:rFonts w:ascii="Noto Sans CJK SC" w:hAnsi="Noto Sans CJK SC" w:eastAsia="Noto Sans CJK SC"/>
                <w:b w:val="0"/>
                <w:sz w:val="16"/>
              </w:rPr>
              <w:t>Default: 3</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Number of evaluation episodes to run after training or in Evaluation Only. With recording enabled, each episode creates one MP4.</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训练结束后或“Evaluation Only”中运行的 evaluation episodes 数量；开启录制时，每个 episode 生成一个 MP4。</w:t>
            </w:r>
          </w:p>
        </w:tc>
        <w:tc>
          <w:tcPr>
            <w:tcW w:type="dxa" w:w="3168"/>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For a live presentation, 3–5 videos are usually enough.</w:t>
            </w:r>
          </w:p>
          <w:p>
            <w:pPr>
              <w:spacing w:after="0" w:before="0" w:line="240" w:lineRule="auto"/>
            </w:pPr>
            <w:r>
              <w:rPr>
                <w:rFonts w:ascii="Noto Sans CJK SC" w:hAnsi="Noto Sans CJK SC" w:eastAsia="Noto Sans CJK SC"/>
                <w:b w:val="0"/>
                <w:sz w:val="16"/>
              </w:rPr>
              <w:t>演讲通常录制3–5个即可。</w:t>
            </w:r>
          </w:p>
        </w:tc>
      </w:tr>
      <w:tr>
        <w:trPr>
          <w:cantSplit/>
        </w:trPr>
        <w:tc>
          <w:tcPr>
            <w:tcW w:type="dxa" w:w="2880"/>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sz w:val="16"/>
              </w:rPr>
              <w:t>Record and save videos</w:t>
            </w:r>
          </w:p>
          <w:p>
            <w:pPr>
              <w:spacing w:after="0" w:before="0" w:line="240" w:lineRule="auto"/>
            </w:pPr>
            <w:r>
              <w:rPr>
                <w:rFonts w:ascii="Noto Sans CJK SC" w:hAnsi="Noto Sans CJK SC" w:eastAsia="Noto Sans CJK SC"/>
                <w:b w:val="0"/>
                <w:sz w:val="16"/>
              </w:rPr>
              <w:t>Default: On</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Creates a new video folder and records MP4 files.</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创建新视频文件夹并录制 MP4。</w:t>
            </w:r>
          </w:p>
        </w:tc>
        <w:tc>
          <w:tcPr>
            <w:tcW w:type="dxa" w:w="3168"/>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Turning it off still allows evaluation, but no MP4 is saved.</w:t>
            </w:r>
          </w:p>
          <w:p>
            <w:pPr>
              <w:spacing w:after="0" w:before="0" w:line="240" w:lineRule="auto"/>
            </w:pPr>
            <w:r>
              <w:rPr>
                <w:rFonts w:ascii="Noto Sans CJK SC" w:hAnsi="Noto Sans CJK SC" w:eastAsia="Noto Sans CJK SC"/>
                <w:b w:val="0"/>
                <w:sz w:val="16"/>
              </w:rPr>
              <w:t>关闭后仍可 evaluation，但不会保存 MP4。</w:t>
            </w:r>
          </w:p>
        </w:tc>
      </w:tr>
      <w:tr>
        <w:trPr>
          <w:cantSplit/>
        </w:trPr>
        <w:tc>
          <w:tcPr>
            <w:tcW w:type="dxa" w:w="2880"/>
            <w:vAlign w:val="center"/>
            <w:tcMar>
              <w:top w:w="60" w:type="dxa"/>
              <w:start w:w="80" w:type="dxa"/>
              <w:bottom w:w="60" w:type="dxa"/>
              <w:end w:w="80" w:type="dxa"/>
            </w:tcMar>
          </w:tcPr>
          <w:p>
            <w:pPr>
              <w:spacing w:after="0" w:before="0" w:line="240" w:lineRule="auto"/>
            </w:pPr>
            <w:r/>
            <w:r>
              <w:rPr>
                <w:rFonts w:ascii="Noto Sans CJK SC" w:hAnsi="Noto Sans CJK SC" w:eastAsia="Noto Sans CJK SC"/>
                <w:b/>
                <w:sz w:val="16"/>
              </w:rPr>
              <w:t>Render mode</w:t>
            </w:r>
          </w:p>
          <w:p>
            <w:pPr>
              <w:spacing w:after="0" w:before="0" w:line="240" w:lineRule="auto"/>
            </w:pPr>
            <w:r>
              <w:rPr>
                <w:rFonts w:ascii="Noto Sans CJK SC" w:hAnsi="Noto Sans CJK SC" w:eastAsia="Noto Sans CJK SC"/>
                <w:b w:val="0"/>
                <w:sz w:val="16"/>
              </w:rPr>
              <w:t>Default: rgb_array</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rgb_array renders frames for recording; human attempts an interactive display window.</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rgb_array 用于生成视频帧；human 尝试打开实时窗口。</w:t>
            </w:r>
          </w:p>
        </w:tc>
        <w:tc>
          <w:tcPr>
            <w:tcW w:type="dxa" w:w="3168"/>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Use rgb_array in Streamlit and for video recording.</w:t>
            </w:r>
          </w:p>
          <w:p>
            <w:pPr>
              <w:spacing w:after="0" w:before="0" w:line="240" w:lineRule="auto"/>
            </w:pPr>
            <w:r>
              <w:rPr>
                <w:rFonts w:ascii="Noto Sans CJK SC" w:hAnsi="Noto Sans CJK SC" w:eastAsia="Noto Sans CJK SC"/>
                <w:b w:val="0"/>
                <w:sz w:val="16"/>
              </w:rPr>
              <w:t>Streamlit 和视频录制建议使用 rgb_array。</w:t>
            </w:r>
          </w:p>
        </w:tc>
      </w:tr>
      <w:tr>
        <w:trPr>
          <w:cantSplit/>
        </w:trPr>
        <w:tc>
          <w:tcPr>
            <w:tcW w:type="dxa" w:w="2880"/>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sz w:val="16"/>
              </w:rPr>
              <w:t>Train only; skip final evaluation</w:t>
            </w:r>
          </w:p>
          <w:p>
            <w:pPr>
              <w:spacing w:after="0" w:before="0" w:line="240" w:lineRule="auto"/>
            </w:pPr>
            <w:r>
              <w:rPr>
                <w:rFonts w:ascii="Noto Sans CJK SC" w:hAnsi="Noto Sans CJK SC" w:eastAsia="Noto Sans CJK SC"/>
                <w:b w:val="0"/>
                <w:sz w:val="16"/>
              </w:rPr>
              <w:t>Default: Off</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After a new training run, skips the final evaluation and video stage.</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新训练完成后跳过最终 evaluation 和视频阶段。</w:t>
            </w:r>
          </w:p>
        </w:tc>
        <w:tc>
          <w:tcPr>
            <w:tcW w:type="dxa" w:w="3168"/>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This does not disable periodic EvalCallback evaluations during training.</w:t>
            </w:r>
          </w:p>
          <w:p>
            <w:pPr>
              <w:spacing w:after="0" w:before="0" w:line="240" w:lineRule="auto"/>
            </w:pPr>
            <w:r>
              <w:rPr>
                <w:rFonts w:ascii="Noto Sans CJK SC" w:hAnsi="Noto Sans CJK SC" w:eastAsia="Noto Sans CJK SC"/>
                <w:b w:val="0"/>
                <w:sz w:val="16"/>
              </w:rPr>
              <w:t>不会关闭训练过程中的定期 EvalCallback。</w:t>
            </w:r>
          </w:p>
        </w:tc>
      </w:tr>
      <w:tr>
        <w:trPr>
          <w:cantSplit/>
        </w:trPr>
        <w:tc>
          <w:tcPr>
            <w:tcW w:type="dxa" w:w="2880"/>
            <w:vAlign w:val="center"/>
            <w:tcMar>
              <w:top w:w="60" w:type="dxa"/>
              <w:start w:w="80" w:type="dxa"/>
              <w:bottom w:w="60" w:type="dxa"/>
              <w:end w:w="80" w:type="dxa"/>
            </w:tcMar>
          </w:tcPr>
          <w:p>
            <w:pPr>
              <w:spacing w:after="0" w:before="0" w:line="240" w:lineRule="auto"/>
            </w:pPr>
            <w:r/>
            <w:r>
              <w:rPr>
                <w:rFonts w:ascii="Noto Sans CJK SC" w:hAnsi="Noto Sans CJK SC" w:eastAsia="Noto Sans CJK SC"/>
                <w:b/>
                <w:sz w:val="16"/>
              </w:rPr>
              <w:t>Select Model</w:t>
            </w:r>
          </w:p>
          <w:p>
            <w:pPr>
              <w:spacing w:after="0" w:before="0" w:line="240" w:lineRule="auto"/>
            </w:pPr>
            <w:r>
              <w:rPr>
                <w:rFonts w:ascii="Noto Sans CJK SC" w:hAnsi="Noto Sans CJK SC" w:eastAsia="Noto Sans CJK SC"/>
                <w:b w:val="0"/>
                <w:sz w:val="16"/>
              </w:rPr>
              <w:t>Evaluation Only</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Chooses an existing .zip model to load for evaluation without training.</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选择已有 .zip 模型，只做 evaluation，不进行训练。</w:t>
            </w:r>
          </w:p>
        </w:tc>
        <w:tc>
          <w:tcPr>
            <w:tcW w:type="dxa" w:w="3168"/>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Use this control during the presentation. Prefer best/best_model.zip if it performs well.</w:t>
            </w:r>
          </w:p>
          <w:p>
            <w:pPr>
              <w:spacing w:after="0" w:before="0" w:line="240" w:lineRule="auto"/>
            </w:pPr>
            <w:r>
              <w:rPr>
                <w:rFonts w:ascii="Noto Sans CJK SC" w:hAnsi="Noto Sans CJK SC" w:eastAsia="Noto Sans CJK SC"/>
                <w:b w:val="0"/>
                <w:sz w:val="16"/>
              </w:rPr>
              <w:t>演讲时使用此功能；可优先测试 best/best_model.zip。</w:t>
            </w:r>
          </w:p>
        </w:tc>
      </w:tr>
      <w:tr>
        <w:trPr>
          <w:cantSplit/>
        </w:trPr>
        <w:tc>
          <w:tcPr>
            <w:tcW w:type="dxa" w:w="2880"/>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sz w:val="16"/>
              </w:rPr>
              <w:t>Maximum videos to display</w:t>
            </w:r>
          </w:p>
          <w:p>
            <w:pPr>
              <w:spacing w:after="0" w:before="0" w:line="240" w:lineRule="auto"/>
            </w:pPr>
            <w:r>
              <w:rPr>
                <w:rFonts w:ascii="Noto Sans CJK SC" w:hAnsi="Noto Sans CJK SC" w:eastAsia="Noto Sans CJK SC"/>
                <w:b w:val="0"/>
                <w:sz w:val="16"/>
              </w:rPr>
              <w:t>Default: 20</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Limits how many recent videos are rendered in the Video Library tab.</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限制视频库页面最多显示多少个最近视频。</w:t>
            </w:r>
          </w:p>
        </w:tc>
        <w:tc>
          <w:tcPr>
            <w:tcW w:type="dxa" w:w="3168"/>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Only changes the gallery display; it does not delete videos.</w:t>
            </w:r>
          </w:p>
          <w:p>
            <w:pPr>
              <w:spacing w:after="0" w:before="0" w:line="240" w:lineRule="auto"/>
            </w:pPr>
            <w:r>
              <w:rPr>
                <w:rFonts w:ascii="Noto Sans CJK SC" w:hAnsi="Noto Sans CJK SC" w:eastAsia="Noto Sans CJK SC"/>
                <w:b w:val="0"/>
                <w:sz w:val="16"/>
              </w:rPr>
              <w:t>只影响页面显示，不会删除视频。</w:t>
            </w:r>
          </w:p>
        </w:tc>
      </w:tr>
    </w:tbl>
    <w:p>
      <w:pPr>
        <w:spacing w:before="160" w:after="80"/>
      </w:pPr>
      <w:r>
        <w:rPr>
          <w:rFonts w:ascii="Noto Sans CJK SC" w:hAnsi="Noto Sans CJK SC" w:eastAsia="Noto Sans CJK SC"/>
          <w:b/>
          <w:color w:val="114E79"/>
          <w:sz w:val="28"/>
        </w:rPr>
        <w:t>7. Presentation-Safe Workflow / 演讲安全操作流程</w:t>
      </w:r>
    </w:p>
    <w:tbl>
      <w:tblPr>
        <w:tblStyle w:val="TableGrid"/>
        <w:tblW w:type="auto" w:w="0"/>
        <w:jc w:val="center"/>
        <w:tblLook w:firstColumn="1" w:firstRow="1" w:lastColumn="0" w:lastRow="0" w:noHBand="0" w:noVBand="1" w:val="04A0"/>
      </w:tblPr>
      <w:tblGrid>
        <w:gridCol w:w="3636"/>
        <w:gridCol w:w="3636"/>
        <w:gridCol w:w="3636"/>
        <w:gridCol w:w="3636"/>
      </w:tblGrid>
      <w:tr>
        <w:trPr>
          <w:tblHeader w:val="true"/>
        </w:trPr>
        <w:tc>
          <w:tcPr>
            <w:tcW w:type="dxa" w:w="2880"/>
            <w:shd w:fill="1F4E78"/>
            <w:vAlign w:val="center"/>
            <w:tcMar>
              <w:top w:w="60" w:type="dxa"/>
              <w:start w:w="80" w:type="dxa"/>
              <w:bottom w:w="60" w:type="dxa"/>
              <w:end w:w="80" w:type="dxa"/>
            </w:tcMar>
          </w:tcPr>
          <w:p>
            <w:pPr>
              <w:spacing w:after="0" w:before="0" w:line="240" w:lineRule="auto"/>
            </w:pPr>
            <w:r>
              <w:rPr>
                <w:b/>
                <w:color w:val="FFFFFF"/>
              </w:rPr>
            </w:r>
            <w:r>
              <w:rPr>
                <w:rFonts w:ascii="Noto Sans CJK SC" w:hAnsi="Noto Sans CJK SC" w:eastAsia="Noto Sans CJK SC"/>
                <w:b/>
                <w:color w:val="FFFFFF"/>
                <w:sz w:val="18"/>
              </w:rPr>
              <w:t>Parameter / Default</w:t>
            </w:r>
          </w:p>
        </w:tc>
        <w:tc>
          <w:tcPr>
            <w:tcW w:type="dxa" w:w="4536"/>
            <w:shd w:fill="1F4E78"/>
            <w:vAlign w:val="center"/>
            <w:tcMar>
              <w:top w:w="60" w:type="dxa"/>
              <w:start w:w="80" w:type="dxa"/>
              <w:bottom w:w="60" w:type="dxa"/>
              <w:end w:w="80" w:type="dxa"/>
            </w:tcMar>
          </w:tcPr>
          <w:p>
            <w:pPr>
              <w:spacing w:after="0" w:before="0" w:line="240" w:lineRule="auto"/>
            </w:pPr>
            <w:r>
              <w:rPr>
                <w:b/>
                <w:color w:val="FFFFFF"/>
              </w:rPr>
            </w:r>
            <w:r>
              <w:rPr>
                <w:rFonts w:ascii="Noto Sans CJK SC" w:hAnsi="Noto Sans CJK SC" w:eastAsia="Noto Sans CJK SC"/>
                <w:b/>
                <w:color w:val="FFFFFF"/>
                <w:sz w:val="18"/>
              </w:rPr>
              <w:t>English Explanation</w:t>
            </w:r>
          </w:p>
        </w:tc>
        <w:tc>
          <w:tcPr>
            <w:tcW w:type="dxa" w:w="4536"/>
            <w:shd w:fill="1F4E78"/>
            <w:vAlign w:val="center"/>
            <w:tcMar>
              <w:top w:w="60" w:type="dxa"/>
              <w:start w:w="80" w:type="dxa"/>
              <w:bottom w:w="60" w:type="dxa"/>
              <w:end w:w="80" w:type="dxa"/>
            </w:tcMar>
          </w:tcPr>
          <w:p>
            <w:pPr>
              <w:spacing w:after="0" w:before="0" w:line="240" w:lineRule="auto"/>
            </w:pPr>
            <w:r>
              <w:rPr>
                <w:b/>
                <w:color w:val="FFFFFF"/>
              </w:rPr>
            </w:r>
            <w:r>
              <w:rPr>
                <w:rFonts w:ascii="Noto Sans CJK SC" w:hAnsi="Noto Sans CJK SC" w:eastAsia="Noto Sans CJK SC"/>
                <w:b/>
                <w:color w:val="FFFFFF"/>
                <w:sz w:val="18"/>
              </w:rPr>
              <w:t>中文说明</w:t>
            </w:r>
          </w:p>
        </w:tc>
        <w:tc>
          <w:tcPr>
            <w:tcW w:type="dxa" w:w="3168"/>
            <w:shd w:fill="1F4E78"/>
            <w:vAlign w:val="center"/>
            <w:tcMar>
              <w:top w:w="60" w:type="dxa"/>
              <w:start w:w="80" w:type="dxa"/>
              <w:bottom w:w="60" w:type="dxa"/>
              <w:end w:w="80" w:type="dxa"/>
            </w:tcMar>
          </w:tcPr>
          <w:p>
            <w:pPr>
              <w:spacing w:after="0" w:before="0" w:line="240" w:lineRule="auto"/>
            </w:pPr>
            <w:r>
              <w:rPr>
                <w:b/>
                <w:color w:val="FFFFFF"/>
              </w:rPr>
            </w:r>
            <w:r>
              <w:rPr>
                <w:rFonts w:ascii="Noto Sans CJK SC" w:hAnsi="Noto Sans CJK SC" w:eastAsia="Noto Sans CJK SC"/>
                <w:b/>
                <w:color w:val="FFFFFF"/>
                <w:sz w:val="18"/>
              </w:rPr>
              <w:t>Practical Effect / 使用建议</w:t>
            </w:r>
          </w:p>
        </w:tc>
      </w:tr>
      <w:tr>
        <w:trPr>
          <w:cantSplit/>
        </w:trPr>
        <w:tc>
          <w:tcPr>
            <w:tcW w:type="dxa" w:w="2880"/>
            <w:vAlign w:val="center"/>
            <w:tcMar>
              <w:top w:w="60" w:type="dxa"/>
              <w:start w:w="80" w:type="dxa"/>
              <w:bottom w:w="60" w:type="dxa"/>
              <w:end w:w="80" w:type="dxa"/>
            </w:tcMar>
          </w:tcPr>
          <w:p>
            <w:pPr>
              <w:spacing w:after="0" w:before="0" w:line="240" w:lineRule="auto"/>
            </w:pPr>
            <w:r/>
            <w:r>
              <w:rPr>
                <w:rFonts w:ascii="Noto Sans CJK SC" w:hAnsi="Noto Sans CJK SC" w:eastAsia="Noto Sans CJK SC"/>
                <w:b/>
                <w:sz w:val="16"/>
              </w:rPr>
              <w:t>Step 1</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Launch the English dashboard with: streamlit run streamlit_app_v5_overtake_logic_english.py</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运行英文界面：streamlit run streamlit_app_v5_overtake_logic_english.py</w:t>
            </w:r>
          </w:p>
        </w:tc>
        <w:tc>
          <w:tcPr>
            <w:tcW w:type="dxa" w:w="3168"/>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The backend and all saved files remain unchanged.</w:t>
            </w:r>
          </w:p>
          <w:p>
            <w:pPr>
              <w:spacing w:after="0" w:before="0" w:line="240" w:lineRule="auto"/>
            </w:pPr>
            <w:r>
              <w:rPr>
                <w:rFonts w:ascii="Noto Sans CJK SC" w:hAnsi="Noto Sans CJK SC" w:eastAsia="Noto Sans CJK SC"/>
                <w:b w:val="0"/>
                <w:sz w:val="16"/>
              </w:rPr>
              <w:t>后端与所有保存文件保持不变。</w:t>
            </w:r>
          </w:p>
        </w:tc>
      </w:tr>
      <w:tr>
        <w:trPr>
          <w:cantSplit/>
        </w:trPr>
        <w:tc>
          <w:tcPr>
            <w:tcW w:type="dxa" w:w="2880"/>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sz w:val="16"/>
              </w:rPr>
              <w:t>Step 2</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Open the Evaluation Only tab.</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打开 “Evaluation Only” 标签页。</w:t>
            </w:r>
          </w:p>
        </w:tc>
        <w:tc>
          <w:tcPr>
            <w:tcW w:type="dxa" w:w="3168"/>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Do not use Train and Record during the presentation.</w:t>
            </w:r>
          </w:p>
          <w:p>
            <w:pPr>
              <w:spacing w:after="0" w:before="0" w:line="240" w:lineRule="auto"/>
            </w:pPr>
            <w:r>
              <w:rPr>
                <w:rFonts w:ascii="Noto Sans CJK SC" w:hAnsi="Noto Sans CJK SC" w:eastAsia="Noto Sans CJK SC"/>
                <w:b w:val="0"/>
                <w:sz w:val="16"/>
              </w:rPr>
              <w:t>演讲时不要使用 “Train and Record”。</w:t>
            </w:r>
          </w:p>
        </w:tc>
      </w:tr>
      <w:tr>
        <w:trPr>
          <w:cantSplit/>
        </w:trPr>
        <w:tc>
          <w:tcPr>
            <w:tcW w:type="dxa" w:w="2880"/>
            <w:vAlign w:val="center"/>
            <w:tcMar>
              <w:top w:w="60" w:type="dxa"/>
              <w:start w:w="80" w:type="dxa"/>
              <w:bottom w:w="60" w:type="dxa"/>
              <w:end w:w="80" w:type="dxa"/>
            </w:tcMar>
          </w:tcPr>
          <w:p>
            <w:pPr>
              <w:spacing w:after="0" w:before="0" w:line="240" w:lineRule="auto"/>
            </w:pPr>
            <w:r/>
            <w:r>
              <w:rPr>
                <w:rFonts w:ascii="Noto Sans CJK SC" w:hAnsi="Noto Sans CJK SC" w:eastAsia="Noto Sans CJK SC"/>
                <w:b/>
                <w:sz w:val="16"/>
              </w:rPr>
              <w:t>Step 3</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Select an existing model, preferably a tested best_model.zip.</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选择已经测试过的模型，优先考虑 best_model.zip。</w:t>
            </w:r>
          </w:p>
        </w:tc>
        <w:tc>
          <w:tcPr>
            <w:tcW w:type="dxa" w:w="3168"/>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Confirm the model path before the presentation.</w:t>
            </w:r>
          </w:p>
          <w:p>
            <w:pPr>
              <w:spacing w:after="0" w:before="0" w:line="240" w:lineRule="auto"/>
            </w:pPr>
            <w:r>
              <w:rPr>
                <w:rFonts w:ascii="Noto Sans CJK SC" w:hAnsi="Noto Sans CJK SC" w:eastAsia="Noto Sans CJK SC"/>
                <w:b w:val="0"/>
                <w:sz w:val="16"/>
              </w:rPr>
              <w:t>演讲前确认模型路径。</w:t>
            </w:r>
          </w:p>
        </w:tc>
      </w:tr>
      <w:tr>
        <w:trPr>
          <w:cantSplit/>
        </w:trPr>
        <w:tc>
          <w:tcPr>
            <w:tcW w:type="dxa" w:w="2880"/>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sz w:val="16"/>
              </w:rPr>
              <w:t>Step 4</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Use realistic traffic, fixed seed, duration 80, rgb_array, and evaluation action noise off.</w:t>
            </w:r>
          </w:p>
        </w:tc>
        <w:tc>
          <w:tcPr>
            <w:tcW w:type="dxa" w:w="4536"/>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使用 realistic、固定 seed、duration 80、rgb_array，并关闭 evaluation action noise。</w:t>
            </w:r>
          </w:p>
        </w:tc>
        <w:tc>
          <w:tcPr>
            <w:tcW w:type="dxa" w:w="3168"/>
            <w:vAlign w:val="center"/>
            <w:tcMar>
              <w:top w:w="60" w:type="dxa"/>
              <w:start w:w="80" w:type="dxa"/>
              <w:bottom w:w="60" w:type="dxa"/>
              <w:end w:w="80" w:type="dxa"/>
            </w:tcMar>
            <w:shd w:fill="F2F6FA"/>
          </w:tcPr>
          <w:p>
            <w:pPr>
              <w:spacing w:after="0" w:before="0" w:line="240" w:lineRule="auto"/>
            </w:pPr>
            <w:r/>
            <w:r>
              <w:rPr>
                <w:rFonts w:ascii="Noto Sans CJK SC" w:hAnsi="Noto Sans CJK SC" w:eastAsia="Noto Sans CJK SC"/>
                <w:b w:val="0"/>
                <w:sz w:val="16"/>
              </w:rPr>
              <w:t>These settings provide repeatable and readable demonstrations.</w:t>
            </w:r>
          </w:p>
          <w:p>
            <w:pPr>
              <w:spacing w:after="0" w:before="0" w:line="240" w:lineRule="auto"/>
            </w:pPr>
            <w:r>
              <w:rPr>
                <w:rFonts w:ascii="Noto Sans CJK SC" w:hAnsi="Noto Sans CJK SC" w:eastAsia="Noto Sans CJK SC"/>
                <w:b w:val="0"/>
                <w:sz w:val="16"/>
              </w:rPr>
              <w:t>这些设置更稳定、可复现，也便于讲解。</w:t>
            </w:r>
          </w:p>
        </w:tc>
      </w:tr>
      <w:tr>
        <w:trPr>
          <w:cantSplit/>
        </w:trPr>
        <w:tc>
          <w:tcPr>
            <w:tcW w:type="dxa" w:w="2880"/>
            <w:vAlign w:val="center"/>
            <w:tcMar>
              <w:top w:w="60" w:type="dxa"/>
              <w:start w:w="80" w:type="dxa"/>
              <w:bottom w:w="60" w:type="dxa"/>
              <w:end w:w="80" w:type="dxa"/>
            </w:tcMar>
          </w:tcPr>
          <w:p>
            <w:pPr>
              <w:spacing w:after="0" w:before="0" w:line="240" w:lineRule="auto"/>
            </w:pPr>
            <w:r/>
            <w:r>
              <w:rPr>
                <w:rFonts w:ascii="Noto Sans CJK SC" w:hAnsi="Noto Sans CJK SC" w:eastAsia="Noto Sans CJK SC"/>
                <w:b/>
                <w:sz w:val="16"/>
              </w:rPr>
              <w:t>Step 5</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Start evaluation and show an existing or newly recorded short video.</w:t>
            </w:r>
          </w:p>
        </w:tc>
        <w:tc>
          <w:tcPr>
            <w:tcW w:type="dxa" w:w="4536"/>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开始 evaluation，展示已有或新录制的短视频。</w:t>
            </w:r>
          </w:p>
        </w:tc>
        <w:tc>
          <w:tcPr>
            <w:tcW w:type="dxa" w:w="3168"/>
            <w:vAlign w:val="center"/>
            <w:tcMar>
              <w:top w:w="60" w:type="dxa"/>
              <w:start w:w="80" w:type="dxa"/>
              <w:bottom w:w="60" w:type="dxa"/>
              <w:end w:w="80" w:type="dxa"/>
            </w:tcMar>
          </w:tcPr>
          <w:p>
            <w:pPr>
              <w:spacing w:after="0" w:before="0" w:line="240" w:lineRule="auto"/>
            </w:pPr>
            <w:r/>
            <w:r>
              <w:rPr>
                <w:rFonts w:ascii="Noto Sans CJK SC" w:hAnsi="Noto Sans CJK SC" w:eastAsia="Noto Sans CJK SC"/>
                <w:b w:val="0"/>
                <w:sz w:val="16"/>
              </w:rPr>
              <w:t>No PPO retraining occurs in Evaluation Only.</w:t>
            </w:r>
          </w:p>
          <w:p>
            <w:pPr>
              <w:spacing w:after="0" w:before="0" w:line="240" w:lineRule="auto"/>
            </w:pPr>
            <w:r>
              <w:rPr>
                <w:rFonts w:ascii="Noto Sans CJK SC" w:hAnsi="Noto Sans CJK SC" w:eastAsia="Noto Sans CJK SC"/>
                <w:b w:val="0"/>
                <w:sz w:val="16"/>
              </w:rPr>
              <w:t>“Evaluation Only” 不会重新训练 PPO。</w:t>
            </w:r>
          </w:p>
        </w:tc>
      </w:tr>
    </w:tbl>
    <w:sectPr w:rsidR="00FC693F" w:rsidRPr="0006063C" w:rsidSect="00034616">
      <w:footerReference w:type="default" r:id="rId9"/>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b w:val="0"/>
        <w:color w:val="646464"/>
        <w:sz w:val="16"/>
      </w:rPr>
      <w:t>Highway PPO V5 — Bilingual UI Parameter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