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40" w:lineRule="auto"/>
        <w:jc w:val="left"/>
      </w:pPr>
      <w:r>
        <w:rPr>
          <w:rFonts w:ascii="Aptos Display" w:hAnsi="Aptos Display"/>
          <w:b/>
          <w:color w:val="1F4E79"/>
          <w:sz w:val="36"/>
        </w:rPr>
        <w:t>Comparison of Attached DoA and Metasurface Contributions</w:t>
      </w:r>
    </w:p>
    <w:p>
      <w:pPr>
        <w:spacing w:after="120" w:line="240" w:lineRule="auto"/>
        <w:jc w:val="left"/>
      </w:pPr>
      <w:r>
        <w:rPr>
          <w:rFonts w:ascii="Aptos" w:hAnsi="Aptos"/>
          <w:color w:val="505050"/>
          <w:sz w:val="21"/>
        </w:rPr>
        <w:t>Scenario, frequency, waveform/standard, reported accuracy, and comparison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30"/>
      </w:tblGrid>
      <w:tr>
        <w:tc>
          <w:tcPr>
            <w:tcW w:type="dxa" w:w="14630"/>
            <w:shd w:fill="EAF2F8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1F4E79"/>
                <w:sz w:val="18"/>
              </w:rPr>
              <w:t xml:space="preserve">Scope. </w:t>
            </w:r>
            <w:r>
              <w:rPr>
                <w:rFonts w:ascii="Aptos" w:hAnsi="Aptos"/>
                <w:b w:val="0"/>
                <w:sz w:val="18"/>
              </w:rPr>
              <w:t>Living table for the six attached papers. The last column states both the result and what it is compared against. Last updated: 22 July 2026.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2520"/>
        <w:gridCol w:w="1512"/>
        <w:gridCol w:w="2304"/>
        <w:gridCol w:w="6206"/>
      </w:tblGrid>
      <w:tr>
        <w:trPr>
          <w:tblHeader w:val="true"/>
        </w:trPr>
        <w:tc>
          <w:tcPr>
            <w:tcW w:type="dxa" w:w="2088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2520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Scenario and validation</w:t>
            </w:r>
          </w:p>
        </w:tc>
        <w:tc>
          <w:tcPr>
            <w:tcW w:type="dxa" w:w="1512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Frequency</w:t>
            </w:r>
          </w:p>
        </w:tc>
        <w:tc>
          <w:tcPr>
            <w:tcW w:type="dxa" w:w="2304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Standard / waveform</w:t>
            </w:r>
          </w:p>
        </w:tc>
        <w:tc>
          <w:tcPr>
            <w:tcW w:type="dxa" w:w="6206"/>
            <w:shd w:fill="1F4E79"/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Reported positioning or angular performance, including comparison reference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20" w:line="247" w:lineRule="auto"/>
              <w:jc w:val="left"/>
            </w:pPr>
            <w:r/>
            <w:r>
              <w:rPr>
                <w:rFonts w:ascii="Aptos" w:hAnsi="Aptos"/>
                <w:b/>
                <w:sz w:val="16"/>
              </w:rPr>
              <w:t>Şenyuva, 2026</w:t>
            </w:r>
            <w:r>
              <w:rPr>
                <w:rFonts w:ascii="Aptos" w:hAnsi="Aptos"/>
                <w:b w:val="0"/>
                <w:sz w:val="16"/>
              </w:rPr>
            </w:r>
          </w:p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/>
                <w:sz w:val="16"/>
              </w:rPr>
              <w:t xml:space="preserve">Paper: </w:t>
            </w:r>
            <w:r>
              <w:rPr>
                <w:rFonts w:ascii="Aptos" w:hAnsi="Aptos"/>
                <w:b w:val="0"/>
                <w:sz w:val="16"/>
              </w:rPr>
              <w:t>Covariance-Guided DFT Beam Selection for Beamspace ESPRIT</w:t>
            </w:r>
          </w:p>
        </w:tc>
        <w:tc>
          <w:tcPr>
            <w:tcW w:type="dxa" w:w="2520"/>
            <w:shd w:fill="FFFFFF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20" w:line="247" w:lineRule="auto"/>
              <w:jc w:val="left"/>
            </w:pPr>
            <w:r/>
            <w:r>
              <w:rPr>
                <w:rFonts w:ascii="Aptos" w:hAnsi="Aptos"/>
                <w:b/>
                <w:sz w:val="16"/>
              </w:rPr>
              <w:t xml:space="preserve">Validation: </w:t>
            </w:r>
            <w:r>
              <w:rPr>
                <w:rFonts w:ascii="Aptos" w:hAnsi="Aptos"/>
                <w:b w:val="0"/>
                <w:sz w:val="16"/>
              </w:rPr>
              <w:t>Numerical Monte Carlo only.</w:t>
            </w:r>
          </w:p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/>
                <w:sz w:val="16"/>
              </w:rPr>
              <w:t xml:space="preserve">Scenario: </w:t>
            </w:r>
            <w:r>
              <w:rPr>
                <w:rFonts w:ascii="Aptos" w:hAnsi="Aptos"/>
                <w:b w:val="0"/>
                <w:sz w:val="16"/>
              </w:rPr>
              <w:t>Generic far-field narrowband mmWave model; 32-element ULA and three uncorrelated paths. Not specifically indoor or outdoor.</w:t>
            </w:r>
          </w:p>
        </w:tc>
        <w:tc>
          <w:tcPr>
            <w:tcW w:type="dxa" w:w="1512"/>
            <w:shd w:fill="FFFFFF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20" w:line="247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 xml:space="preserve">Carrier: </w:t>
            </w:r>
            <w:r>
              <w:rPr>
                <w:rFonts w:ascii="Aptos" w:hAnsi="Aptos"/>
                <w:b w:val="0"/>
                <w:sz w:val="16"/>
              </w:rPr>
              <w:t>Not specified.</w:t>
            </w:r>
          </w:p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/>
                <w:sz w:val="16"/>
              </w:rPr>
              <w:t xml:space="preserve">Model: </w:t>
            </w:r>
            <w:r>
              <w:rPr>
                <w:rFonts w:ascii="Aptos" w:hAnsi="Aptos"/>
                <w:b w:val="0"/>
                <w:sz w:val="16"/>
              </w:rPr>
              <w:t>Wavelength-normalized.</w:t>
            </w:r>
          </w:p>
        </w:tc>
        <w:tc>
          <w:tcPr>
            <w:tcW w:type="dxa" w:w="2304"/>
            <w:shd w:fill="FFFFFF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20" w:line="247" w:lineRule="auto"/>
              <w:jc w:val="left"/>
            </w:pPr>
            <w:r/>
            <w:r>
              <w:rPr>
                <w:rFonts w:ascii="Aptos" w:hAnsi="Aptos"/>
                <w:b/>
                <w:sz w:val="16"/>
              </w:rPr>
              <w:t xml:space="preserve">Standard: </w:t>
            </w:r>
            <w:r>
              <w:rPr>
                <w:rFonts w:ascii="Aptos" w:hAnsi="Aptos"/>
                <w:b w:val="0"/>
                <w:sz w:val="16"/>
              </w:rPr>
              <w:t>None.</w:t>
            </w:r>
          </w:p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/>
                <w:sz w:val="16"/>
              </w:rPr>
              <w:t xml:space="preserve">Waveform: </w:t>
            </w:r>
            <w:r>
              <w:rPr>
                <w:rFonts w:ascii="Aptos" w:hAnsi="Aptos"/>
                <w:b w:val="0"/>
                <w:sz w:val="16"/>
              </w:rPr>
              <w:t>Narrowband observation, interpretable as one OFDM subcarrier.</w:t>
            </w:r>
          </w:p>
        </w:tc>
        <w:tc>
          <w:tcPr>
            <w:tcW w:type="dxa" w:w="6206"/>
            <w:shd w:fill="FFFFFF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20" w:line="247" w:lineRule="auto"/>
              <w:jc w:val="left"/>
            </w:pPr>
            <w:r/>
            <w:r>
              <w:rPr>
                <w:rFonts w:ascii="Aptos" w:hAnsi="Aptos"/>
                <w:b/>
                <w:sz w:val="16"/>
              </w:rPr>
              <w:t xml:space="preserve">Reported: </w:t>
            </w:r>
            <w:r>
              <w:rPr>
                <w:rFonts w:ascii="Aptos" w:hAnsi="Aptos"/>
                <w:b w:val="0"/>
                <w:sz w:val="16"/>
              </w:rPr>
              <w:t>About 1-2 dB from the stochastic CRB for ASNR at or above 4 dB; below 10% failure around 0-1 dB ASNR. No degree-valued resolution or position error.</w:t>
            </w:r>
          </w:p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/>
                <w:sz w:val="16"/>
              </w:rPr>
              <w:t xml:space="preserve">Compared against: </w:t>
            </w:r>
            <w:r>
              <w:rPr>
                <w:rFonts w:ascii="Aptos" w:hAnsi="Aptos"/>
                <w:b w:val="0"/>
                <w:sz w:val="16"/>
              </w:rPr>
              <w:t>Sectorization-based beamspace ESPRIT with the same codebook, estimator, and beam budget; coarse-only stages; oracle beams; and the CRB. Sectorization needs roughly 4-6 dB more ASNR for a similar near-CRB regime.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20" w:line="247" w:lineRule="auto"/>
              <w:jc w:val="left"/>
            </w:pPr>
            <w:r/>
            <w:r>
              <w:rPr>
                <w:rFonts w:ascii="Aptos" w:hAnsi="Aptos"/>
                <w:b/>
                <w:sz w:val="16"/>
              </w:rPr>
              <w:t>Zheng et al., 2026</w:t>
            </w:r>
            <w:r>
              <w:rPr>
                <w:rFonts w:ascii="Aptos" w:hAnsi="Aptos"/>
                <w:b w:val="0"/>
                <w:sz w:val="16"/>
              </w:rPr>
            </w:r>
          </w:p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/>
                <w:sz w:val="16"/>
              </w:rPr>
              <w:t xml:space="preserve">Paper: </w:t>
            </w:r>
            <w:r>
              <w:rPr>
                <w:rFonts w:ascii="Aptos" w:hAnsi="Aptos"/>
                <w:b w:val="0"/>
                <w:sz w:val="16"/>
              </w:rPr>
              <w:t>1-Bit Amplitude-Adjustable Metasurface With Spatio-Temporal Modulation</w:t>
            </w:r>
          </w:p>
        </w:tc>
        <w:tc>
          <w:tcPr>
            <w:tcW w:type="dxa" w:w="2520"/>
            <w:shd w:fill="FFFFFF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20" w:line="247" w:lineRule="auto"/>
              <w:jc w:val="left"/>
            </w:pPr>
            <w:r/>
            <w:r>
              <w:rPr>
                <w:rFonts w:ascii="Aptos" w:hAnsi="Aptos"/>
                <w:b/>
                <w:sz w:val="16"/>
              </w:rPr>
              <w:t xml:space="preserve">Validation: </w:t>
            </w:r>
            <w:r>
              <w:rPr>
                <w:rFonts w:ascii="Aptos" w:hAnsi="Aptos"/>
                <w:b w:val="0"/>
                <w:sz w:val="16"/>
              </w:rPr>
              <w:t>Numerical and indoor laboratory.</w:t>
            </w:r>
          </w:p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/>
                <w:sz w:val="16"/>
              </w:rPr>
              <w:t xml:space="preserve">Scenario: </w:t>
            </w:r>
            <w:r>
              <w:rPr>
                <w:rFonts w:ascii="Aptos" w:hAnsi="Aptos"/>
                <w:b w:val="0"/>
                <w:sz w:val="16"/>
              </w:rPr>
              <w:t>Far-field horn test, fabricated 6 x 6 transmissive surface, and one receiver.</w:t>
            </w:r>
          </w:p>
        </w:tc>
        <w:tc>
          <w:tcPr>
            <w:tcW w:type="dxa" w:w="1512"/>
            <w:shd w:fill="FFFFFF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20" w:line="247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 xml:space="preserve">Carrier: </w:t>
            </w:r>
            <w:r>
              <w:rPr>
                <w:rFonts w:ascii="Aptos" w:hAnsi="Aptos"/>
                <w:b w:val="0"/>
                <w:sz w:val="16"/>
              </w:rPr>
              <w:t>5 GHz.</w:t>
            </w:r>
          </w:p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/>
                <w:sz w:val="16"/>
              </w:rPr>
              <w:t xml:space="preserve">Modulation: </w:t>
            </w:r>
            <w:r>
              <w:rPr>
                <w:rFonts w:ascii="Aptos" w:hAnsi="Aptos"/>
                <w:b w:val="0"/>
                <w:sz w:val="16"/>
              </w:rPr>
              <w:t>2.0-2.5 MHz.</w:t>
            </w:r>
          </w:p>
        </w:tc>
        <w:tc>
          <w:tcPr>
            <w:tcW w:type="dxa" w:w="2304"/>
            <w:shd w:fill="FFFFFF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20" w:line="247" w:lineRule="auto"/>
              <w:jc w:val="left"/>
            </w:pPr>
            <w:r/>
            <w:r>
              <w:rPr>
                <w:rFonts w:ascii="Aptos" w:hAnsi="Aptos"/>
                <w:b/>
                <w:sz w:val="16"/>
              </w:rPr>
              <w:t xml:space="preserve">Standard: </w:t>
            </w:r>
            <w:r>
              <w:rPr>
                <w:rFonts w:ascii="Aptos" w:hAnsi="Aptos"/>
                <w:b w:val="0"/>
                <w:sz w:val="16"/>
              </w:rPr>
              <w:t>None.</w:t>
            </w:r>
          </w:p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/>
                <w:sz w:val="16"/>
              </w:rPr>
              <w:t xml:space="preserve">Waveform: </w:t>
            </w:r>
            <w:r>
              <w:rPr>
                <w:rFonts w:ascii="Aptos" w:hAnsi="Aptos"/>
                <w:b w:val="0"/>
                <w:sz w:val="16"/>
              </w:rPr>
              <w:t>Continuous wave, amplitude time modulation, harmonics, and MUSIC.</w:t>
            </w:r>
          </w:p>
        </w:tc>
        <w:tc>
          <w:tcPr>
            <w:tcW w:type="dxa" w:w="6206"/>
            <w:shd w:fill="FFFFFF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20" w:line="247" w:lineRule="auto"/>
              <w:jc w:val="left"/>
            </w:pPr>
            <w:r/>
            <w:r>
              <w:rPr>
                <w:rFonts w:ascii="Aptos" w:hAnsi="Aptos"/>
                <w:b/>
                <w:sz w:val="16"/>
              </w:rPr>
              <w:t xml:space="preserve">Reported: </w:t>
            </w:r>
            <w:r>
              <w:rPr>
                <w:rFonts w:ascii="Aptos" w:hAnsi="Aptos"/>
                <w:b w:val="0"/>
                <w:sz w:val="16"/>
              </w:rPr>
              <w:t>Experimental 1-D DoA error below 0.61 degrees over 0-60 degrees from 50 repeated measurements.</w:t>
            </w:r>
          </w:p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/>
                <w:sz w:val="16"/>
              </w:rPr>
              <w:t xml:space="preserve">Compared against: </w:t>
            </w:r>
            <w:r>
              <w:rPr>
                <w:rFonts w:ascii="Aptos" w:hAnsi="Aptos"/>
                <w:b w:val="0"/>
                <w:sz w:val="16"/>
              </w:rPr>
              <w:t>Prior metasurface DoA systems in Table II, mainly phase-modulated/reflective designs and an active-amplifier transmissive design. The comparison is qualitative across published systems, not a controlled same-setup RMSE test.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20" w:line="247" w:lineRule="auto"/>
              <w:jc w:val="left"/>
            </w:pPr>
            <w:r/>
            <w:r>
              <w:rPr>
                <w:rFonts w:ascii="Aptos" w:hAnsi="Aptos"/>
                <w:b/>
                <w:sz w:val="16"/>
              </w:rPr>
              <w:t>Li et al., 2024</w:t>
            </w:r>
            <w:r>
              <w:rPr>
                <w:rFonts w:ascii="Aptos" w:hAnsi="Aptos"/>
                <w:b w:val="0"/>
                <w:sz w:val="16"/>
              </w:rPr>
            </w:r>
          </w:p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/>
                <w:sz w:val="16"/>
              </w:rPr>
              <w:t xml:space="preserve">Paper: </w:t>
            </w:r>
            <w:r>
              <w:rPr>
                <w:rFonts w:ascii="Aptos" w:hAnsi="Aptos"/>
                <w:b w:val="0"/>
                <w:sz w:val="16"/>
              </w:rPr>
              <w:t>Direct AOA Estimation With Single-Frequency Phaseless Measurements</w:t>
            </w:r>
          </w:p>
        </w:tc>
        <w:tc>
          <w:tcPr>
            <w:tcW w:type="dxa" w:w="2520"/>
            <w:shd w:fill="FFFFFF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20" w:line="247" w:lineRule="auto"/>
              <w:jc w:val="left"/>
            </w:pPr>
            <w:r/>
            <w:r>
              <w:rPr>
                <w:rFonts w:ascii="Aptos" w:hAnsi="Aptos"/>
                <w:b/>
                <w:sz w:val="16"/>
              </w:rPr>
              <w:t xml:space="preserve">Validation: </w:t>
            </w:r>
            <w:r>
              <w:rPr>
                <w:rFonts w:ascii="Aptos" w:hAnsi="Aptos"/>
                <w:b w:val="0"/>
                <w:sz w:val="16"/>
              </w:rPr>
              <w:t>Numerical and indoor laboratory.</w:t>
            </w:r>
          </w:p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/>
                <w:sz w:val="16"/>
              </w:rPr>
              <w:t xml:space="preserve">Scenario: </w:t>
            </w:r>
            <w:r>
              <w:rPr>
                <w:rFonts w:ascii="Aptos" w:hAnsi="Aptos"/>
                <w:b w:val="0"/>
                <w:sz w:val="16"/>
              </w:rPr>
              <w:t>Far-field horn, 2-bit transmissive surface, fixed probe, and intensity-only measurement.</w:t>
            </w:r>
          </w:p>
        </w:tc>
        <w:tc>
          <w:tcPr>
            <w:tcW w:type="dxa" w:w="1512"/>
            <w:shd w:fill="FFFFFF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20" w:line="247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 xml:space="preserve">Experiment: </w:t>
            </w:r>
            <w:r>
              <w:rPr>
                <w:rFonts w:ascii="Aptos" w:hAnsi="Aptos"/>
                <w:b w:val="0"/>
                <w:sz w:val="16"/>
              </w:rPr>
              <w:t>5.8 GHz.</w:t>
            </w:r>
          </w:p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/>
                <w:sz w:val="16"/>
              </w:rPr>
              <w:t xml:space="preserve">Simulation: </w:t>
            </w:r>
            <w:r>
              <w:rPr>
                <w:rFonts w:ascii="Aptos" w:hAnsi="Aptos"/>
                <w:b w:val="0"/>
                <w:sz w:val="16"/>
              </w:rPr>
              <w:t>Wavelength-normalized.</w:t>
            </w:r>
          </w:p>
        </w:tc>
        <w:tc>
          <w:tcPr>
            <w:tcW w:type="dxa" w:w="2304"/>
            <w:shd w:fill="FFFFFF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20" w:line="247" w:lineRule="auto"/>
              <w:jc w:val="left"/>
            </w:pPr>
            <w:r/>
            <w:r>
              <w:rPr>
                <w:rFonts w:ascii="Aptos" w:hAnsi="Aptos"/>
                <w:b/>
                <w:sz w:val="16"/>
              </w:rPr>
              <w:t xml:space="preserve">Standard: </w:t>
            </w:r>
            <w:r>
              <w:rPr>
                <w:rFonts w:ascii="Aptos" w:hAnsi="Aptos"/>
                <w:b w:val="0"/>
                <w:sz w:val="16"/>
              </w:rPr>
              <w:t>None.</w:t>
            </w:r>
          </w:p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/>
                <w:sz w:val="16"/>
              </w:rPr>
              <w:t xml:space="preserve">Waveform: </w:t>
            </w:r>
            <w:r>
              <w:rPr>
                <w:rFonts w:ascii="Aptos" w:hAnsi="Aptos"/>
                <w:b w:val="0"/>
                <w:sz w:val="16"/>
              </w:rPr>
              <w:t>Single-tone continuous wave and analytical phaseless spatial matched filtering.</w:t>
            </w:r>
          </w:p>
        </w:tc>
        <w:tc>
          <w:tcPr>
            <w:tcW w:type="dxa" w:w="6206"/>
            <w:shd w:fill="FFFFFF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20" w:line="247" w:lineRule="auto"/>
              <w:jc w:val="left"/>
            </w:pPr>
            <w:r/>
            <w:r>
              <w:rPr>
                <w:rFonts w:ascii="Aptos" w:hAnsi="Aptos"/>
                <w:b/>
                <w:sz w:val="16"/>
              </w:rPr>
              <w:t xml:space="preserve">Reported: </w:t>
            </w:r>
            <w:r>
              <w:rPr>
                <w:rFonts w:ascii="Aptos" w:hAnsi="Aptos"/>
                <w:b w:val="0"/>
                <w:sz w:val="16"/>
              </w:rPr>
              <w:t>Simulation 3-dB width: 5.54 degrees versus 5.08 degrees from aperture theory. Experiment: about 10.9 degrees versus 8.75 degrees theoretical; 200 measurements take about 0.31 s.</w:t>
            </w:r>
          </w:p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/>
                <w:sz w:val="16"/>
              </w:rPr>
              <w:t xml:space="preserve">Compared against: </w:t>
            </w:r>
            <w:r>
              <w:rPr>
                <w:rFonts w:ascii="Aptos" w:hAnsi="Aptos"/>
                <w:b w:val="0"/>
                <w:sz w:val="16"/>
              </w:rPr>
              <w:t>OMP-based compressive sensing and least squares under fixed measurement budgets and increasing target count. CS is sharper when sparsity holds, but can produce false/displaced targets and may need up to 850 measurements for four targets. Theory and simulation are also used as references.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20" w:line="247" w:lineRule="auto"/>
              <w:jc w:val="left"/>
            </w:pPr>
            <w:r/>
            <w:r>
              <w:rPr>
                <w:rFonts w:ascii="Aptos" w:hAnsi="Aptos"/>
                <w:b/>
                <w:sz w:val="16"/>
              </w:rPr>
              <w:t>Guo et al., 2026</w:t>
            </w:r>
            <w:r>
              <w:rPr>
                <w:rFonts w:ascii="Aptos" w:hAnsi="Aptos"/>
                <w:b w:val="0"/>
                <w:sz w:val="16"/>
              </w:rPr>
            </w:r>
          </w:p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/>
                <w:sz w:val="16"/>
              </w:rPr>
              <w:t xml:space="preserve">Paper: </w:t>
            </w:r>
            <w:r>
              <w:rPr>
                <w:rFonts w:ascii="Aptos" w:hAnsi="Aptos"/>
                <w:b w:val="0"/>
                <w:sz w:val="16"/>
              </w:rPr>
              <w:t>DOA Estimation With Compressive Measurements and Mixed-ADCs</w:t>
            </w:r>
          </w:p>
        </w:tc>
        <w:tc>
          <w:tcPr>
            <w:tcW w:type="dxa" w:w="2520"/>
            <w:shd w:fill="FFFFFF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20" w:line="247" w:lineRule="auto"/>
              <w:jc w:val="left"/>
            </w:pPr>
            <w:r/>
            <w:r>
              <w:rPr>
                <w:rFonts w:ascii="Aptos" w:hAnsi="Aptos"/>
                <w:b/>
                <w:sz w:val="16"/>
              </w:rPr>
              <w:t xml:space="preserve">Validation: </w:t>
            </w:r>
            <w:r>
              <w:rPr>
                <w:rFonts w:ascii="Aptos" w:hAnsi="Aptos"/>
                <w:b w:val="0"/>
                <w:sz w:val="16"/>
              </w:rPr>
              <w:t>Numerical only.</w:t>
            </w:r>
          </w:p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/>
                <w:sz w:val="16"/>
              </w:rPr>
              <w:t xml:space="preserve">Scenario: </w:t>
            </w:r>
            <w:r>
              <w:rPr>
                <w:rFonts w:ascii="Aptos" w:hAnsi="Aptos"/>
                <w:b w:val="0"/>
                <w:sz w:val="16"/>
              </w:rPr>
              <w:t>Generic far-field narrowband array; 12 elements compressed to eight RF channels. Not specifically indoor or outdoor.</w:t>
            </w:r>
          </w:p>
        </w:tc>
        <w:tc>
          <w:tcPr>
            <w:tcW w:type="dxa" w:w="1512"/>
            <w:shd w:fill="FFFFFF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20" w:line="247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 xml:space="preserve">Carrier: </w:t>
            </w:r>
            <w:r>
              <w:rPr>
                <w:rFonts w:ascii="Aptos" w:hAnsi="Aptos"/>
                <w:b w:val="0"/>
                <w:sz w:val="16"/>
              </w:rPr>
              <w:t>Not specified.</w:t>
            </w:r>
          </w:p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/>
                <w:sz w:val="16"/>
              </w:rPr>
              <w:t xml:space="preserve">Model: </w:t>
            </w:r>
            <w:r>
              <w:rPr>
                <w:rFonts w:ascii="Aptos" w:hAnsi="Aptos"/>
                <w:b w:val="0"/>
                <w:sz w:val="16"/>
              </w:rPr>
              <w:t>Normalized DoA.</w:t>
            </w:r>
          </w:p>
        </w:tc>
        <w:tc>
          <w:tcPr>
            <w:tcW w:type="dxa" w:w="2304"/>
            <w:shd w:fill="FFFFFF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20" w:line="247" w:lineRule="auto"/>
              <w:jc w:val="left"/>
            </w:pPr>
            <w:r/>
            <w:r>
              <w:rPr>
                <w:rFonts w:ascii="Aptos" w:hAnsi="Aptos"/>
                <w:b/>
                <w:sz w:val="16"/>
              </w:rPr>
              <w:t xml:space="preserve">Standard: </w:t>
            </w:r>
            <w:r>
              <w:rPr>
                <w:rFonts w:ascii="Aptos" w:hAnsi="Aptos"/>
                <w:b w:val="0"/>
                <w:sz w:val="16"/>
              </w:rPr>
              <w:t>None.</w:t>
            </w:r>
          </w:p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/>
                <w:sz w:val="16"/>
              </w:rPr>
              <w:t xml:space="preserve">Waveform: </w:t>
            </w:r>
            <w:r>
              <w:rPr>
                <w:rFonts w:ascii="Aptos" w:hAnsi="Aptos"/>
                <w:b w:val="0"/>
                <w:sz w:val="16"/>
              </w:rPr>
              <w:t>Narrowband sources, spatial compression, mixed-resolution ADCs, and MUSIC.</w:t>
            </w:r>
          </w:p>
        </w:tc>
        <w:tc>
          <w:tcPr>
            <w:tcW w:type="dxa" w:w="6206"/>
            <w:shd w:fill="FFFFFF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20" w:line="247" w:lineRule="auto"/>
              <w:jc w:val="left"/>
            </w:pPr>
            <w:r/>
            <w:r>
              <w:rPr>
                <w:rFonts w:ascii="Aptos" w:hAnsi="Aptos"/>
                <w:b/>
                <w:sz w:val="16"/>
              </w:rPr>
              <w:t xml:space="preserve">Reported: </w:t>
            </w:r>
            <w:r>
              <w:rPr>
                <w:rFonts w:ascii="Aptos" w:hAnsi="Aptos"/>
                <w:b w:val="0"/>
                <w:sz w:val="16"/>
              </w:rPr>
              <w:t>Five and six sources resolved at 20 dB SNR with 100 snapshots. Mixed-ADC RMSE lies between all-high- and all-low-resolution cases; maximum reported degrees of freedom remains 25.</w:t>
            </w:r>
          </w:p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/>
                <w:sz w:val="16"/>
              </w:rPr>
              <w:t xml:space="preserve">Compared against: </w:t>
            </w:r>
            <w:r>
              <w:rPr>
                <w:rFonts w:ascii="Aptos" w:hAnsi="Aptos"/>
                <w:b w:val="0"/>
                <w:sz w:val="16"/>
              </w:rPr>
              <w:t>Traditional compressed arrays with all high-resolution or all low-resolution ADCs, using MUSIC for all schemes; simulated RMSE versus the derived CRB; and the earlier compressed sparse-array CRB.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20" w:line="247" w:lineRule="auto"/>
              <w:jc w:val="left"/>
            </w:pPr>
            <w:r/>
            <w:r>
              <w:rPr>
                <w:rFonts w:ascii="Aptos" w:hAnsi="Aptos"/>
                <w:b/>
                <w:sz w:val="16"/>
              </w:rPr>
              <w:t>Bai et al., 2023</w:t>
            </w:r>
            <w:r>
              <w:rPr>
                <w:rFonts w:ascii="Aptos" w:hAnsi="Aptos"/>
                <w:b w:val="0"/>
                <w:sz w:val="16"/>
              </w:rPr>
            </w:r>
          </w:p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/>
                <w:sz w:val="16"/>
              </w:rPr>
              <w:t xml:space="preserve">Paper: </w:t>
            </w:r>
            <w:r>
              <w:rPr>
                <w:rFonts w:ascii="Aptos" w:hAnsi="Aptos"/>
                <w:b w:val="0"/>
                <w:sz w:val="16"/>
              </w:rPr>
              <w:t>1-Bit Programmable Metasurface-Based 2-D Direction Finding</w:t>
            </w:r>
          </w:p>
        </w:tc>
        <w:tc>
          <w:tcPr>
            <w:tcW w:type="dxa" w:w="2520"/>
            <w:shd w:fill="FFFFFF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20" w:line="247" w:lineRule="auto"/>
              <w:jc w:val="left"/>
            </w:pPr>
            <w:r/>
            <w:r>
              <w:rPr>
                <w:rFonts w:ascii="Aptos" w:hAnsi="Aptos"/>
                <w:b/>
                <w:sz w:val="16"/>
              </w:rPr>
              <w:t xml:space="preserve">Validation: </w:t>
            </w:r>
            <w:r>
              <w:rPr>
                <w:rFonts w:ascii="Aptos" w:hAnsi="Aptos"/>
                <w:b w:val="0"/>
                <w:sz w:val="16"/>
              </w:rPr>
              <w:t>Numerical and indoor laboratory.</w:t>
            </w:r>
          </w:p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/>
                <w:sz w:val="16"/>
              </w:rPr>
              <w:t xml:space="preserve">Scenario: </w:t>
            </w:r>
            <w:r>
              <w:rPr>
                <w:rFonts w:ascii="Aptos" w:hAnsi="Aptos"/>
                <w:b w:val="0"/>
                <w:sz w:val="16"/>
              </w:rPr>
              <w:t>Far-field horn and turntable. Experiment validates elevation only; full 2-D operation is numerical.</w:t>
            </w:r>
          </w:p>
        </w:tc>
        <w:tc>
          <w:tcPr>
            <w:tcW w:type="dxa" w:w="1512"/>
            <w:shd w:fill="FFFFFF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20" w:line="247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 xml:space="preserve">Simulation: </w:t>
            </w:r>
            <w:r>
              <w:rPr>
                <w:rFonts w:ascii="Aptos" w:hAnsi="Aptos"/>
                <w:b w:val="0"/>
                <w:sz w:val="16"/>
              </w:rPr>
              <w:t>2.4 GHz.</w:t>
            </w:r>
          </w:p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/>
                <w:sz w:val="16"/>
              </w:rPr>
              <w:t xml:space="preserve">Experiment: </w:t>
            </w:r>
            <w:r>
              <w:rPr>
                <w:rFonts w:ascii="Aptos" w:hAnsi="Aptos"/>
                <w:b w:val="0"/>
                <w:sz w:val="16"/>
              </w:rPr>
              <w:t>29 GHz.</w:t>
            </w:r>
          </w:p>
        </w:tc>
        <w:tc>
          <w:tcPr>
            <w:tcW w:type="dxa" w:w="2304"/>
            <w:shd w:fill="FFFFFF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20" w:line="247" w:lineRule="auto"/>
              <w:jc w:val="left"/>
            </w:pPr>
            <w:r/>
            <w:r>
              <w:rPr>
                <w:rFonts w:ascii="Aptos" w:hAnsi="Aptos"/>
                <w:b/>
                <w:sz w:val="16"/>
              </w:rPr>
              <w:t xml:space="preserve">Standard: </w:t>
            </w:r>
            <w:r>
              <w:rPr>
                <w:rFonts w:ascii="Aptos" w:hAnsi="Aptos"/>
                <w:b w:val="0"/>
                <w:sz w:val="16"/>
              </w:rPr>
              <w:t>None.</w:t>
            </w:r>
          </w:p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/>
                <w:sz w:val="16"/>
              </w:rPr>
              <w:t xml:space="preserve">Waveform: </w:t>
            </w:r>
            <w:r>
              <w:rPr>
                <w:rFonts w:ascii="Aptos" w:hAnsi="Aptos"/>
                <w:b w:val="0"/>
                <w:sz w:val="16"/>
              </w:rPr>
              <w:t>Single-tone continuous wave, time modulation, harmonic ratios, and FFT.</w:t>
            </w:r>
          </w:p>
        </w:tc>
        <w:tc>
          <w:tcPr>
            <w:tcW w:type="dxa" w:w="6206"/>
            <w:shd w:fill="FFFFFF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20" w:line="247" w:lineRule="auto"/>
              <w:jc w:val="left"/>
            </w:pPr>
            <w:r/>
            <w:r>
              <w:rPr>
                <w:rFonts w:ascii="Aptos" w:hAnsi="Aptos"/>
                <w:b/>
                <w:sz w:val="16"/>
              </w:rPr>
              <w:t xml:space="preserve">Reported: </w:t>
            </w:r>
            <w:r>
              <w:rPr>
                <w:rFonts w:ascii="Aptos" w:hAnsi="Aptos"/>
                <w:b w:val="0"/>
                <w:sz w:val="16"/>
              </w:rPr>
              <w:t>Experimental direction-finding MSE about 0.21 degrees for 14 angles from 0 to 6.5 degrees. Numerical azimuth/elevation MSE approaches zero at high SNR.</w:t>
            </w:r>
          </w:p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/>
                <w:sz w:val="16"/>
              </w:rPr>
              <w:t xml:space="preserve">Compared against: </w:t>
            </w:r>
            <w:r>
              <w:rPr>
                <w:rFonts w:ascii="Aptos" w:hAnsi="Aptos"/>
                <w:b w:val="0"/>
                <w:sz w:val="16"/>
              </w:rPr>
              <w:t>Preset turntable angles and the analytical harmonic-ratio mapping. Related MUSIC and OMP methods are discussed, but no matched head-to-head estimator baseline is presented.</w:t>
            </w:r>
          </w:p>
        </w:tc>
      </w:tr>
      <w:tr>
        <w:trPr>
          <w:cantSplit/>
        </w:trPr>
        <w:tc>
          <w:tcPr>
            <w:tcW w:type="dxa" w:w="2088"/>
            <w:shd w:fill="FFFFFF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20" w:line="247" w:lineRule="auto"/>
              <w:jc w:val="left"/>
            </w:pPr>
            <w:r/>
            <w:r>
              <w:rPr>
                <w:rFonts w:ascii="Aptos" w:hAnsi="Aptos"/>
                <w:b/>
                <w:sz w:val="16"/>
              </w:rPr>
              <w:t>Fang et al., 2024</w:t>
            </w:r>
            <w:r>
              <w:rPr>
                <w:rFonts w:ascii="Aptos" w:hAnsi="Aptos"/>
                <w:b w:val="0"/>
                <w:sz w:val="16"/>
              </w:rPr>
            </w:r>
          </w:p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/>
                <w:sz w:val="16"/>
              </w:rPr>
              <w:t xml:space="preserve">Paper: </w:t>
            </w:r>
            <w:r>
              <w:rPr>
                <w:rFonts w:ascii="Aptos" w:hAnsi="Aptos"/>
                <w:b w:val="0"/>
                <w:sz w:val="16"/>
              </w:rPr>
              <w:t>Multifunctional Space-Time-Modulated Metasurface for DoA and RCS</w:t>
            </w:r>
          </w:p>
        </w:tc>
        <w:tc>
          <w:tcPr>
            <w:tcW w:type="dxa" w:w="2520"/>
            <w:shd w:fill="FFFFFF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20" w:line="247" w:lineRule="auto"/>
              <w:jc w:val="left"/>
            </w:pPr>
            <w:r/>
            <w:r>
              <w:rPr>
                <w:rFonts w:ascii="Aptos" w:hAnsi="Aptos"/>
                <w:b/>
                <w:sz w:val="16"/>
              </w:rPr>
              <w:t xml:space="preserve">Validation: </w:t>
            </w:r>
            <w:r>
              <w:rPr>
                <w:rFonts w:ascii="Aptos" w:hAnsi="Aptos"/>
                <w:b w:val="0"/>
                <w:sz w:val="16"/>
              </w:rPr>
              <w:t>Analytical, Monte Carlo, CST full-wave, and indoor X-band experiment.</w:t>
            </w:r>
          </w:p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/>
                <w:sz w:val="16"/>
              </w:rPr>
              <w:t xml:space="preserve">Scenario: </w:t>
            </w:r>
            <w:r>
              <w:rPr>
                <w:rFonts w:ascii="Aptos" w:hAnsi="Aptos"/>
                <w:b w:val="0"/>
                <w:sz w:val="16"/>
              </w:rPr>
              <w:t>Controlled horn/plane-wave measurements with a fabricated surface.</w:t>
            </w:r>
          </w:p>
        </w:tc>
        <w:tc>
          <w:tcPr>
            <w:tcW w:type="dxa" w:w="1512"/>
            <w:shd w:fill="FFFFFF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20" w:line="247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 xml:space="preserve">Carrier: </w:t>
            </w:r>
            <w:r>
              <w:rPr>
                <w:rFonts w:ascii="Aptos" w:hAnsi="Aptos"/>
                <w:b w:val="0"/>
                <w:sz w:val="16"/>
              </w:rPr>
              <w:t>9 GHz.</w:t>
            </w:r>
          </w:p>
          <w:p>
            <w:pPr>
              <w:spacing w:after="0" w:line="247" w:lineRule="auto"/>
              <w:jc w:val="center"/>
            </w:pPr>
            <w:r>
              <w:rPr>
                <w:rFonts w:ascii="Aptos" w:hAnsi="Aptos"/>
                <w:b/>
                <w:sz w:val="16"/>
              </w:rPr>
              <w:t xml:space="preserve">Modulation: </w:t>
            </w:r>
            <w:r>
              <w:rPr>
                <w:rFonts w:ascii="Aptos" w:hAnsi="Aptos"/>
                <w:b w:val="0"/>
                <w:sz w:val="16"/>
              </w:rPr>
              <w:t>1 kHz experimentally.</w:t>
            </w:r>
          </w:p>
        </w:tc>
        <w:tc>
          <w:tcPr>
            <w:tcW w:type="dxa" w:w="2304"/>
            <w:shd w:fill="FFFFFF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20" w:line="247" w:lineRule="auto"/>
              <w:jc w:val="left"/>
            </w:pPr>
            <w:r/>
            <w:r>
              <w:rPr>
                <w:rFonts w:ascii="Aptos" w:hAnsi="Aptos"/>
                <w:b/>
                <w:sz w:val="16"/>
              </w:rPr>
              <w:t xml:space="preserve">Standard: </w:t>
            </w:r>
            <w:r>
              <w:rPr>
                <w:rFonts w:ascii="Aptos" w:hAnsi="Aptos"/>
                <w:b w:val="0"/>
                <w:sz w:val="16"/>
              </w:rPr>
              <w:t>None.</w:t>
            </w:r>
          </w:p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/>
                <w:sz w:val="16"/>
              </w:rPr>
              <w:t xml:space="preserve">Waveform: </w:t>
            </w:r>
            <w:r>
              <w:rPr>
                <w:rFonts w:ascii="Aptos" w:hAnsi="Aptos"/>
                <w:b w:val="0"/>
                <w:sz w:val="16"/>
              </w:rPr>
              <w:t>Monochromatic continuous wave, binary modulation, harmonics, and MUSIC.</w:t>
            </w:r>
          </w:p>
        </w:tc>
        <w:tc>
          <w:tcPr>
            <w:tcW w:type="dxa" w:w="6206"/>
            <w:shd w:fill="FFFFFF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20" w:line="247" w:lineRule="auto"/>
              <w:jc w:val="left"/>
            </w:pPr>
            <w:r/>
            <w:r>
              <w:rPr>
                <w:rFonts w:ascii="Aptos" w:hAnsi="Aptos"/>
                <w:b/>
                <w:sz w:val="16"/>
              </w:rPr>
              <w:t xml:space="preserve">Reported: </w:t>
            </w:r>
            <w:r>
              <w:rPr>
                <w:rFonts w:ascii="Aptos" w:hAnsi="Aptos"/>
                <w:b w:val="0"/>
                <w:sz w:val="16"/>
              </w:rPr>
              <w:t>Experimental DoA error below 2 degrees over -50 to +50 degrees. Numerical MSE below 0.3 degrees over about -80 to +80 degrees at 10 dB; nonideal-state error below about 0.5 degrees.</w:t>
            </w:r>
          </w:p>
          <w:p>
            <w:pPr>
              <w:spacing w:after="0" w:line="247" w:lineRule="auto"/>
              <w:jc w:val="left"/>
            </w:pPr>
            <w:r>
              <w:rPr>
                <w:rFonts w:ascii="Aptos" w:hAnsi="Aptos"/>
                <w:b/>
                <w:sz w:val="16"/>
              </w:rPr>
              <w:t xml:space="preserve">Compared against: </w:t>
            </w:r>
            <w:r>
              <w:rPr>
                <w:rFonts w:ascii="Aptos" w:hAnsi="Aptos"/>
                <w:b w:val="0"/>
                <w:sz w:val="16"/>
              </w:rPr>
              <w:t>Known incident angles; analytical results versus full-wave simulation and experiment; and ideal states versus finite-isolation nonidealities. Prior dual-functionality is discussed, but no same-scenario accuracy baseline against another DoA estimator is given.</w:t>
            </w:r>
          </w:p>
        </w:tc>
      </w:tr>
    </w:tbl>
    <w:p>
      <w:pPr>
        <w:spacing w:before="120" w:after="40"/>
      </w:pPr>
      <w:r>
        <w:rPr>
          <w:rFonts w:ascii="Aptos" w:hAnsi="Aptos"/>
          <w:b/>
          <w:color w:val="1F4E79"/>
          <w:sz w:val="20"/>
        </w:rPr>
        <w:t>Reading notes</w:t>
      </w:r>
    </w:p>
    <w:p>
      <w:pPr>
        <w:spacing w:after="20" w:line="240" w:lineRule="auto"/>
        <w:ind w:left="259" w:hanging="202"/>
      </w:pPr>
      <w:r>
        <w:rPr>
          <w:rFonts w:ascii="Aptos" w:hAnsi="Aptos"/>
          <w:b/>
          <w:color w:val="1F4E79"/>
          <w:sz w:val="18"/>
        </w:rPr>
        <w:t xml:space="preserve">• </w:t>
      </w:r>
      <w:r>
        <w:rPr>
          <w:rFonts w:ascii="Aptos" w:hAnsi="Aptos"/>
          <w:b w:val="0"/>
          <w:sz w:val="18"/>
        </w:rPr>
        <w:t>None of the six papers reports Cartesian positioning error in meters or centimeters; outcomes are angular error, RMSE/MSE, 3-dB beamwidth, failure rate, or gap to a bound.</w:t>
      </w:r>
    </w:p>
    <w:p>
      <w:pPr>
        <w:spacing w:after="20" w:line="240" w:lineRule="auto"/>
        <w:ind w:left="259" w:hanging="202"/>
      </w:pPr>
      <w:r>
        <w:rPr>
          <w:rFonts w:ascii="Aptos" w:hAnsi="Aptos"/>
          <w:b/>
          <w:color w:val="1F4E79"/>
          <w:sz w:val="18"/>
        </w:rPr>
        <w:t xml:space="preserve">• </w:t>
      </w:r>
      <w:r>
        <w:rPr>
          <w:rFonts w:ascii="Aptos" w:hAnsi="Aptos"/>
          <w:b w:val="0"/>
          <w:sz w:val="18"/>
        </w:rPr>
        <w:t>Ground-truth or theory validation is not the same as a head-to-head estimator comparison; the last column distinguishes these cases.</w:t>
      </w:r>
    </w:p>
    <w:p>
      <w:pPr>
        <w:spacing w:after="20" w:line="240" w:lineRule="auto"/>
        <w:ind w:left="259" w:hanging="202"/>
      </w:pPr>
      <w:r>
        <w:rPr>
          <w:rFonts w:ascii="Aptos" w:hAnsi="Aptos"/>
          <w:b/>
          <w:color w:val="1F4E79"/>
          <w:sz w:val="18"/>
        </w:rPr>
        <w:t xml:space="preserve">• </w:t>
      </w:r>
      <w:r>
        <w:rPr>
          <w:rFonts w:ascii="Aptos" w:hAnsi="Aptos"/>
          <w:b w:val="0"/>
          <w:sz w:val="18"/>
        </w:rPr>
        <w:t>This is the master document for subsequent additions and corrections.</w:t>
      </w:r>
    </w:p>
    <w:sectPr w:rsidR="00FC693F" w:rsidRPr="0006063C" w:rsidSect="00034616">
      <w:footerReference w:type="default" r:id="rId9"/>
      <w:pgSz w:w="15840" w:h="12240" w:orient="landscape"/>
      <w:pgMar w:top="605" w:right="605" w:bottom="605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46464"/>
        <w:sz w:val="16"/>
      </w:rPr>
      <w:t xml:space="preserve">Metasurface DoA comparison  |  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Comparison of Attached DoA and Metasurface Contributions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