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6"/>
          <w:szCs w:val="36"/>
        </w:rPr>
        <w:t xml:space="preserve">Two-stage IFFL differentiator, counter and neuron</w:t>
      </w:r>
    </w:p>
    <w:p>
      <w:pPr>
        <w:spacing w:after="40"/>
      </w:pPr>
      <w:r>
        <w:rPr>
          <w:color w:val="5F5E5A"/>
          <w:sz w:val="26"/>
          <w:szCs w:val="26"/>
        </w:rPr>
        <w:t xml:space="preserve">Circuit specification and mapping status</w:t>
      </w:r>
    </w:p>
    <w:p>
      <w:pPr>
        <w:spacing w:after="200"/>
      </w:pPr>
      <w:r>
        <w:rPr>
          <w:color w:val="888780"/>
          <w:sz w:val="19"/>
          <w:szCs w:val="19"/>
        </w:rPr>
        <w:t xml:space="preserve">Target network: Puniya2021_TNM1055 (human T cell, 5179 reactions, 3153 metabolites) · 21 October 2026</w:t>
      </w:r>
    </w:p>
    <w:p>
      <w:pPr>
        <w:pBdr>
          <w:bottom w:val="single" w:color="1D6E56" w:sz="6"/>
        </w:pBdr>
        <w:spacing w:after="200" w:before="60"/>
      </w:pPr>
      <w:r>
        <w:rPr>
          <w:sz w:val="2"/>
          <w:szCs w:val="2"/>
        </w:rPr>
        <w:t xml:space="preserve"/>
      </w:r>
    </w:p>
    <w:p>
      <w:pPr>
        <w:spacing w:after="200" w:line="276"/>
      </w:pPr>
      <w:r>
        <w:rPr>
          <w:sz w:val="21"/>
          <w:szCs w:val="21"/>
        </w:rPr>
        <w:t xml:space="preserve">This document records the circuit as the mapping code currently builds it, the switches that define each variant, and an analysis of why the search has not yet returned a complete mapping. It is written so that the variants in </w:t>
      </w:r>
      <w:r>
        <w:rPr>
          <w:b/>
          <w:bCs/>
          <w:sz w:val="21"/>
          <w:szCs w:val="21"/>
        </w:rPr>
        <w:t xml:space="preserve">§5</w:t>
      </w:r>
      <w:r>
        <w:rPr>
          <w:sz w:val="21"/>
          <w:szCs w:val="21"/>
        </w:rPr>
        <w:t xml:space="preserve"> can be varied one at a time without re-deriving the rest.</w:t>
      </w:r>
    </w:p>
    <w:p>
      <w:pPr>
        <w:pStyle w:val="Heading1"/>
        <w:keepNext/>
        <w:spacing w:after="160" w:before="320"/>
      </w:pPr>
      <w:r>
        <w:t xml:space="preserve">1. Purpose and scope</w:t>
      </w:r>
    </w:p>
    <w:p>
      <w:pPr>
        <w:spacing w:after="120" w:line="276"/>
      </w:pPr>
      <w:r>
        <w:rPr>
          <w:sz w:val="21"/>
          <w:szCs w:val="21"/>
        </w:rPr>
        <w:t xml:space="preserve">The circuit computes a second derivative of a chemical input, counts the resulting events, and passes the count through a single affine neuron. It is built from four blocks:</w:t>
      </w:r>
    </w:p>
    <w:p>
      <w:pPr>
        <w:pStyle w:val="ListParagraph"/>
        <w:numPr>
          <w:ilvl w:val="0"/>
          <w:numId w:val="2"/>
        </w:numPr>
        <w:spacing w:after="80" w:line="276"/>
      </w:pPr>
      <w:r>
        <w:rPr>
          <w:b/>
          <w:bCs/>
          <w:sz w:val="21"/>
          <w:szCs w:val="21"/>
        </w:rPr>
        <w:t xml:space="preserve">Block 1 — differentiator 1. </w:t>
      </w:r>
      <w:r>
        <w:rPr>
          <w:sz w:val="21"/>
          <w:szCs w:val="21"/>
        </w:rPr>
        <w:t xml:space="preserve">Incoherent feed-forward loop (IFFL). Output </w:t>
      </w:r>
      <w:r>
        <w:rPr>
          <w:rFonts w:ascii="Consolas" w:cs="Consolas" w:eastAsia="Consolas" w:hAnsi="Consolas"/>
          <w:color w:val="333333"/>
          <w:sz w:val="21"/>
          <w:szCs w:val="21"/>
        </w:rPr>
        <w:t xml:space="preserve">m_d1</w:t>
      </w:r>
      <w:r>
        <w:rPr>
          <w:sz w:val="21"/>
          <w:szCs w:val="21"/>
        </w:rPr>
        <w:t xml:space="preserve"> encodes the first derivative of the input.</w:t>
      </w:r>
    </w:p>
    <w:p>
      <w:pPr>
        <w:pStyle w:val="ListParagraph"/>
        <w:numPr>
          <w:ilvl w:val="0"/>
          <w:numId w:val="2"/>
        </w:numPr>
        <w:spacing w:after="80" w:line="276"/>
      </w:pPr>
      <w:r>
        <w:rPr>
          <w:b/>
          <w:bCs/>
          <w:sz w:val="21"/>
          <w:szCs w:val="21"/>
        </w:rPr>
        <w:t xml:space="preserve">Block 2 — differentiator 2. </w:t>
      </w:r>
      <w:r>
        <w:rPr>
          <w:sz w:val="21"/>
          <w:szCs w:val="21"/>
        </w:rPr>
        <w:t xml:space="preserve">The same primitive applied to </w:t>
      </w:r>
      <w:r>
        <w:rPr>
          <w:rFonts w:ascii="Consolas" w:cs="Consolas" w:eastAsia="Consolas" w:hAnsi="Consolas"/>
          <w:color w:val="333333"/>
          <w:sz w:val="21"/>
          <w:szCs w:val="21"/>
        </w:rPr>
        <w:t xml:space="preserve">m_d1</w:t>
      </w:r>
      <w:r>
        <w:rPr>
          <w:sz w:val="21"/>
          <w:szCs w:val="21"/>
        </w:rPr>
        <w:t xml:space="preserve">. Output </w:t>
      </w:r>
      <w:r>
        <w:rPr>
          <w:rFonts w:ascii="Consolas" w:cs="Consolas" w:eastAsia="Consolas" w:hAnsi="Consolas"/>
          <w:color w:val="333333"/>
          <w:sz w:val="21"/>
          <w:szCs w:val="21"/>
        </w:rPr>
        <w:t xml:space="preserve">m_d2</w:t>
      </w:r>
      <w:r>
        <w:rPr>
          <w:sz w:val="21"/>
          <w:szCs w:val="21"/>
        </w:rPr>
        <w:t xml:space="preserve"> encodes the second derivative.</w:t>
      </w:r>
    </w:p>
    <w:p>
      <w:pPr>
        <w:pStyle w:val="ListParagraph"/>
        <w:numPr>
          <w:ilvl w:val="0"/>
          <w:numId w:val="2"/>
        </w:numPr>
        <w:spacing w:after="80" w:line="276"/>
      </w:pPr>
      <w:r>
        <w:rPr>
          <w:b/>
          <w:bCs/>
          <w:sz w:val="21"/>
          <w:szCs w:val="21"/>
        </w:rPr>
        <w:t xml:space="preserve">Block 3 — counter. </w:t>
      </w:r>
      <w:r>
        <w:rPr>
          <w:sz w:val="21"/>
          <w:szCs w:val="21"/>
        </w:rPr>
        <w:t xml:space="preserve">Converts </w:t>
      </w:r>
      <w:r>
        <w:rPr>
          <w:rFonts w:ascii="Consolas" w:cs="Consolas" w:eastAsia="Consolas" w:hAnsi="Consolas"/>
          <w:color w:val="333333"/>
          <w:sz w:val="21"/>
          <w:szCs w:val="21"/>
        </w:rPr>
        <w:t xml:space="preserve">m_d2</w:t>
      </w:r>
      <w:r>
        <w:rPr>
          <w:sz w:val="21"/>
          <w:szCs w:val="21"/>
        </w:rPr>
        <w:t xml:space="preserve"> into an accumulating species </w:t>
      </w:r>
      <w:r>
        <w:rPr>
          <w:rFonts w:ascii="Consolas" w:cs="Consolas" w:eastAsia="Consolas" w:hAnsi="Consolas"/>
          <w:color w:val="333333"/>
          <w:sz w:val="21"/>
          <w:szCs w:val="21"/>
        </w:rPr>
        <w:t xml:space="preserve">m_c</w:t>
      </w:r>
      <w:r>
        <w:rPr>
          <w:sz w:val="21"/>
          <w:szCs w:val="21"/>
        </w:rPr>
        <w:t xml:space="preserve">, with reset and input sequestration.</w:t>
      </w:r>
    </w:p>
    <w:p>
      <w:pPr>
        <w:pStyle w:val="ListParagraph"/>
        <w:numPr>
          <w:ilvl w:val="0"/>
          <w:numId w:val="2"/>
        </w:numPr>
        <w:spacing w:after="80" w:line="276"/>
      </w:pPr>
      <w:r>
        <w:rPr>
          <w:b/>
          <w:bCs/>
          <w:sz w:val="21"/>
          <w:szCs w:val="21"/>
        </w:rPr>
        <w:t xml:space="preserve">Block 4 — single neuron. </w:t>
      </w:r>
      <w:r>
        <w:rPr>
          <w:sz w:val="21"/>
          <w:szCs w:val="21"/>
        </w:rPr>
        <w:t xml:space="preserve">Reads </w:t>
      </w:r>
      <w:r>
        <w:rPr>
          <w:rFonts w:ascii="Consolas" w:cs="Consolas" w:eastAsia="Consolas" w:hAnsi="Consolas"/>
          <w:color w:val="333333"/>
          <w:sz w:val="21"/>
          <w:szCs w:val="21"/>
        </w:rPr>
        <w:t xml:space="preserve">m_c</w:t>
      </w:r>
      <w:r>
        <w:rPr>
          <w:sz w:val="21"/>
          <w:szCs w:val="21"/>
        </w:rPr>
        <w:t xml:space="preserve"> catalytically, adds a bias, and produces </w:t>
      </w:r>
      <w:r>
        <w:rPr>
          <w:rFonts w:ascii="Consolas" w:cs="Consolas" w:eastAsia="Consolas" w:hAnsi="Consolas"/>
          <w:color w:val="333333"/>
          <w:sz w:val="21"/>
          <w:szCs w:val="21"/>
        </w:rPr>
        <w:t xml:space="preserve">m_out</w:t>
      </w:r>
      <w:r>
        <w:rPr>
          <w:sz w:val="21"/>
          <w:szCs w:val="21"/>
        </w:rPr>
        <w:t xml:space="preserve"> = w[m_c] + m_b.</w:t>
      </w:r>
    </w:p>
    <w:p>
      <w:pPr>
        <w:spacing w:after="180" w:line="276"/>
      </w:pPr>
      <w:r>
        <w:rPr>
          <w:sz w:val="21"/>
          <w:szCs w:val="21"/>
        </w:rPr>
        <w:t xml:space="preserve">The intended physical realisation is a cell-free reactor in which every enzyme and substrate is loaded deliberately. This matters throughout: co-substrates are saturated by design, removal steps may be supplied rather than borrowed from metabolism, and rate constants are set by enzyme loading rather than inherited from the cell.</w:t>
      </w:r>
    </w:p>
    <w:p>
      <w:pPr>
        <w:pStyle w:val="Heading1"/>
        <w:keepNext/>
        <w:spacing w:after="160" w:before="320"/>
      </w:pPr>
      <w:r>
        <w:t xml:space="preserve">2. Nomenclature</w:t>
      </w:r>
    </w:p>
    <w:p>
      <w:pPr>
        <w:spacing w:after="120" w:line="276"/>
      </w:pPr>
      <w:r>
        <w:rPr>
          <w:sz w:val="21"/>
          <w:szCs w:val="21"/>
        </w:rPr>
        <w:t xml:space="preserve">Every role carries a block suffix: </w:t>
      </w:r>
      <w:r>
        <w:rPr>
          <w:rFonts w:ascii="Consolas" w:cs="Consolas" w:eastAsia="Consolas" w:hAnsi="Consolas"/>
          <w:color w:val="333333"/>
          <w:sz w:val="21"/>
          <w:szCs w:val="21"/>
        </w:rPr>
        <w:t xml:space="preserve">_1</w:t>
      </w:r>
      <w:r>
        <w:rPr>
          <w:sz w:val="21"/>
          <w:szCs w:val="21"/>
        </w:rPr>
        <w:t xml:space="preserve"> for differentiator 1, </w:t>
      </w:r>
      <w:r>
        <w:rPr>
          <w:rFonts w:ascii="Consolas" w:cs="Consolas" w:eastAsia="Consolas" w:hAnsi="Consolas"/>
          <w:color w:val="333333"/>
          <w:sz w:val="21"/>
          <w:szCs w:val="21"/>
        </w:rPr>
        <w:t xml:space="preserve">_2</w:t>
      </w:r>
      <w:r>
        <w:rPr>
          <w:sz w:val="21"/>
          <w:szCs w:val="21"/>
        </w:rPr>
        <w:t xml:space="preserve"> for differentiator 2. Species that cross blocks keep unsuffixed names. The invariant is that a reaction and the species it produces share a name: </w:t>
      </w:r>
      <w:r>
        <w:rPr>
          <w:rFonts w:ascii="Consolas" w:cs="Consolas" w:eastAsia="Consolas" w:hAnsi="Consolas"/>
          <w:color w:val="333333"/>
          <w:sz w:val="21"/>
          <w:szCs w:val="21"/>
        </w:rPr>
        <w:t xml:space="preserve">r_Sf_1</w:t>
      </w:r>
      <w:r>
        <w:rPr>
          <w:sz w:val="21"/>
          <w:szCs w:val="21"/>
        </w:rPr>
        <w:t xml:space="preserve"> produces </w:t>
      </w:r>
      <w:r>
        <w:rPr>
          <w:rFonts w:ascii="Consolas" w:cs="Consolas" w:eastAsia="Consolas" w:hAnsi="Consolas"/>
          <w:color w:val="333333"/>
          <w:sz w:val="21"/>
          <w:szCs w:val="21"/>
        </w:rPr>
        <w:t xml:space="preserve">m_Sf_1</w:t>
      </w:r>
      <w:r>
        <w:rPr>
          <w:sz w:val="21"/>
          <w:szCs w:val="21"/>
        </w:rPr>
        <w:t xml:space="preserve">.</w:t>
      </w:r>
    </w:p>
    <w:tbl>
      <w:tblPr>
        <w:tblW w:type="dxa" w:w="9360"/>
        <w:tblBorders>
          <w:top w:val="single" w:color="C9C7BE" w:sz="2"/>
          <w:left w:val="none"/>
          <w:bottom w:val="single" w:color="C9C7BE" w:sz="2"/>
          <w:right w:val="none"/>
          <w:insideH w:val="single" w:color="DEDCD4" w:sz="2"/>
          <w:insideV w:val="none"/>
        </w:tblBorders>
      </w:tblPr>
      <w:tblGrid>
        <w:gridCol w:w="3000"/>
        <w:gridCol w:w="6360"/>
      </w:tblGrid>
      <w:tr>
        <w:trPr>
          <w:tblHeader/>
        </w:trPr>
        <w:tc>
          <w:tcPr>
            <w:tcW w:type="dxa" w:w="3000"/>
            <w:shd w:fill="1D6E56" w:val="clear"/>
            <w:tcMar>
              <w:top w:type="dxa" w:w="70"/>
              <w:left w:type="dxa" w:w="110"/>
              <w:bottom w:type="dxa" w:w="70"/>
              <w:right w:type="dxa" w:w="110"/>
            </w:tcMar>
          </w:tcPr>
          <w:p>
            <w:pPr>
              <w:spacing w:after="0" w:line="252"/>
            </w:pPr>
            <w:r>
              <w:rPr>
                <w:b/>
                <w:bCs/>
                <w:color w:val="FFFFFF"/>
                <w:sz w:val="19"/>
                <w:szCs w:val="19"/>
              </w:rPr>
              <w:t xml:space="preserve">Symbol</w:t>
            </w:r>
          </w:p>
        </w:tc>
        <w:tc>
          <w:tcPr>
            <w:tcW w:type="dxa" w:w="6360"/>
            <w:shd w:fill="1D6E56" w:val="clear"/>
            <w:tcMar>
              <w:top w:type="dxa" w:w="70"/>
              <w:left w:type="dxa" w:w="110"/>
              <w:bottom w:type="dxa" w:w="70"/>
              <w:right w:type="dxa" w:w="110"/>
            </w:tcMar>
          </w:tcPr>
          <w:p>
            <w:pPr>
              <w:spacing w:after="0" w:line="252"/>
            </w:pPr>
            <w:r>
              <w:rPr>
                <w:b/>
                <w:bCs/>
                <w:color w:val="FFFFFF"/>
                <w:sz w:val="19"/>
                <w:szCs w:val="19"/>
              </w:rPr>
              <w:t xml:space="preserve">Role</w:t>
            </w:r>
          </w:p>
        </w:tc>
      </w:tr>
      <w:tr>
        <w:trPr>
          <w:tblHeader w:val="off"/>
        </w:trPr>
        <w:tc>
          <w:tcPr>
            <w:tcW w:type="dxa" w:w="3000"/>
            <w:tcMar>
              <w:top w:type="dxa" w:w="70"/>
              <w:left w:type="dxa" w:w="110"/>
              <w:bottom w:type="dxa" w:w="70"/>
              <w:right w:type="dxa" w:w="110"/>
            </w:tcMar>
          </w:tcPr>
          <w:p>
            <w:pPr>
              <w:spacing w:after="0" w:line="252"/>
            </w:pPr>
            <w:r>
              <w:rPr>
                <w:rFonts w:ascii="Consolas" w:cs="Consolas" w:eastAsia="Consolas" w:hAnsi="Consolas"/>
                <w:color w:val="333333"/>
                <w:sz w:val="19"/>
                <w:szCs w:val="19"/>
              </w:rPr>
              <w:t xml:space="preserve">r_Fd_k</w:t>
            </w:r>
          </w:p>
        </w:tc>
        <w:tc>
          <w:tcPr>
            <w:tcW w:type="dxa" w:w="6360"/>
            <w:tcMar>
              <w:top w:type="dxa" w:w="70"/>
              <w:left w:type="dxa" w:w="110"/>
              <w:bottom w:type="dxa" w:w="70"/>
              <w:right w:type="dxa" w:w="110"/>
            </w:tcMar>
          </w:tcPr>
          <w:p>
            <w:pPr>
              <w:spacing w:after="0" w:line="252"/>
            </w:pPr>
            <w:r>
              <w:rPr>
                <w:sz w:val="19"/>
                <w:szCs w:val="19"/>
              </w:rPr>
              <w:t xml:space="preserve">Fast arm. Produces the gate from the stage input.</w:t>
            </w:r>
          </w:p>
        </w:tc>
      </w:tr>
      <w:tr>
        <w:trPr>
          <w:tblHeader w:val="off"/>
        </w:trPr>
        <w:tc>
          <w:tcPr>
            <w:tcW w:type="dxa" w:w="3000"/>
            <w:tcMar>
              <w:top w:type="dxa" w:w="70"/>
              <w:left w:type="dxa" w:w="110"/>
              <w:bottom w:type="dxa" w:w="70"/>
              <w:right w:type="dxa" w:w="110"/>
            </w:tcMar>
          </w:tcPr>
          <w:p>
            <w:pPr>
              <w:spacing w:after="0" w:line="252"/>
            </w:pPr>
            <w:r>
              <w:rPr>
                <w:rFonts w:ascii="Consolas" w:cs="Consolas" w:eastAsia="Consolas" w:hAnsi="Consolas"/>
                <w:color w:val="333333"/>
                <w:sz w:val="19"/>
                <w:szCs w:val="19"/>
              </w:rPr>
              <w:t xml:space="preserve">m_Fd_k</w:t>
            </w:r>
          </w:p>
        </w:tc>
        <w:tc>
          <w:tcPr>
            <w:tcW w:type="dxa" w:w="6360"/>
            <w:tcMar>
              <w:top w:type="dxa" w:w="70"/>
              <w:left w:type="dxa" w:w="110"/>
              <w:bottom w:type="dxa" w:w="70"/>
              <w:right w:type="dxa" w:w="110"/>
            </w:tcMar>
          </w:tcPr>
          <w:p>
            <w:pPr>
              <w:spacing w:after="0" w:line="252"/>
            </w:pPr>
            <w:r>
              <w:rPr>
                <w:sz w:val="19"/>
                <w:szCs w:val="19"/>
              </w:rPr>
              <w:t xml:space="preserve">Gate. Activates the degrader catalytically; never consumed by it.</w:t>
            </w:r>
          </w:p>
        </w:tc>
      </w:tr>
      <w:tr>
        <w:trPr>
          <w:tblHeader w:val="off"/>
        </w:trPr>
        <w:tc>
          <w:tcPr>
            <w:tcW w:type="dxa" w:w="3000"/>
            <w:tcMar>
              <w:top w:type="dxa" w:w="70"/>
              <w:left w:type="dxa" w:w="110"/>
              <w:bottom w:type="dxa" w:w="70"/>
              <w:right w:type="dxa" w:w="110"/>
            </w:tcMar>
          </w:tcPr>
          <w:p>
            <w:pPr>
              <w:spacing w:after="0" w:line="252"/>
            </w:pPr>
            <w:r>
              <w:rPr>
                <w:rFonts w:ascii="Consolas" w:cs="Consolas" w:eastAsia="Consolas" w:hAnsi="Consolas"/>
                <w:color w:val="333333"/>
                <w:sz w:val="19"/>
                <w:szCs w:val="19"/>
              </w:rPr>
              <w:t xml:space="preserve">r_Fr_k</w:t>
            </w:r>
          </w:p>
        </w:tc>
        <w:tc>
          <w:tcPr>
            <w:tcW w:type="dxa" w:w="6360"/>
            <w:tcMar>
              <w:top w:type="dxa" w:w="70"/>
              <w:left w:type="dxa" w:w="110"/>
              <w:bottom w:type="dxa" w:w="70"/>
              <w:right w:type="dxa" w:w="110"/>
            </w:tcMar>
          </w:tcPr>
          <w:p>
            <w:pPr>
              <w:spacing w:after="0" w:line="252"/>
            </w:pPr>
            <w:r>
              <w:rPr>
                <w:sz w:val="19"/>
                <w:szCs w:val="19"/>
              </w:rPr>
              <w:t xml:space="preserve">Gate removal. Clears m_Fd_k so the gate can fall again.</w:t>
            </w:r>
          </w:p>
        </w:tc>
      </w:tr>
      <w:tr>
        <w:trPr>
          <w:tblHeader w:val="off"/>
        </w:trPr>
        <w:tc>
          <w:tcPr>
            <w:tcW w:type="dxa" w:w="3000"/>
            <w:tcMar>
              <w:top w:type="dxa" w:w="70"/>
              <w:left w:type="dxa" w:w="110"/>
              <w:bottom w:type="dxa" w:w="70"/>
              <w:right w:type="dxa" w:w="110"/>
            </w:tcMar>
          </w:tcPr>
          <w:p>
            <w:pPr>
              <w:spacing w:after="0" w:line="252"/>
            </w:pPr>
            <w:r>
              <w:rPr>
                <w:rFonts w:ascii="Consolas" w:cs="Consolas" w:eastAsia="Consolas" w:hAnsi="Consolas"/>
                <w:color w:val="333333"/>
                <w:sz w:val="19"/>
                <w:szCs w:val="19"/>
              </w:rPr>
              <w:t xml:space="preserve">r_Sf_k</w:t>
            </w:r>
            <w:r>
              <w:rPr>
                <w:sz w:val="19"/>
                <w:szCs w:val="19"/>
              </w:rPr>
              <w:t xml:space="preserve">, </w:t>
            </w:r>
            <w:r>
              <w:rPr>
                <w:rFonts w:ascii="Consolas" w:cs="Consolas" w:eastAsia="Consolas" w:hAnsi="Consolas"/>
                <w:color w:val="333333"/>
                <w:sz w:val="19"/>
                <w:szCs w:val="19"/>
              </w:rPr>
              <w:t xml:space="preserve">r_Sd_k</w:t>
            </w:r>
          </w:p>
        </w:tc>
        <w:tc>
          <w:tcPr>
            <w:tcW w:type="dxa" w:w="6360"/>
            <w:tcMar>
              <w:top w:type="dxa" w:w="70"/>
              <w:left w:type="dxa" w:w="110"/>
              <w:bottom w:type="dxa" w:w="70"/>
              <w:right w:type="dxa" w:w="110"/>
            </w:tcMar>
          </w:tcPr>
          <w:p>
            <w:pPr>
              <w:spacing w:after="0" w:line="252"/>
            </w:pPr>
            <w:r>
              <w:rPr>
                <w:sz w:val="19"/>
                <w:szCs w:val="19"/>
              </w:rPr>
              <w:t xml:space="preserve">Slow arm, two reactions, via the intermediate m_Sf_k.</w:t>
            </w:r>
          </w:p>
        </w:tc>
      </w:tr>
      <w:tr>
        <w:trPr>
          <w:tblHeader w:val="off"/>
        </w:trPr>
        <w:tc>
          <w:tcPr>
            <w:tcW w:type="dxa" w:w="3000"/>
            <w:tcMar>
              <w:top w:type="dxa" w:w="70"/>
              <w:left w:type="dxa" w:w="110"/>
              <w:bottom w:type="dxa" w:w="70"/>
              <w:right w:type="dxa" w:w="110"/>
            </w:tcMar>
          </w:tcPr>
          <w:p>
            <w:pPr>
              <w:spacing w:after="0" w:line="252"/>
            </w:pPr>
            <w:r>
              <w:rPr>
                <w:rFonts w:ascii="Consolas" w:cs="Consolas" w:eastAsia="Consolas" w:hAnsi="Consolas"/>
                <w:color w:val="333333"/>
                <w:sz w:val="19"/>
                <w:szCs w:val="19"/>
              </w:rPr>
              <w:t xml:space="preserve">m_d1</w:t>
            </w:r>
            <w:r>
              <w:rPr>
                <w:sz w:val="19"/>
                <w:szCs w:val="19"/>
              </w:rPr>
              <w:t xml:space="preserve">, </w:t>
            </w:r>
            <w:r>
              <w:rPr>
                <w:rFonts w:ascii="Consolas" w:cs="Consolas" w:eastAsia="Consolas" w:hAnsi="Consolas"/>
                <w:color w:val="333333"/>
                <w:sz w:val="19"/>
                <w:szCs w:val="19"/>
              </w:rPr>
              <w:t xml:space="preserve">m_d2</w:t>
            </w:r>
          </w:p>
        </w:tc>
        <w:tc>
          <w:tcPr>
            <w:tcW w:type="dxa" w:w="6360"/>
            <w:tcMar>
              <w:top w:type="dxa" w:w="70"/>
              <w:left w:type="dxa" w:w="110"/>
              <w:bottom w:type="dxa" w:w="70"/>
              <w:right w:type="dxa" w:w="110"/>
            </w:tcMar>
          </w:tcPr>
          <w:p>
            <w:pPr>
              <w:spacing w:after="0" w:line="252"/>
            </w:pPr>
            <w:r>
              <w:rPr>
                <w:sz w:val="19"/>
                <w:szCs w:val="19"/>
              </w:rPr>
              <w:t xml:space="preserve">Stage outputs.</w:t>
            </w:r>
          </w:p>
        </w:tc>
      </w:tr>
      <w:tr>
        <w:trPr>
          <w:tblHeader w:val="off"/>
        </w:trPr>
        <w:tc>
          <w:tcPr>
            <w:tcW w:type="dxa" w:w="3000"/>
            <w:tcMar>
              <w:top w:type="dxa" w:w="70"/>
              <w:left w:type="dxa" w:w="110"/>
              <w:bottom w:type="dxa" w:w="70"/>
              <w:right w:type="dxa" w:w="110"/>
            </w:tcMar>
          </w:tcPr>
          <w:p>
            <w:pPr>
              <w:spacing w:after="0" w:line="252"/>
            </w:pPr>
            <w:r>
              <w:rPr>
                <w:rFonts w:ascii="Consolas" w:cs="Consolas" w:eastAsia="Consolas" w:hAnsi="Consolas"/>
                <w:color w:val="333333"/>
                <w:sz w:val="19"/>
                <w:szCs w:val="19"/>
              </w:rPr>
              <w:t xml:space="preserve">r_I_k</w:t>
            </w:r>
          </w:p>
        </w:tc>
        <w:tc>
          <w:tcPr>
            <w:tcW w:type="dxa" w:w="6360"/>
            <w:tcMar>
              <w:top w:type="dxa" w:w="70"/>
              <w:left w:type="dxa" w:w="110"/>
              <w:bottom w:type="dxa" w:w="70"/>
              <w:right w:type="dxa" w:w="110"/>
            </w:tcMar>
          </w:tcPr>
          <w:p>
            <w:pPr>
              <w:spacing w:after="0" w:line="252"/>
            </w:pPr>
            <w:r>
              <w:rPr>
                <w:sz w:val="19"/>
                <w:szCs w:val="19"/>
              </w:rPr>
              <w:t xml:space="preserve">Saturated degrader of the stage output, gated by m_Fd_k.</w:t>
            </w:r>
          </w:p>
        </w:tc>
      </w:tr>
      <w:tr>
        <w:trPr>
          <w:tblHeader w:val="off"/>
        </w:trPr>
        <w:tc>
          <w:tcPr>
            <w:tcW w:type="dxa" w:w="3000"/>
            <w:tcMar>
              <w:top w:type="dxa" w:w="70"/>
              <w:left w:type="dxa" w:w="110"/>
              <w:bottom w:type="dxa" w:w="70"/>
              <w:right w:type="dxa" w:w="110"/>
            </w:tcMar>
          </w:tcPr>
          <w:p>
            <w:pPr>
              <w:spacing w:after="0" w:line="252"/>
            </w:pPr>
            <w:r>
              <w:rPr>
                <w:rFonts w:ascii="Consolas" w:cs="Consolas" w:eastAsia="Consolas" w:hAnsi="Consolas"/>
                <w:color w:val="333333"/>
                <w:sz w:val="19"/>
                <w:szCs w:val="19"/>
              </w:rPr>
              <w:t xml:space="preserve">r_lk_k</w:t>
            </w:r>
          </w:p>
        </w:tc>
        <w:tc>
          <w:tcPr>
            <w:tcW w:type="dxa" w:w="6360"/>
            <w:tcMar>
              <w:top w:type="dxa" w:w="70"/>
              <w:left w:type="dxa" w:w="110"/>
              <w:bottom w:type="dxa" w:w="70"/>
              <w:right w:type="dxa" w:w="110"/>
            </w:tcMar>
          </w:tcPr>
          <w:p>
            <w:pPr>
              <w:spacing w:after="0" w:line="252"/>
            </w:pPr>
            <w:r>
              <w:rPr>
                <w:sz w:val="19"/>
                <w:szCs w:val="19"/>
              </w:rPr>
              <w:t xml:space="preserve">Output leak. Sets the resting level of the stage output.</w:t>
            </w:r>
          </w:p>
        </w:tc>
      </w:tr>
      <w:tr>
        <w:trPr>
          <w:tblHeader w:val="off"/>
        </w:trPr>
        <w:tc>
          <w:tcPr>
            <w:tcW w:type="dxa" w:w="3000"/>
            <w:tcMar>
              <w:top w:type="dxa" w:w="70"/>
              <w:left w:type="dxa" w:w="110"/>
              <w:bottom w:type="dxa" w:w="70"/>
              <w:right w:type="dxa" w:w="110"/>
            </w:tcMar>
          </w:tcPr>
          <w:p>
            <w:pPr>
              <w:spacing w:after="0" w:line="252"/>
            </w:pPr>
            <w:r>
              <w:rPr>
                <w:rFonts w:ascii="Consolas" w:cs="Consolas" w:eastAsia="Consolas" w:hAnsi="Consolas"/>
                <w:color w:val="333333"/>
                <w:sz w:val="19"/>
                <w:szCs w:val="19"/>
              </w:rPr>
              <w:t xml:space="preserve">r_A_2</w:t>
            </w:r>
            <w:r>
              <w:rPr>
                <w:sz w:val="19"/>
                <w:szCs w:val="19"/>
              </w:rPr>
              <w:t xml:space="preserve">, </w:t>
            </w:r>
            <w:r>
              <w:rPr>
                <w:rFonts w:ascii="Consolas" w:cs="Consolas" w:eastAsia="Consolas" w:hAnsi="Consolas"/>
                <w:color w:val="333333"/>
                <w:sz w:val="19"/>
                <w:szCs w:val="19"/>
              </w:rPr>
              <w:t xml:space="preserve">m_in_2</w:t>
            </w:r>
          </w:p>
        </w:tc>
        <w:tc>
          <w:tcPr>
            <w:tcW w:type="dxa" w:w="6360"/>
            <w:tcMar>
              <w:top w:type="dxa" w:w="70"/>
              <w:left w:type="dxa" w:w="110"/>
              <w:bottom w:type="dxa" w:w="70"/>
              <w:right w:type="dxa" w:w="110"/>
            </w:tcMar>
          </w:tcPr>
          <w:p>
            <w:pPr>
              <w:spacing w:after="0" w:line="252"/>
            </w:pPr>
            <w:r>
              <w:rPr>
                <w:sz w:val="19"/>
                <w:szCs w:val="19"/>
              </w:rPr>
              <w:t xml:space="preserve">Catalytic interstage and its product, D2’s input.</w:t>
            </w:r>
          </w:p>
        </w:tc>
      </w:tr>
      <w:tr>
        <w:trPr>
          <w:tblHeader w:val="off"/>
        </w:trPr>
        <w:tc>
          <w:tcPr>
            <w:tcW w:type="dxa" w:w="3000"/>
            <w:tcMar>
              <w:top w:type="dxa" w:w="70"/>
              <w:left w:type="dxa" w:w="110"/>
              <w:bottom w:type="dxa" w:w="70"/>
              <w:right w:type="dxa" w:w="110"/>
            </w:tcMar>
          </w:tcPr>
          <w:p>
            <w:pPr>
              <w:spacing w:after="0" w:line="252"/>
            </w:pPr>
            <w:r>
              <w:rPr>
                <w:rFonts w:ascii="Consolas" w:cs="Consolas" w:eastAsia="Consolas" w:hAnsi="Consolas"/>
                <w:color w:val="333333"/>
                <w:sz w:val="19"/>
                <w:szCs w:val="19"/>
              </w:rPr>
              <w:t xml:space="preserve">r_c</w:t>
            </w:r>
            <w:r>
              <w:rPr>
                <w:sz w:val="19"/>
                <w:szCs w:val="19"/>
              </w:rPr>
              <w:t xml:space="preserve">, </w:t>
            </w:r>
            <w:r>
              <w:rPr>
                <w:rFonts w:ascii="Consolas" w:cs="Consolas" w:eastAsia="Consolas" w:hAnsi="Consolas"/>
                <w:color w:val="333333"/>
                <w:sz w:val="19"/>
                <w:szCs w:val="19"/>
              </w:rPr>
              <w:t xml:space="preserve">m_c</w:t>
            </w:r>
          </w:p>
        </w:tc>
        <w:tc>
          <w:tcPr>
            <w:tcW w:type="dxa" w:w="6360"/>
            <w:tcMar>
              <w:top w:type="dxa" w:w="70"/>
              <w:left w:type="dxa" w:w="110"/>
              <w:bottom w:type="dxa" w:w="70"/>
              <w:right w:type="dxa" w:w="110"/>
            </w:tcMar>
          </w:tcPr>
          <w:p>
            <w:pPr>
              <w:spacing w:after="0" w:line="252"/>
            </w:pPr>
            <w:r>
              <w:rPr>
                <w:sz w:val="19"/>
                <w:szCs w:val="19"/>
              </w:rPr>
              <w:t xml:space="preserve">Counter production and counter state.</w:t>
            </w:r>
          </w:p>
        </w:tc>
      </w:tr>
      <w:tr>
        <w:trPr>
          <w:tblHeader w:val="off"/>
        </w:trPr>
        <w:tc>
          <w:tcPr>
            <w:tcW w:type="dxa" w:w="3000"/>
            <w:tcMar>
              <w:top w:type="dxa" w:w="70"/>
              <w:left w:type="dxa" w:w="110"/>
              <w:bottom w:type="dxa" w:w="70"/>
              <w:right w:type="dxa" w:w="110"/>
            </w:tcMar>
          </w:tcPr>
          <w:p>
            <w:pPr>
              <w:spacing w:after="0" w:line="252"/>
            </w:pPr>
            <w:r>
              <w:rPr>
                <w:rFonts w:ascii="Consolas" w:cs="Consolas" w:eastAsia="Consolas" w:hAnsi="Consolas"/>
                <w:color w:val="333333"/>
                <w:sz w:val="19"/>
                <w:szCs w:val="19"/>
              </w:rPr>
              <w:t xml:space="preserve">r_I1</w:t>
            </w:r>
            <w:r>
              <w:rPr>
                <w:sz w:val="19"/>
                <w:szCs w:val="19"/>
              </w:rPr>
              <w:t xml:space="preserve">, </w:t>
            </w:r>
            <w:r>
              <w:rPr>
                <w:rFonts w:ascii="Consolas" w:cs="Consolas" w:eastAsia="Consolas" w:hAnsi="Consolas"/>
                <w:color w:val="333333"/>
                <w:sz w:val="19"/>
                <w:szCs w:val="19"/>
              </w:rPr>
              <w:t xml:space="preserve">r_I2</w:t>
            </w:r>
          </w:p>
        </w:tc>
        <w:tc>
          <w:tcPr>
            <w:tcW w:type="dxa" w:w="6360"/>
            <w:tcMar>
              <w:top w:type="dxa" w:w="70"/>
              <w:left w:type="dxa" w:w="110"/>
              <w:bottom w:type="dxa" w:w="70"/>
              <w:right w:type="dxa" w:w="110"/>
            </w:tcMar>
          </w:tcPr>
          <w:p>
            <w:pPr>
              <w:spacing w:after="0" w:line="252"/>
            </w:pPr>
            <w:r>
              <w:rPr>
                <w:sz w:val="19"/>
                <w:szCs w:val="19"/>
              </w:rPr>
              <w:t xml:space="preserve">Counter reset and input sequestration.</w:t>
            </w:r>
          </w:p>
        </w:tc>
      </w:tr>
      <w:tr>
        <w:trPr>
          <w:tblHeader w:val="off"/>
        </w:trPr>
        <w:tc>
          <w:tcPr>
            <w:tcW w:type="dxa" w:w="3000"/>
            <w:tcMar>
              <w:top w:type="dxa" w:w="70"/>
              <w:left w:type="dxa" w:w="110"/>
              <w:bottom w:type="dxa" w:w="70"/>
              <w:right w:type="dxa" w:w="110"/>
            </w:tcMar>
          </w:tcPr>
          <w:p>
            <w:pPr>
              <w:spacing w:after="0" w:line="252"/>
            </w:pPr>
            <w:r>
              <w:rPr>
                <w:rFonts w:ascii="Consolas" w:cs="Consolas" w:eastAsia="Consolas" w:hAnsi="Consolas"/>
                <w:color w:val="333333"/>
                <w:sz w:val="19"/>
                <w:szCs w:val="19"/>
              </w:rPr>
              <w:t xml:space="preserve">r_Nw</w:t>
            </w:r>
            <w:r>
              <w:rPr>
                <w:sz w:val="19"/>
                <w:szCs w:val="19"/>
              </w:rPr>
              <w:t xml:space="preserve">, </w:t>
            </w:r>
            <w:r>
              <w:rPr>
                <w:rFonts w:ascii="Consolas" w:cs="Consolas" w:eastAsia="Consolas" w:hAnsi="Consolas"/>
                <w:color w:val="333333"/>
                <w:sz w:val="19"/>
                <w:szCs w:val="19"/>
              </w:rPr>
              <w:t xml:space="preserve">r_Nb</w:t>
            </w:r>
            <w:r>
              <w:rPr>
                <w:sz w:val="19"/>
                <w:szCs w:val="19"/>
              </w:rPr>
              <w:t xml:space="preserve">, </w:t>
            </w:r>
            <w:r>
              <w:rPr>
                <w:rFonts w:ascii="Consolas" w:cs="Consolas" w:eastAsia="Consolas" w:hAnsi="Consolas"/>
                <w:color w:val="333333"/>
                <w:sz w:val="19"/>
                <w:szCs w:val="19"/>
              </w:rPr>
              <w:t xml:space="preserve">r_Nr</w:t>
            </w:r>
          </w:p>
        </w:tc>
        <w:tc>
          <w:tcPr>
            <w:tcW w:type="dxa" w:w="6360"/>
            <w:tcMar>
              <w:top w:type="dxa" w:w="70"/>
              <w:left w:type="dxa" w:w="110"/>
              <w:bottom w:type="dxa" w:w="70"/>
              <w:right w:type="dxa" w:w="110"/>
            </w:tcMar>
          </w:tcPr>
          <w:p>
            <w:pPr>
              <w:spacing w:after="0" w:line="252"/>
            </w:pPr>
            <w:r>
              <w:rPr>
                <w:sz w:val="19"/>
                <w:szCs w:val="19"/>
              </w:rPr>
              <w:t xml:space="preserve">Neuron weight, bias and output removal.</w:t>
            </w:r>
          </w:p>
        </w:tc>
      </w:tr>
    </w:tbl>
    <w:p>
      <w:pPr>
        <w:spacing w:after="0"/>
      </w:pPr>
      <w:r>
        <w:br w:type="page"/>
      </w:r>
    </w:p>
    <w:p>
      <w:pPr>
        <w:pStyle w:val="Heading1"/>
        <w:keepNext/>
        <w:spacing w:after="160" w:before="320"/>
      </w:pPr>
      <w:r>
        <w:t xml:space="preserve">3. Topology as currently implemented</w:t>
      </w:r>
    </w:p>
    <w:p>
      <w:pPr>
        <w:spacing w:after="160" w:line="276"/>
      </w:pPr>
      <w:r>
        <w:rPr>
          <w:sz w:val="21"/>
          <w:szCs w:val="21"/>
        </w:rPr>
        <w:t xml:space="preserve">Reactions are nodes; metabolites are the arrows between them. Dashed edges are catalytic: the regulator is read and never consumed.</w:t>
      </w:r>
    </w:p>
    <w:p>
      <w:pPr>
        <w:pStyle w:val="Heading2"/>
        <w:keepNext/>
        <w:spacing w:after="120" w:before="260"/>
      </w:pPr>
      <w:r>
        <w:t xml:space="preserve">3.1 Blocks 1 and 2 — the differentiators</w:t>
      </w:r>
    </w:p>
    <w:p>
      <w:pPr>
        <w:spacing w:after="60" w:before="60"/>
        <w:jc w:val="center"/>
      </w:pPr>
      <w:r>
        <w:drawing>
          <wp:inline distT="0" distB="0" distL="0" distR="0">
            <wp:extent cx="5943600" cy="6696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6696075"/>
                    </a:xfrm>
                    <a:prstGeom prst="rect">
                      <a:avLst/>
                    </a:prstGeom>
                  </pic:spPr>
                </pic:pic>
              </a:graphicData>
            </a:graphic>
          </wp:inline>
        </w:drawing>
      </w:r>
    </w:p>
    <w:p>
      <w:pPr>
        <w:spacing w:after="200"/>
        <w:jc w:val="left"/>
      </w:pPr>
      <w:r>
        <w:rPr>
          <w:i/>
          <w:iCs/>
          <w:color w:val="5F5E5A"/>
          <w:sz w:val="18"/>
          <w:szCs w:val="18"/>
        </w:rPr>
        <w:t xml:space="preserve">Figure 1. The two differentiator stages. Each has a one-reaction fast arm producing the gate, a two-reaction slow arm producing the output, a saturated degrader gated by m_Fd_k, and two removal steps. The stages are joined by the catalytic interstage r_A_2.</w:t>
      </w:r>
    </w:p>
    <w:p>
      <w:pPr>
        <w:spacing w:after="180" w:line="276"/>
      </w:pPr>
      <w:r>
        <w:rPr>
          <w:sz w:val="21"/>
          <w:szCs w:val="21"/>
        </w:rPr>
        <w:t xml:space="preserve">Each stage subtracts by </w:t>
      </w:r>
      <w:r>
        <w:rPr>
          <w:i/>
          <w:iCs/>
          <w:sz w:val="21"/>
          <w:szCs w:val="21"/>
        </w:rPr>
        <w:t xml:space="preserve">activation</w:t>
      </w:r>
      <w:r>
        <w:rPr>
          <w:sz w:val="21"/>
          <w:szCs w:val="21"/>
        </w:rPr>
        <w:t xml:space="preserve">: the fast arm raises the gated degradation of the output before the slow arm raises its production, so a rising input produces a transient excursion in the output. The gate appears in no stoichiometry anywhere, which is what keeps the subtraction non-consuming.</w:t>
      </w:r>
    </w:p>
    <w:p>
      <w:pPr>
        <w:pStyle w:val="Heading2"/>
        <w:keepNext/>
        <w:spacing w:after="120" w:before="260"/>
      </w:pPr>
      <w:r>
        <w:t xml:space="preserve">3.2 Blocks 3 and 4 — counter and neuron</w:t>
      </w:r>
    </w:p>
    <w:p>
      <w:pPr>
        <w:spacing w:after="60" w:before="60"/>
        <w:jc w:val="center"/>
      </w:pPr>
      <w:r>
        <w:drawing>
          <wp:inline distT="0" distB="0" distL="0" distR="0">
            <wp:extent cx="5943600" cy="29622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962275"/>
                    </a:xfrm>
                    <a:prstGeom prst="rect">
                      <a:avLst/>
                    </a:prstGeom>
                  </pic:spPr>
                </pic:pic>
              </a:graphicData>
            </a:graphic>
          </wp:inline>
        </w:drawing>
      </w:r>
    </w:p>
    <w:p>
      <w:pPr>
        <w:spacing w:after="200"/>
        <w:jc w:val="left"/>
      </w:pPr>
      <w:r>
        <w:rPr>
          <w:i/>
          <w:iCs/>
          <w:color w:val="5F5E5A"/>
          <w:sz w:val="18"/>
          <w:szCs w:val="18"/>
        </w:rPr>
        <w:t xml:space="preserve">Figure 2. The counter converts m_d2 into the accumulating species m_c, with a reset and an input sequestration. The neuron reads m_c catalytically, adds the bias from m_b, and its output m_out is removed by r_Nr.</w:t>
      </w:r>
    </w:p>
    <w:p>
      <w:pPr>
        <w:spacing w:after="180" w:line="276"/>
      </w:pPr>
      <w:r>
        <w:rPr>
          <w:sz w:val="21"/>
          <w:szCs w:val="21"/>
        </w:rPr>
        <w:t xml:space="preserve">Because </w:t>
      </w:r>
      <w:r>
        <w:rPr>
          <w:rFonts w:ascii="Consolas" w:cs="Consolas" w:eastAsia="Consolas" w:hAnsi="Consolas"/>
          <w:color w:val="333333"/>
          <w:sz w:val="21"/>
          <w:szCs w:val="21"/>
        </w:rPr>
        <w:t xml:space="preserve">r_Nw</w:t>
      </w:r>
      <w:r>
        <w:rPr>
          <w:sz w:val="21"/>
          <w:szCs w:val="21"/>
        </w:rPr>
        <w:t xml:space="preserve"> is gated rather than fed by </w:t>
      </w:r>
      <w:r>
        <w:rPr>
          <w:rFonts w:ascii="Consolas" w:cs="Consolas" w:eastAsia="Consolas" w:hAnsi="Consolas"/>
          <w:color w:val="333333"/>
          <w:sz w:val="21"/>
          <w:szCs w:val="21"/>
        </w:rPr>
        <w:t xml:space="preserve">m_c</w:t>
      </w:r>
      <w:r>
        <w:rPr>
          <w:sz w:val="21"/>
          <w:szCs w:val="21"/>
        </w:rPr>
        <w:t xml:space="preserve">, the weight </w:t>
      </w:r>
      <w:r>
        <w:rPr>
          <w:i/>
          <w:iCs/>
          <w:sz w:val="21"/>
          <w:szCs w:val="21"/>
        </w:rPr>
        <w:t xml:space="preserve">w</w:t>
      </w:r>
      <w:r>
        <w:rPr>
          <w:sz w:val="21"/>
          <w:szCs w:val="21"/>
        </w:rPr>
        <w:t xml:space="preserve"> remains a free parameter set by enzyme loading, and the counter state is not depleted by being read.</w:t>
      </w:r>
    </w:p>
    <w:p>
      <w:pPr>
        <w:pStyle w:val="Heading1"/>
        <w:keepNext/>
        <w:spacing w:after="160" w:before="320"/>
      </w:pPr>
      <w:r>
        <w:t xml:space="preserve">4. Polarity and kinetic requirements</w:t>
      </w:r>
    </w:p>
    <w:p>
      <w:pPr>
        <w:spacing w:after="120" w:line="276"/>
      </w:pPr>
      <w:r>
        <w:rPr>
          <w:sz w:val="21"/>
          <w:szCs w:val="21"/>
        </w:rPr>
        <w:t xml:space="preserve">Each IFFL stage is </w:t>
      </w:r>
      <w:r>
        <w:rPr>
          <w:b/>
          <w:bCs/>
          <w:sz w:val="21"/>
          <w:szCs w:val="21"/>
        </w:rPr>
        <w:t xml:space="preserve">inverting</w:t>
      </w:r>
      <w:r>
        <w:rPr>
          <w:sz w:val="21"/>
          <w:szCs w:val="21"/>
        </w:rPr>
        <w:t xml:space="preserve">: a step up in the stage input drives the stage output </w:t>
      </w:r>
      <w:r>
        <w:rPr>
          <w:i/>
          <w:iCs/>
          <w:sz w:val="21"/>
          <w:szCs w:val="21"/>
        </w:rPr>
        <w:t xml:space="preserve">downwards</w:t>
      </w:r>
      <w:r>
        <w:rPr>
          <w:sz w:val="21"/>
          <w:szCs w:val="21"/>
        </w:rPr>
        <w:t xml:space="preserve"> from its resting level. Two stages in series therefore give a net positive gain, so </w:t>
      </w:r>
      <w:r>
        <w:rPr>
          <w:rFonts w:ascii="Consolas" w:cs="Consolas" w:eastAsia="Consolas" w:hAnsi="Consolas"/>
          <w:color w:val="333333"/>
          <w:sz w:val="21"/>
          <w:szCs w:val="21"/>
        </w:rPr>
        <w:t xml:space="preserve">m_d1</w:t>
      </w:r>
      <w:r>
        <w:rPr>
          <w:sz w:val="21"/>
          <w:szCs w:val="21"/>
        </w:rPr>
        <w:t xml:space="preserve"> tracks −d(m_in)/dt and </w:t>
      </w:r>
      <w:r>
        <w:rPr>
          <w:rFonts w:ascii="Consolas" w:cs="Consolas" w:eastAsia="Consolas" w:hAnsi="Consolas"/>
          <w:color w:val="333333"/>
          <w:sz w:val="21"/>
          <w:szCs w:val="21"/>
        </w:rPr>
        <w:t xml:space="preserve">m_d2</w:t>
      </w:r>
      <w:r>
        <w:rPr>
          <w:sz w:val="21"/>
          <w:szCs w:val="21"/>
        </w:rPr>
        <w:t xml:space="preserve"> tracks +d²(m_in)/dt² — the correct sign for the counter to increment on a positive second derivative.</w:t>
      </w:r>
    </w:p>
    <w:p>
      <w:pPr>
        <w:spacing w:after="100" w:line="276"/>
      </w:pPr>
      <w:r>
        <w:rPr>
          <w:sz w:val="21"/>
          <w:szCs w:val="21"/>
        </w:rPr>
        <w:t xml:space="preserve">Two consequences follow, and neither is checked by the structural search:</w:t>
      </w:r>
    </w:p>
    <w:p>
      <w:pPr>
        <w:pStyle w:val="ListParagraph"/>
        <w:numPr>
          <w:ilvl w:val="0"/>
          <w:numId w:val="2"/>
        </w:numPr>
        <w:spacing w:after="80" w:line="276"/>
      </w:pPr>
      <w:r>
        <w:rPr>
          <w:b/>
          <w:bCs/>
          <w:sz w:val="21"/>
          <w:szCs w:val="21"/>
        </w:rPr>
        <w:t xml:space="preserve">A strictly positive resting level. </w:t>
      </w:r>
      <w:r>
        <w:rPr>
          <w:sz w:val="21"/>
          <w:szCs w:val="21"/>
        </w:rPr>
        <w:t xml:space="preserve">An inverting stage needs something to dip from: m_d* = v_Sd / (k_lk + V_I·f(m_Fd*)) must be greater than zero, so the leak and the saturated degrader together must not exceed the slow arm’s production rate at rest.</w:t>
      </w:r>
    </w:p>
    <w:p>
      <w:pPr>
        <w:pStyle w:val="ListParagraph"/>
        <w:numPr>
          <w:ilvl w:val="0"/>
          <w:numId w:val="2"/>
        </w:numPr>
        <w:spacing w:after="80" w:line="276"/>
      </w:pPr>
      <w:r>
        <w:rPr>
          <w:b/>
          <w:bCs/>
          <w:sz w:val="21"/>
          <w:szCs w:val="21"/>
        </w:rPr>
        <w:t xml:space="preserve">The fast/slow split is kinetic, not structural. </w:t>
      </w:r>
      <w:r>
        <w:rPr>
          <w:sz w:val="21"/>
          <w:szCs w:val="21"/>
        </w:rPr>
        <w:t xml:space="preserve">With a one-reaction fast arm the fast arm is also shorter, but the ordering must still be enforced by loading: τ_F &lt; τ_S per stage, r_I saturated in the output (so it subtracts a flux), r_lk first order in the output (so it sets the baseline), and the gate below saturation at the activator site (so the gate stays graded).</w:t>
      </w:r>
    </w:p>
    <w:p>
      <w:pPr>
        <w:spacing w:after="180" w:line="276"/>
      </w:pPr>
      <w:r>
        <w:rPr>
          <w:sz w:val="21"/>
          <w:szCs w:val="21"/>
        </w:rPr>
        <w:t xml:space="preserve">Nothing in the mapping validates k_cat, K_M or activator strength. The search returns candidates whose connectivity and exclusivity are correct; feasibility is a separate step.</w:t>
      </w:r>
    </w:p>
    <w:p>
      <w:pPr>
        <w:pStyle w:val="Heading1"/>
        <w:keepNext/>
        <w:spacing w:after="160" w:before="320"/>
      </w:pPr>
      <w:r>
        <w:t xml:space="preserve">5. Variants</w:t>
      </w:r>
    </w:p>
    <w:p>
      <w:pPr>
        <w:spacing w:after="140" w:line="276"/>
      </w:pPr>
      <w:r>
        <w:rPr>
          <w:sz w:val="21"/>
          <w:szCs w:val="21"/>
        </w:rPr>
        <w:t xml:space="preserve">Each switch below is independent and reversible. The first column is the option name in the master script; the last column is the setting used in the most recent run.</w:t>
      </w:r>
    </w:p>
    <w:tbl>
      <w:tblPr>
        <w:tblW w:type="dxa" w:w="9360"/>
        <w:tblBorders>
          <w:top w:val="single" w:color="C9C7BE" w:sz="2"/>
          <w:left w:val="none"/>
          <w:bottom w:val="single" w:color="C9C7BE" w:sz="2"/>
          <w:right w:val="none"/>
          <w:insideH w:val="single" w:color="DEDCD4" w:sz="2"/>
          <w:insideV w:val="none"/>
        </w:tblBorders>
      </w:tblPr>
      <w:tblGrid>
        <w:gridCol w:w="2080"/>
        <w:gridCol w:w="1500"/>
        <w:gridCol w:w="4420"/>
        <w:gridCol w:w="1360"/>
      </w:tblGrid>
      <w:tr>
        <w:trPr>
          <w:tblHeader/>
        </w:trPr>
        <w:tc>
          <w:tcPr>
            <w:tcW w:type="dxa" w:w="2080"/>
            <w:shd w:fill="1D6E56" w:val="clear"/>
            <w:tcMar>
              <w:top w:type="dxa" w:w="70"/>
              <w:left w:type="dxa" w:w="110"/>
              <w:bottom w:type="dxa" w:w="70"/>
              <w:right w:type="dxa" w:w="110"/>
            </w:tcMar>
          </w:tcPr>
          <w:p>
            <w:pPr>
              <w:spacing w:after="0" w:line="252"/>
            </w:pPr>
            <w:r>
              <w:rPr>
                <w:b/>
                <w:bCs/>
                <w:color w:val="FFFFFF"/>
                <w:sz w:val="19"/>
                <w:szCs w:val="19"/>
              </w:rPr>
              <w:t xml:space="preserve">Switch</w:t>
            </w:r>
          </w:p>
        </w:tc>
        <w:tc>
          <w:tcPr>
            <w:tcW w:type="dxa" w:w="1500"/>
            <w:shd w:fill="1D6E56" w:val="clear"/>
            <w:tcMar>
              <w:top w:type="dxa" w:w="70"/>
              <w:left w:type="dxa" w:w="110"/>
              <w:bottom w:type="dxa" w:w="70"/>
              <w:right w:type="dxa" w:w="110"/>
            </w:tcMar>
          </w:tcPr>
          <w:p>
            <w:pPr>
              <w:spacing w:after="0" w:line="252"/>
            </w:pPr>
            <w:r>
              <w:rPr>
                <w:b/>
                <w:bCs/>
                <w:color w:val="FFFFFF"/>
                <w:sz w:val="19"/>
                <w:szCs w:val="19"/>
              </w:rPr>
              <w:t xml:space="preserve">Variants</w:t>
            </w:r>
          </w:p>
        </w:tc>
        <w:tc>
          <w:tcPr>
            <w:tcW w:type="dxa" w:w="4420"/>
            <w:shd w:fill="1D6E56" w:val="clear"/>
            <w:tcMar>
              <w:top w:type="dxa" w:w="70"/>
              <w:left w:type="dxa" w:w="110"/>
              <w:bottom w:type="dxa" w:w="70"/>
              <w:right w:type="dxa" w:w="110"/>
            </w:tcMar>
          </w:tcPr>
          <w:p>
            <w:pPr>
              <w:spacing w:after="0" w:line="252"/>
            </w:pPr>
            <w:r>
              <w:rPr>
                <w:b/>
                <w:bCs/>
                <w:color w:val="FFFFFF"/>
                <w:sz w:val="19"/>
                <w:szCs w:val="19"/>
              </w:rPr>
              <w:t xml:space="preserve">What it changes</w:t>
            </w:r>
          </w:p>
        </w:tc>
        <w:tc>
          <w:tcPr>
            <w:tcW w:type="dxa" w:w="1360"/>
            <w:shd w:fill="1D6E56" w:val="clear"/>
            <w:tcMar>
              <w:top w:type="dxa" w:w="70"/>
              <w:left w:type="dxa" w:w="110"/>
              <w:bottom w:type="dxa" w:w="70"/>
              <w:right w:type="dxa" w:w="110"/>
            </w:tcMar>
          </w:tcPr>
          <w:p>
            <w:pPr>
              <w:spacing w:after="0" w:line="252"/>
            </w:pPr>
            <w:r>
              <w:rPr>
                <w:b/>
                <w:bCs/>
                <w:color w:val="FFFFFF"/>
                <w:sz w:val="19"/>
                <w:szCs w:val="19"/>
              </w:rPr>
              <w:t xml:space="preserve">Current</w:t>
            </w:r>
          </w:p>
        </w:tc>
      </w:tr>
      <w:tr>
        <w:trPr>
          <w:tblHeader w:val="off"/>
        </w:trPr>
        <w:tc>
          <w:tcPr>
            <w:tcW w:type="dxa" w:w="2080"/>
            <w:tcMar>
              <w:top w:type="dxa" w:w="70"/>
              <w:left w:type="dxa" w:w="110"/>
              <w:bottom w:type="dxa" w:w="70"/>
              <w:right w:type="dxa" w:w="110"/>
            </w:tcMar>
          </w:tcPr>
          <w:p>
            <w:pPr>
              <w:spacing w:after="0" w:line="252"/>
            </w:pPr>
            <w:r>
              <w:rPr>
                <w:rFonts w:ascii="Consolas" w:cs="Consolas" w:eastAsia="Consolas" w:hAnsi="Consolas"/>
                <w:color w:val="333333"/>
                <w:sz w:val="19"/>
                <w:szCs w:val="19"/>
              </w:rPr>
              <w:t xml:space="preserve">fastArmSteps</w:t>
            </w:r>
          </w:p>
        </w:tc>
        <w:tc>
          <w:tcPr>
            <w:tcW w:type="dxa" w:w="1500"/>
            <w:tcMar>
              <w:top w:type="dxa" w:w="70"/>
              <w:left w:type="dxa" w:w="110"/>
              <w:bottom w:type="dxa" w:w="70"/>
              <w:right w:type="dxa" w:w="110"/>
            </w:tcMar>
          </w:tcPr>
          <w:p>
            <w:pPr>
              <w:spacing w:after="0" w:line="252"/>
            </w:pPr>
            <w:r>
              <w:rPr>
                <w:sz w:val="19"/>
                <w:szCs w:val="19"/>
              </w:rPr>
              <w:t xml:space="preserve">1 or 2</w:t>
            </w:r>
          </w:p>
        </w:tc>
        <w:tc>
          <w:tcPr>
            <w:tcW w:type="dxa" w:w="4420"/>
            <w:tcMar>
              <w:top w:type="dxa" w:w="70"/>
              <w:left w:type="dxa" w:w="110"/>
              <w:bottom w:type="dxa" w:w="70"/>
              <w:right w:type="dxa" w:w="110"/>
            </w:tcMar>
          </w:tcPr>
          <w:p>
            <w:pPr>
              <w:spacing w:after="0" w:line="252"/>
            </w:pPr>
            <w:r>
              <w:rPr>
                <w:sz w:val="19"/>
                <w:szCs w:val="19"/>
              </w:rPr>
              <w:t xml:space="preserve">Number of reactions in the fast arm. 2 reproduces the original drawing (with m_Ff_k); 1 removes that intermediate and makes the fast arm structurally shorter than the slow arm.</w:t>
            </w:r>
          </w:p>
        </w:tc>
        <w:tc>
          <w:tcPr>
            <w:tcW w:type="dxa" w:w="1360"/>
            <w:tcMar>
              <w:top w:type="dxa" w:w="70"/>
              <w:left w:type="dxa" w:w="110"/>
              <w:bottom w:type="dxa" w:w="70"/>
              <w:right w:type="dxa" w:w="110"/>
            </w:tcMar>
          </w:tcPr>
          <w:p>
            <w:pPr>
              <w:spacing w:after="0" w:line="252"/>
            </w:pPr>
            <w:r>
              <w:rPr>
                <w:sz w:val="19"/>
                <w:szCs w:val="19"/>
              </w:rPr>
              <w:t xml:space="preserve">1</w:t>
            </w:r>
          </w:p>
        </w:tc>
      </w:tr>
      <w:tr>
        <w:trPr>
          <w:tblHeader w:val="off"/>
        </w:trPr>
        <w:tc>
          <w:tcPr>
            <w:tcW w:type="dxa" w:w="2080"/>
            <w:tcMar>
              <w:top w:type="dxa" w:w="70"/>
              <w:left w:type="dxa" w:w="110"/>
              <w:bottom w:type="dxa" w:w="70"/>
              <w:right w:type="dxa" w:w="110"/>
            </w:tcMar>
          </w:tcPr>
          <w:p>
            <w:pPr>
              <w:spacing w:after="0" w:line="252"/>
            </w:pPr>
            <w:r>
              <w:rPr>
                <w:rFonts w:ascii="Consolas" w:cs="Consolas" w:eastAsia="Consolas" w:hAnsi="Consolas"/>
                <w:color w:val="333333"/>
                <w:sz w:val="19"/>
                <w:szCs w:val="19"/>
              </w:rPr>
              <w:t xml:space="preserve">catalyticInterstage</w:t>
            </w:r>
          </w:p>
        </w:tc>
        <w:tc>
          <w:tcPr>
            <w:tcW w:type="dxa" w:w="1500"/>
            <w:tcMar>
              <w:top w:type="dxa" w:w="70"/>
              <w:left w:type="dxa" w:w="110"/>
              <w:bottom w:type="dxa" w:w="70"/>
              <w:right w:type="dxa" w:w="110"/>
            </w:tcMar>
          </w:tcPr>
          <w:p>
            <w:pPr>
              <w:spacing w:after="0" w:line="252"/>
            </w:pPr>
            <w:r>
              <w:rPr>
                <w:sz w:val="19"/>
                <w:szCs w:val="19"/>
              </w:rPr>
              <w:t xml:space="preserve">true / false</w:t>
            </w:r>
          </w:p>
        </w:tc>
        <w:tc>
          <w:tcPr>
            <w:tcW w:type="dxa" w:w="4420"/>
            <w:tcMar>
              <w:top w:type="dxa" w:w="70"/>
              <w:left w:type="dxa" w:w="110"/>
              <w:bottom w:type="dxa" w:w="70"/>
              <w:right w:type="dxa" w:w="110"/>
            </w:tcMar>
          </w:tcPr>
          <w:p>
            <w:pPr>
              <w:spacing w:after="0" w:line="252"/>
            </w:pPr>
            <w:r>
              <w:rPr>
                <w:sz w:val="19"/>
                <w:szCs w:val="19"/>
              </w:rPr>
              <w:t xml:space="preserve">false: D2 consumes m_d1 (mass-flow cascade). true: m_d1 gates r_A_2, which makes D2’s own input from an independent precursor.</w:t>
            </w:r>
          </w:p>
        </w:tc>
        <w:tc>
          <w:tcPr>
            <w:tcW w:type="dxa" w:w="1360"/>
            <w:tcMar>
              <w:top w:type="dxa" w:w="70"/>
              <w:left w:type="dxa" w:w="110"/>
              <w:bottom w:type="dxa" w:w="70"/>
              <w:right w:type="dxa" w:w="110"/>
            </w:tcMar>
          </w:tcPr>
          <w:p>
            <w:pPr>
              <w:spacing w:after="0" w:line="252"/>
            </w:pPr>
            <w:r>
              <w:rPr>
                <w:sz w:val="19"/>
                <w:szCs w:val="19"/>
              </w:rPr>
              <w:t xml:space="preserve">true</w:t>
            </w:r>
          </w:p>
        </w:tc>
      </w:tr>
      <w:tr>
        <w:trPr>
          <w:tblHeader w:val="off"/>
        </w:trPr>
        <w:tc>
          <w:tcPr>
            <w:tcW w:type="dxa" w:w="2080"/>
            <w:tcMar>
              <w:top w:type="dxa" w:w="70"/>
              <w:left w:type="dxa" w:w="110"/>
              <w:bottom w:type="dxa" w:w="70"/>
              <w:right w:type="dxa" w:w="110"/>
            </w:tcMar>
          </w:tcPr>
          <w:p>
            <w:pPr>
              <w:spacing w:after="0" w:line="252"/>
            </w:pPr>
            <w:r>
              <w:rPr>
                <w:rFonts w:ascii="Consolas" w:cs="Consolas" w:eastAsia="Consolas" w:hAnsi="Consolas"/>
                <w:color w:val="333333"/>
                <w:sz w:val="19"/>
                <w:szCs w:val="19"/>
              </w:rPr>
              <w:t xml:space="preserve">requireMI</w:t>
            </w:r>
          </w:p>
        </w:tc>
        <w:tc>
          <w:tcPr>
            <w:tcW w:type="dxa" w:w="1500"/>
            <w:tcMar>
              <w:top w:type="dxa" w:w="70"/>
              <w:left w:type="dxa" w:w="110"/>
              <w:bottom w:type="dxa" w:w="70"/>
              <w:right w:type="dxa" w:w="110"/>
            </w:tcMar>
          </w:tcPr>
          <w:p>
            <w:pPr>
              <w:spacing w:after="0" w:line="252"/>
            </w:pPr>
            <w:r>
              <w:rPr>
                <w:sz w:val="19"/>
                <w:szCs w:val="19"/>
              </w:rPr>
              <w:t xml:space="preserve">true / false</w:t>
            </w:r>
          </w:p>
        </w:tc>
        <w:tc>
          <w:tcPr>
            <w:tcW w:type="dxa" w:w="4420"/>
            <w:tcMar>
              <w:top w:type="dxa" w:w="70"/>
              <w:left w:type="dxa" w:w="110"/>
              <w:bottom w:type="dxa" w:w="70"/>
              <w:right w:type="dxa" w:w="110"/>
            </w:tcMar>
          </w:tcPr>
          <w:p>
            <w:pPr>
              <w:spacing w:after="0" w:line="252"/>
            </w:pPr>
            <w:r>
              <w:rPr>
                <w:sz w:val="19"/>
                <w:szCs w:val="19"/>
              </w:rPr>
              <w:t xml:space="preserve">Whether the counter’s two removals must share a bimolecular partner m_I.</w:t>
            </w:r>
          </w:p>
        </w:tc>
        <w:tc>
          <w:tcPr>
            <w:tcW w:type="dxa" w:w="1360"/>
            <w:tcMar>
              <w:top w:type="dxa" w:w="70"/>
              <w:left w:type="dxa" w:w="110"/>
              <w:bottom w:type="dxa" w:w="70"/>
              <w:right w:type="dxa" w:w="110"/>
            </w:tcMar>
          </w:tcPr>
          <w:p>
            <w:pPr>
              <w:spacing w:after="0" w:line="252"/>
            </w:pPr>
            <w:r>
              <w:rPr>
                <w:sz w:val="19"/>
                <w:szCs w:val="19"/>
              </w:rPr>
              <w:t xml:space="preserve">false</w:t>
            </w:r>
          </w:p>
        </w:tc>
      </w:tr>
      <w:tr>
        <w:trPr>
          <w:tblHeader w:val="off"/>
        </w:trPr>
        <w:tc>
          <w:tcPr>
            <w:tcW w:type="dxa" w:w="2080"/>
            <w:tcMar>
              <w:top w:type="dxa" w:w="70"/>
              <w:left w:type="dxa" w:w="110"/>
              <w:bottom w:type="dxa" w:w="70"/>
              <w:right w:type="dxa" w:w="110"/>
            </w:tcMar>
          </w:tcPr>
          <w:p>
            <w:pPr>
              <w:spacing w:after="0" w:line="252"/>
            </w:pPr>
            <w:r>
              <w:rPr>
                <w:rFonts w:ascii="Consolas" w:cs="Consolas" w:eastAsia="Consolas" w:hAnsi="Consolas"/>
                <w:color w:val="333333"/>
                <w:sz w:val="19"/>
                <w:szCs w:val="19"/>
              </w:rPr>
              <w:t xml:space="preserve">requireSharedMI</w:t>
            </w:r>
          </w:p>
        </w:tc>
        <w:tc>
          <w:tcPr>
            <w:tcW w:type="dxa" w:w="1500"/>
            <w:tcMar>
              <w:top w:type="dxa" w:w="70"/>
              <w:left w:type="dxa" w:w="110"/>
              <w:bottom w:type="dxa" w:w="70"/>
              <w:right w:type="dxa" w:w="110"/>
            </w:tcMar>
          </w:tcPr>
          <w:p>
            <w:pPr>
              <w:spacing w:after="0" w:line="252"/>
            </w:pPr>
            <w:r>
              <w:rPr>
                <w:sz w:val="19"/>
                <w:szCs w:val="19"/>
              </w:rPr>
              <w:t xml:space="preserve">true / false</w:t>
            </w:r>
          </w:p>
        </w:tc>
        <w:tc>
          <w:tcPr>
            <w:tcW w:type="dxa" w:w="4420"/>
            <w:tcMar>
              <w:top w:type="dxa" w:w="70"/>
              <w:left w:type="dxa" w:w="110"/>
              <w:bottom w:type="dxa" w:w="70"/>
              <w:right w:type="dxa" w:w="110"/>
            </w:tcMar>
          </w:tcPr>
          <w:p>
            <w:pPr>
              <w:spacing w:after="0" w:line="252"/>
            </w:pPr>
            <w:r>
              <w:rPr>
                <w:sz w:val="19"/>
                <w:szCs w:val="19"/>
              </w:rPr>
              <w:t xml:space="preserve">Read only when requireMI is true: whether that partner must be the same species for both.</w:t>
            </w:r>
          </w:p>
        </w:tc>
        <w:tc>
          <w:tcPr>
            <w:tcW w:type="dxa" w:w="1360"/>
            <w:tcMar>
              <w:top w:type="dxa" w:w="70"/>
              <w:left w:type="dxa" w:w="110"/>
              <w:bottom w:type="dxa" w:w="70"/>
              <w:right w:type="dxa" w:w="110"/>
            </w:tcMar>
          </w:tcPr>
          <w:p>
            <w:pPr>
              <w:spacing w:after="0" w:line="252"/>
            </w:pPr>
            <w:r>
              <w:rPr>
                <w:sz w:val="19"/>
                <w:szCs w:val="19"/>
              </w:rPr>
              <w:t xml:space="preserve">—</w:t>
            </w:r>
          </w:p>
        </w:tc>
      </w:tr>
      <w:tr>
        <w:trPr>
          <w:tblHeader w:val="off"/>
        </w:trPr>
        <w:tc>
          <w:tcPr>
            <w:tcW w:type="dxa" w:w="2080"/>
            <w:tcMar>
              <w:top w:type="dxa" w:w="70"/>
              <w:left w:type="dxa" w:w="110"/>
              <w:bottom w:type="dxa" w:w="70"/>
              <w:right w:type="dxa" w:w="110"/>
            </w:tcMar>
          </w:tcPr>
          <w:p>
            <w:pPr>
              <w:spacing w:after="0" w:line="252"/>
            </w:pPr>
            <w:r>
              <w:rPr>
                <w:rFonts w:ascii="Consolas" w:cs="Consolas" w:eastAsia="Consolas" w:hAnsi="Consolas"/>
                <w:color w:val="333333"/>
                <w:sz w:val="19"/>
                <w:szCs w:val="19"/>
              </w:rPr>
              <w:t xml:space="preserve">sinkMode</w:t>
            </w:r>
          </w:p>
        </w:tc>
        <w:tc>
          <w:tcPr>
            <w:tcW w:type="dxa" w:w="1500"/>
            <w:tcMar>
              <w:top w:type="dxa" w:w="70"/>
              <w:left w:type="dxa" w:w="110"/>
              <w:bottom w:type="dxa" w:w="70"/>
              <w:right w:type="dxa" w:w="110"/>
            </w:tcMar>
          </w:tcPr>
          <w:p>
            <w:pPr>
              <w:spacing w:after="0" w:line="252"/>
            </w:pPr>
            <w:r>
              <w:rPr>
                <w:sz w:val="19"/>
                <w:szCs w:val="19"/>
              </w:rPr>
              <w:t xml:space="preserve">map / prefer / sink</w:t>
            </w:r>
          </w:p>
        </w:tc>
        <w:tc>
          <w:tcPr>
            <w:tcW w:type="dxa" w:w="4420"/>
            <w:tcMar>
              <w:top w:type="dxa" w:w="70"/>
              <w:left w:type="dxa" w:w="110"/>
              <w:bottom w:type="dxa" w:w="70"/>
              <w:right w:type="dxa" w:w="110"/>
            </w:tcMar>
          </w:tcPr>
          <w:p>
            <w:pPr>
              <w:spacing w:after="0" w:line="252"/>
            </w:pPr>
            <w:r>
              <w:rPr>
                <w:sz w:val="19"/>
                <w:szCs w:val="19"/>
              </w:rPr>
              <w:t xml:space="preserve">Whether the ∅ steps must be existing model reactions, may fall back to added sinks, or are always added.</w:t>
            </w:r>
          </w:p>
        </w:tc>
        <w:tc>
          <w:tcPr>
            <w:tcW w:type="dxa" w:w="1360"/>
            <w:tcMar>
              <w:top w:type="dxa" w:w="70"/>
              <w:left w:type="dxa" w:w="110"/>
              <w:bottom w:type="dxa" w:w="70"/>
              <w:right w:type="dxa" w:w="110"/>
            </w:tcMar>
          </w:tcPr>
          <w:p>
            <w:pPr>
              <w:spacing w:after="0" w:line="252"/>
            </w:pPr>
            <w:r>
              <w:rPr>
                <w:sz w:val="19"/>
                <w:szCs w:val="19"/>
              </w:rPr>
              <w:t xml:space="preserve">prefer</w:t>
            </w:r>
          </w:p>
        </w:tc>
      </w:tr>
      <w:tr>
        <w:trPr>
          <w:tblHeader w:val="off"/>
        </w:trPr>
        <w:tc>
          <w:tcPr>
            <w:tcW w:type="dxa" w:w="2080"/>
            <w:tcMar>
              <w:top w:type="dxa" w:w="70"/>
              <w:left w:type="dxa" w:w="110"/>
              <w:bottom w:type="dxa" w:w="70"/>
              <w:right w:type="dxa" w:w="110"/>
            </w:tcMar>
          </w:tcPr>
          <w:p>
            <w:pPr>
              <w:spacing w:after="0" w:line="252"/>
            </w:pPr>
            <w:r>
              <w:rPr>
                <w:rFonts w:ascii="Consolas" w:cs="Consolas" w:eastAsia="Consolas" w:hAnsi="Consolas"/>
                <w:color w:val="333333"/>
                <w:sz w:val="19"/>
                <w:szCs w:val="19"/>
              </w:rPr>
              <w:t xml:space="preserve">consumingN</w:t>
            </w:r>
          </w:p>
        </w:tc>
        <w:tc>
          <w:tcPr>
            <w:tcW w:type="dxa" w:w="1500"/>
            <w:tcMar>
              <w:top w:type="dxa" w:w="70"/>
              <w:left w:type="dxa" w:w="110"/>
              <w:bottom w:type="dxa" w:w="70"/>
              <w:right w:type="dxa" w:w="110"/>
            </w:tcMar>
          </w:tcPr>
          <w:p>
            <w:pPr>
              <w:spacing w:after="0" w:line="252"/>
            </w:pPr>
            <w:r>
              <w:rPr>
                <w:sz w:val="19"/>
                <w:szCs w:val="19"/>
              </w:rPr>
              <w:t xml:space="preserve">true / false</w:t>
            </w:r>
          </w:p>
        </w:tc>
        <w:tc>
          <w:tcPr>
            <w:tcW w:type="dxa" w:w="4420"/>
            <w:tcMar>
              <w:top w:type="dxa" w:w="70"/>
              <w:left w:type="dxa" w:w="110"/>
              <w:bottom w:type="dxa" w:w="70"/>
              <w:right w:type="dxa" w:w="110"/>
            </w:tcMar>
          </w:tcPr>
          <w:p>
            <w:pPr>
              <w:spacing w:after="0" w:line="252"/>
            </w:pPr>
            <w:r>
              <w:rPr>
                <w:sz w:val="19"/>
                <w:szCs w:val="19"/>
              </w:rPr>
              <w:t xml:space="preserve">Whether the neuron weight reaction consumes m_c instead of being gated by it.</w:t>
            </w:r>
          </w:p>
        </w:tc>
        <w:tc>
          <w:tcPr>
            <w:tcW w:type="dxa" w:w="1360"/>
            <w:tcMar>
              <w:top w:type="dxa" w:w="70"/>
              <w:left w:type="dxa" w:w="110"/>
              <w:bottom w:type="dxa" w:w="70"/>
              <w:right w:type="dxa" w:w="110"/>
            </w:tcMar>
          </w:tcPr>
          <w:p>
            <w:pPr>
              <w:spacing w:after="0" w:line="252"/>
            </w:pPr>
            <w:r>
              <w:rPr>
                <w:sz w:val="19"/>
                <w:szCs w:val="19"/>
              </w:rPr>
              <w:t xml:space="preserve">false</w:t>
            </w:r>
          </w:p>
        </w:tc>
      </w:tr>
      <w:tr>
        <w:trPr>
          <w:tblHeader w:val="off"/>
        </w:trPr>
        <w:tc>
          <w:tcPr>
            <w:tcW w:type="dxa" w:w="2080"/>
            <w:tcMar>
              <w:top w:type="dxa" w:w="70"/>
              <w:left w:type="dxa" w:w="110"/>
              <w:bottom w:type="dxa" w:w="70"/>
              <w:right w:type="dxa" w:w="110"/>
            </w:tcMar>
          </w:tcPr>
          <w:p>
            <w:pPr>
              <w:spacing w:after="0" w:line="252"/>
            </w:pPr>
            <w:r>
              <w:rPr>
                <w:rFonts w:ascii="Consolas" w:cs="Consolas" w:eastAsia="Consolas" w:hAnsi="Consolas"/>
                <w:color w:val="333333"/>
                <w:sz w:val="19"/>
                <w:szCs w:val="19"/>
              </w:rPr>
              <w:t xml:space="preserve">compartment</w:t>
            </w:r>
          </w:p>
        </w:tc>
        <w:tc>
          <w:tcPr>
            <w:tcW w:type="dxa" w:w="1500"/>
            <w:tcMar>
              <w:top w:type="dxa" w:w="70"/>
              <w:left w:type="dxa" w:w="110"/>
              <w:bottom w:type="dxa" w:w="70"/>
              <w:right w:type="dxa" w:w="110"/>
            </w:tcMar>
          </w:tcPr>
          <w:p>
            <w:pPr>
              <w:spacing w:after="0" w:line="252"/>
            </w:pPr>
            <w:r>
              <w:rPr>
                <w:sz w:val="19"/>
                <w:szCs w:val="19"/>
              </w:rPr>
              <w:t xml:space="preserve">'c' / 'any'</w:t>
            </w:r>
          </w:p>
        </w:tc>
        <w:tc>
          <w:tcPr>
            <w:tcW w:type="dxa" w:w="4420"/>
            <w:tcMar>
              <w:top w:type="dxa" w:w="70"/>
              <w:left w:type="dxa" w:w="110"/>
              <w:bottom w:type="dxa" w:w="70"/>
              <w:right w:type="dxa" w:w="110"/>
            </w:tcMar>
          </w:tcPr>
          <w:p>
            <w:pPr>
              <w:spacing w:after="0" w:line="252"/>
            </w:pPr>
            <w:r>
              <w:rPr>
                <w:sz w:val="19"/>
                <w:szCs w:val="19"/>
              </w:rPr>
              <w:t xml:space="preserve">Restricts every circuit reaction to one compartment (single-pot reactor) or allows any.</w:t>
            </w:r>
          </w:p>
        </w:tc>
        <w:tc>
          <w:tcPr>
            <w:tcW w:type="dxa" w:w="1360"/>
            <w:tcMar>
              <w:top w:type="dxa" w:w="70"/>
              <w:left w:type="dxa" w:w="110"/>
              <w:bottom w:type="dxa" w:w="70"/>
              <w:right w:type="dxa" w:w="110"/>
            </w:tcMar>
          </w:tcPr>
          <w:p>
            <w:pPr>
              <w:spacing w:after="0" w:line="252"/>
            </w:pPr>
            <w:r>
              <w:rPr>
                <w:sz w:val="19"/>
                <w:szCs w:val="19"/>
              </w:rPr>
              <w:t xml:space="preserve">'c'</w:t>
            </w:r>
          </w:p>
        </w:tc>
      </w:tr>
      <w:tr>
        <w:trPr>
          <w:tblHeader w:val="off"/>
        </w:trPr>
        <w:tc>
          <w:tcPr>
            <w:tcW w:type="dxa" w:w="2080"/>
            <w:tcMar>
              <w:top w:type="dxa" w:w="70"/>
              <w:left w:type="dxa" w:w="110"/>
              <w:bottom w:type="dxa" w:w="70"/>
              <w:right w:type="dxa" w:w="110"/>
            </w:tcMar>
          </w:tcPr>
          <w:p>
            <w:pPr>
              <w:spacing w:after="0" w:line="252"/>
            </w:pPr>
            <w:r>
              <w:rPr>
                <w:rFonts w:ascii="Consolas" w:cs="Consolas" w:eastAsia="Consolas" w:hAnsi="Consolas"/>
                <w:color w:val="333333"/>
                <w:sz w:val="19"/>
                <w:szCs w:val="19"/>
              </w:rPr>
              <w:t xml:space="preserve">carrierTest</w:t>
            </w:r>
          </w:p>
        </w:tc>
        <w:tc>
          <w:tcPr>
            <w:tcW w:type="dxa" w:w="1500"/>
            <w:tcMar>
              <w:top w:type="dxa" w:w="70"/>
              <w:left w:type="dxa" w:w="110"/>
              <w:bottom w:type="dxa" w:w="70"/>
              <w:right w:type="dxa" w:w="110"/>
            </w:tcMar>
          </w:tcPr>
          <w:p>
            <w:pPr>
              <w:spacing w:after="0" w:line="252"/>
            </w:pPr>
            <w:r>
              <w:rPr>
                <w:sz w:val="19"/>
                <w:szCs w:val="19"/>
              </w:rPr>
              <w:t xml:space="preserve">true / false</w:t>
            </w:r>
          </w:p>
        </w:tc>
        <w:tc>
          <w:tcPr>
            <w:tcW w:type="dxa" w:w="4420"/>
            <w:tcMar>
              <w:top w:type="dxa" w:w="70"/>
              <w:left w:type="dxa" w:w="110"/>
              <w:bottom w:type="dxa" w:w="70"/>
              <w:right w:type="dxa" w:w="110"/>
            </w:tcMar>
          </w:tcPr>
          <w:p>
            <w:pPr>
              <w:spacing w:after="0" w:line="252"/>
            </w:pPr>
            <w:r>
              <w:rPr>
                <w:sz w:val="19"/>
                <w:szCs w:val="19"/>
              </w:rPr>
              <w:t xml:space="preserve">Rejects an arm whose net stoichiometry regenerates its own intermediate (a conserved carrier carries no signal).</w:t>
            </w:r>
          </w:p>
        </w:tc>
        <w:tc>
          <w:tcPr>
            <w:tcW w:type="dxa" w:w="1360"/>
            <w:tcMar>
              <w:top w:type="dxa" w:w="70"/>
              <w:left w:type="dxa" w:w="110"/>
              <w:bottom w:type="dxa" w:w="70"/>
              <w:right w:type="dxa" w:w="110"/>
            </w:tcMar>
          </w:tcPr>
          <w:p>
            <w:pPr>
              <w:spacing w:after="0" w:line="252"/>
            </w:pPr>
            <w:r>
              <w:rPr>
                <w:sz w:val="19"/>
                <w:szCs w:val="19"/>
              </w:rPr>
              <w:t xml:space="preserve">true</w:t>
            </w:r>
          </w:p>
        </w:tc>
      </w:tr>
      <w:tr>
        <w:trPr>
          <w:tblHeader w:val="off"/>
        </w:trPr>
        <w:tc>
          <w:tcPr>
            <w:tcW w:type="dxa" w:w="2080"/>
            <w:tcMar>
              <w:top w:type="dxa" w:w="70"/>
              <w:left w:type="dxa" w:w="110"/>
              <w:bottom w:type="dxa" w:w="70"/>
              <w:right w:type="dxa" w:w="110"/>
            </w:tcMar>
          </w:tcPr>
          <w:p>
            <w:pPr>
              <w:spacing w:after="0" w:line="252"/>
            </w:pPr>
            <w:r>
              <w:rPr>
                <w:rFonts w:ascii="Consolas" w:cs="Consolas" w:eastAsia="Consolas" w:hAnsi="Consolas"/>
                <w:color w:val="333333"/>
                <w:sz w:val="19"/>
                <w:szCs w:val="19"/>
              </w:rPr>
              <w:t xml:space="preserve">distinctEC</w:t>
            </w:r>
          </w:p>
        </w:tc>
        <w:tc>
          <w:tcPr>
            <w:tcW w:type="dxa" w:w="1500"/>
            <w:tcMar>
              <w:top w:type="dxa" w:w="70"/>
              <w:left w:type="dxa" w:w="110"/>
              <w:bottom w:type="dxa" w:w="70"/>
              <w:right w:type="dxa" w:w="110"/>
            </w:tcMar>
          </w:tcPr>
          <w:p>
            <w:pPr>
              <w:spacing w:after="0" w:line="252"/>
            </w:pPr>
            <w:r>
              <w:rPr>
                <w:sz w:val="19"/>
                <w:szCs w:val="19"/>
              </w:rPr>
              <w:t xml:space="preserve">true / false</w:t>
            </w:r>
          </w:p>
        </w:tc>
        <w:tc>
          <w:tcPr>
            <w:tcW w:type="dxa" w:w="4420"/>
            <w:tcMar>
              <w:top w:type="dxa" w:w="70"/>
              <w:left w:type="dxa" w:w="110"/>
              <w:bottom w:type="dxa" w:w="70"/>
              <w:right w:type="dxa" w:w="110"/>
            </w:tcMar>
          </w:tcPr>
          <w:p>
            <w:pPr>
              <w:spacing w:after="0" w:line="252"/>
            </w:pPr>
            <w:r>
              <w:rPr>
                <w:sz w:val="19"/>
                <w:szCs w:val="19"/>
              </w:rPr>
              <w:t xml:space="preserve">Whether two roles may be filled by the same enzyme. Reported either way.</w:t>
            </w:r>
          </w:p>
        </w:tc>
        <w:tc>
          <w:tcPr>
            <w:tcW w:type="dxa" w:w="1360"/>
            <w:tcMar>
              <w:top w:type="dxa" w:w="70"/>
              <w:left w:type="dxa" w:w="110"/>
              <w:bottom w:type="dxa" w:w="70"/>
              <w:right w:type="dxa" w:w="110"/>
            </w:tcMar>
          </w:tcPr>
          <w:p>
            <w:pPr>
              <w:spacing w:after="0" w:line="252"/>
            </w:pPr>
            <w:r>
              <w:rPr>
                <w:sz w:val="19"/>
                <w:szCs w:val="19"/>
              </w:rPr>
              <w:t xml:space="preserve">false</w:t>
            </w:r>
          </w:p>
        </w:tc>
      </w:tr>
      <w:tr>
        <w:trPr>
          <w:tblHeader w:val="off"/>
        </w:trPr>
        <w:tc>
          <w:tcPr>
            <w:tcW w:type="dxa" w:w="2080"/>
            <w:tcMar>
              <w:top w:type="dxa" w:w="70"/>
              <w:left w:type="dxa" w:w="110"/>
              <w:bottom w:type="dxa" w:w="70"/>
              <w:right w:type="dxa" w:w="110"/>
            </w:tcMar>
          </w:tcPr>
          <w:p>
            <w:pPr>
              <w:spacing w:after="0" w:line="252"/>
            </w:pPr>
            <w:r>
              <w:rPr>
                <w:rFonts w:ascii="Consolas" w:cs="Consolas" w:eastAsia="Consolas" w:hAnsi="Consolas"/>
                <w:color w:val="333333"/>
                <w:sz w:val="19"/>
                <w:szCs w:val="19"/>
              </w:rPr>
              <w:t xml:space="preserve">noRegulatoryCrosstalk</w:t>
            </w:r>
          </w:p>
        </w:tc>
        <w:tc>
          <w:tcPr>
            <w:tcW w:type="dxa" w:w="1500"/>
            <w:tcMar>
              <w:top w:type="dxa" w:w="70"/>
              <w:left w:type="dxa" w:w="110"/>
              <w:bottom w:type="dxa" w:w="70"/>
              <w:right w:type="dxa" w:w="110"/>
            </w:tcMar>
          </w:tcPr>
          <w:p>
            <w:pPr>
              <w:spacing w:after="0" w:line="252"/>
            </w:pPr>
            <w:r>
              <w:rPr>
                <w:sz w:val="19"/>
                <w:szCs w:val="19"/>
              </w:rPr>
              <w:t xml:space="preserve">true / false</w:t>
            </w:r>
          </w:p>
        </w:tc>
        <w:tc>
          <w:tcPr>
            <w:tcW w:type="dxa" w:w="4420"/>
            <w:tcMar>
              <w:top w:type="dxa" w:w="70"/>
              <w:left w:type="dxa" w:w="110"/>
              <w:bottom w:type="dxa" w:w="70"/>
              <w:right w:type="dxa" w:w="110"/>
            </w:tcMar>
          </w:tcPr>
          <w:p>
            <w:pPr>
              <w:spacing w:after="0" w:line="252"/>
            </w:pPr>
            <w:r>
              <w:rPr>
                <w:sz w:val="19"/>
                <w:szCs w:val="19"/>
              </w:rPr>
              <w:t xml:space="preserve">Whether a signal may activate a circuit reaction other than its own target. Reported either way.</w:t>
            </w:r>
          </w:p>
        </w:tc>
        <w:tc>
          <w:tcPr>
            <w:tcW w:type="dxa" w:w="1360"/>
            <w:tcMar>
              <w:top w:type="dxa" w:w="70"/>
              <w:left w:type="dxa" w:w="110"/>
              <w:bottom w:type="dxa" w:w="70"/>
              <w:right w:type="dxa" w:w="110"/>
            </w:tcMar>
          </w:tcPr>
          <w:p>
            <w:pPr>
              <w:spacing w:after="0" w:line="252"/>
            </w:pPr>
            <w:r>
              <w:rPr>
                <w:sz w:val="19"/>
                <w:szCs w:val="19"/>
              </w:rPr>
              <w:t xml:space="preserve">false</w:t>
            </w:r>
          </w:p>
        </w:tc>
      </w:tr>
    </w:tbl>
    <w:p>
      <w:pPr>
        <w:pStyle w:val="Heading2"/>
        <w:keepNext/>
        <w:spacing w:after="120" w:before="260"/>
      </w:pPr>
      <w:r>
        <w:t xml:space="preserve">5.1 Differences from the original hand drawing</w:t>
      </w:r>
    </w:p>
    <w:p>
      <w:pPr>
        <w:spacing w:after="100" w:line="276"/>
      </w:pPr>
      <w:r>
        <w:rPr>
          <w:sz w:val="21"/>
          <w:szCs w:val="21"/>
        </w:rPr>
        <w:t xml:space="preserve">The current configuration departs from the original Block 1 sketch in four ways. Each is a switch in the table above, not a structural commitment.</w:t>
      </w:r>
    </w:p>
    <w:p>
      <w:pPr>
        <w:pStyle w:val="ListParagraph"/>
        <w:numPr>
          <w:ilvl w:val="0"/>
          <w:numId w:val="2"/>
        </w:numPr>
        <w:spacing w:after="80" w:line="276"/>
      </w:pPr>
      <w:r>
        <w:rPr>
          <w:sz w:val="21"/>
          <w:szCs w:val="21"/>
        </w:rPr>
        <w:t xml:space="preserve">The fast arm is one reaction, so there is no </w:t>
      </w:r>
      <w:r>
        <w:rPr>
          <w:rFonts w:ascii="Consolas" w:cs="Consolas" w:eastAsia="Consolas" w:hAnsi="Consolas"/>
          <w:color w:val="333333"/>
          <w:sz w:val="21"/>
          <w:szCs w:val="21"/>
        </w:rPr>
        <w:t xml:space="preserve">m_Ff_1</w:t>
      </w:r>
      <w:r>
        <w:rPr>
          <w:sz w:val="21"/>
          <w:szCs w:val="21"/>
        </w:rPr>
        <w:t xml:space="preserve">. The arms are deliberately asymmetric.</w:t>
      </w:r>
    </w:p>
    <w:p>
      <w:pPr>
        <w:pStyle w:val="ListParagraph"/>
        <w:numPr>
          <w:ilvl w:val="0"/>
          <w:numId w:val="2"/>
        </w:numPr>
        <w:spacing w:after="80" w:line="276"/>
      </w:pPr>
      <w:r>
        <w:rPr>
          <w:sz w:val="21"/>
          <w:szCs w:val="21"/>
        </w:rPr>
        <w:t xml:space="preserve">The stages are joined catalytically rather than by mass flow, adding </w:t>
      </w:r>
      <w:r>
        <w:rPr>
          <w:rFonts w:ascii="Consolas" w:cs="Consolas" w:eastAsia="Consolas" w:hAnsi="Consolas"/>
          <w:color w:val="333333"/>
          <w:sz w:val="21"/>
          <w:szCs w:val="21"/>
        </w:rPr>
        <w:t xml:space="preserve">r_A_2</w:t>
      </w:r>
      <w:r>
        <w:rPr>
          <w:sz w:val="21"/>
          <w:szCs w:val="21"/>
        </w:rPr>
        <w:t xml:space="preserve"> and </w:t>
      </w:r>
      <w:r>
        <w:rPr>
          <w:rFonts w:ascii="Consolas" w:cs="Consolas" w:eastAsia="Consolas" w:hAnsi="Consolas"/>
          <w:color w:val="333333"/>
          <w:sz w:val="21"/>
          <w:szCs w:val="21"/>
        </w:rPr>
        <w:t xml:space="preserve">m_in_2</w:t>
      </w:r>
      <w:r>
        <w:rPr>
          <w:sz w:val="21"/>
          <w:szCs w:val="21"/>
        </w:rPr>
        <w:t xml:space="preserve">.</w:t>
      </w:r>
    </w:p>
    <w:p>
      <w:pPr>
        <w:pStyle w:val="ListParagraph"/>
        <w:numPr>
          <w:ilvl w:val="0"/>
          <w:numId w:val="2"/>
        </w:numPr>
        <w:spacing w:after="80" w:line="276"/>
      </w:pPr>
      <w:r>
        <w:rPr>
          <w:sz w:val="21"/>
          <w:szCs w:val="21"/>
        </w:rPr>
        <w:t xml:space="preserve">The counter’s shared species </w:t>
      </w:r>
      <w:r>
        <w:rPr>
          <w:rFonts w:ascii="Consolas" w:cs="Consolas" w:eastAsia="Consolas" w:hAnsi="Consolas"/>
          <w:color w:val="333333"/>
          <w:sz w:val="21"/>
          <w:szCs w:val="21"/>
        </w:rPr>
        <w:t xml:space="preserve">m_I</w:t>
      </w:r>
      <w:r>
        <w:rPr>
          <w:sz w:val="21"/>
          <w:szCs w:val="21"/>
        </w:rPr>
        <w:t xml:space="preserve"> has been dropped. </w:t>
      </w:r>
      <w:r>
        <w:rPr>
          <w:b/>
          <w:bCs/>
          <w:sz w:val="21"/>
          <w:szCs w:val="21"/>
        </w:rPr>
        <w:t xml:space="preserve">This is the one departure that is a modelling claim rather than a search convenience and should be settled explicitly.</w:t>
      </w:r>
    </w:p>
    <w:p>
      <w:pPr>
        <w:pStyle w:val="ListParagraph"/>
        <w:numPr>
          <w:ilvl w:val="0"/>
          <w:numId w:val="2"/>
        </w:numPr>
        <w:spacing w:after="80" w:line="276"/>
      </w:pPr>
      <w:r>
        <w:rPr>
          <w:sz w:val="21"/>
          <w:szCs w:val="21"/>
        </w:rPr>
        <w:t xml:space="preserve">The ∅ steps may be added sinks (reactor outflow, a protease, a phosphatase) rather than mapped metabolic reactions.</w:t>
      </w:r>
    </w:p>
    <w:p>
      <w:pPr>
        <w:pStyle w:val="Heading1"/>
        <w:keepNext/>
        <w:spacing w:after="160" w:before="320"/>
      </w:pPr>
      <w:r>
        <w:t xml:space="preserve">6. Why the mapping has not yet succeeded</w:t>
      </w:r>
    </w:p>
    <w:p>
      <w:pPr>
        <w:spacing w:after="140" w:line="276"/>
      </w:pPr>
      <w:r>
        <w:rPr>
          <w:sz w:val="21"/>
          <w:szCs w:val="21"/>
        </w:rPr>
        <w:t xml:space="preserve">The search must place 19 reactions and 11 signal species such that each signal is touched only by the reactions its role declares. That exclusivity rule is the only hard constraint; everything else is either structural (it is in the drawing) or a reported annotation. The difficulty is not the rule — it is that the network offers very few places where an IFFL can be built at all.</w:t>
      </w:r>
    </w:p>
    <w:p>
      <w:pPr>
        <w:pStyle w:val="Heading2"/>
        <w:keepNext/>
        <w:spacing w:after="120" w:before="260"/>
      </w:pPr>
      <w:r>
        <w:t xml:space="preserve">6.1 The funnel</w:t>
      </w:r>
    </w:p>
    <w:p>
      <w:pPr>
        <w:spacing w:after="140" w:line="276"/>
      </w:pPr>
      <w:r>
        <w:rPr>
          <w:sz w:val="21"/>
          <w:szCs w:val="21"/>
        </w:rPr>
        <w:t xml:space="preserve">The search is anchored on </w:t>
      </w:r>
      <w:r>
        <w:rPr>
          <w:rFonts w:ascii="Consolas" w:cs="Consolas" w:eastAsia="Consolas" w:hAnsi="Consolas"/>
          <w:color w:val="333333"/>
          <w:sz w:val="21"/>
          <w:szCs w:val="21"/>
        </w:rPr>
        <w:t xml:space="preserve">r_I</w:t>
      </w:r>
      <w:r>
        <w:rPr>
          <w:sz w:val="21"/>
          <w:szCs w:val="21"/>
        </w:rPr>
        <w:t xml:space="preserve">, the saturated degrader, because it is the only reaction in the motif that touches two of the three key species at once: its substrates are candidate outputs </w:t>
      </w:r>
      <w:r>
        <w:rPr>
          <w:rFonts w:ascii="Consolas" w:cs="Consolas" w:eastAsia="Consolas" w:hAnsi="Consolas"/>
          <w:color w:val="333333"/>
          <w:sz w:val="21"/>
          <w:szCs w:val="21"/>
        </w:rPr>
        <w:t xml:space="preserve">m_d</w:t>
      </w:r>
      <w:r>
        <w:rPr>
          <w:sz w:val="21"/>
          <w:szCs w:val="21"/>
        </w:rPr>
        <w:t xml:space="preserve">, and the BRENDA activators of its EC number are candidate gates </w:t>
      </w:r>
      <w:r>
        <w:rPr>
          <w:rFonts w:ascii="Consolas" w:cs="Consolas" w:eastAsia="Consolas" w:hAnsi="Consolas"/>
          <w:color w:val="333333"/>
          <w:sz w:val="21"/>
          <w:szCs w:val="21"/>
        </w:rPr>
        <w:t xml:space="preserve">m_Fd</w:t>
      </w:r>
      <w:r>
        <w:rPr>
          <w:sz w:val="21"/>
          <w:szCs w:val="21"/>
        </w:rPr>
        <w:t xml:space="preserve">. The third species, </w:t>
      </w:r>
      <w:r>
        <w:rPr>
          <w:rFonts w:ascii="Consolas" w:cs="Consolas" w:eastAsia="Consolas" w:hAnsi="Consolas"/>
          <w:color w:val="333333"/>
          <w:sz w:val="21"/>
          <w:szCs w:val="21"/>
        </w:rPr>
        <w:t xml:space="preserve">m_in</w:t>
      </w:r>
      <w:r>
        <w:rPr>
          <w:sz w:val="21"/>
          <w:szCs w:val="21"/>
        </w:rPr>
        <w:t xml:space="preserve">, is then found by searching backwards for two arms that reconverge on it. Activation is not in the stoichiometric matrix; it is layered on from the annotation, and the same adjacency supplies the catalytic edges for </w:t>
      </w:r>
      <w:r>
        <w:rPr>
          <w:rFonts w:ascii="Consolas" w:cs="Consolas" w:eastAsia="Consolas" w:hAnsi="Consolas"/>
          <w:color w:val="333333"/>
          <w:sz w:val="21"/>
          <w:szCs w:val="21"/>
        </w:rPr>
        <w:t xml:space="preserve">r_c</w:t>
      </w:r>
      <w:r>
        <w:rPr>
          <w:sz w:val="21"/>
          <w:szCs w:val="21"/>
        </w:rPr>
        <w:t xml:space="preserve">, </w:t>
      </w:r>
      <w:r>
        <w:rPr>
          <w:rFonts w:ascii="Consolas" w:cs="Consolas" w:eastAsia="Consolas" w:hAnsi="Consolas"/>
          <w:color w:val="333333"/>
          <w:sz w:val="21"/>
          <w:szCs w:val="21"/>
        </w:rPr>
        <w:t xml:space="preserve">r_Nw</w:t>
      </w:r>
      <w:r>
        <w:rPr>
          <w:sz w:val="21"/>
          <w:szCs w:val="21"/>
        </w:rPr>
        <w:t xml:space="preserve"> and </w:t>
      </w:r>
      <w:r>
        <w:rPr>
          <w:rFonts w:ascii="Consolas" w:cs="Consolas" w:eastAsia="Consolas" w:hAnsi="Consolas"/>
          <w:color w:val="333333"/>
          <w:sz w:val="21"/>
          <w:szCs w:val="21"/>
        </w:rPr>
        <w:t xml:space="preserve">r_A_2</w:t>
      </w:r>
      <w:r>
        <w:rPr>
          <w:sz w:val="21"/>
          <w:szCs w:val="21"/>
        </w:rPr>
        <w:t xml:space="preserve">. Blocks are built stage-agnostically and assigned to D1 or D2 only at assembly.</w:t>
      </w:r>
    </w:p>
    <w:tbl>
      <w:tblPr>
        <w:tblW w:type="dxa" w:w="9360"/>
        <w:tblBorders>
          <w:top w:val="single" w:color="C9C7BE" w:sz="2"/>
          <w:left w:val="none"/>
          <w:bottom w:val="single" w:color="C9C7BE" w:sz="2"/>
          <w:right w:val="none"/>
          <w:insideH w:val="single" w:color="DEDCD4" w:sz="2"/>
          <w:insideV w:val="none"/>
        </w:tblBorders>
      </w:tblPr>
      <w:tblGrid>
        <w:gridCol w:w="2100"/>
        <w:gridCol w:w="2400"/>
        <w:gridCol w:w="4860"/>
      </w:tblGrid>
      <w:tr>
        <w:trPr>
          <w:tblHeader/>
        </w:trPr>
        <w:tc>
          <w:tcPr>
            <w:tcW w:type="dxa" w:w="2100"/>
            <w:shd w:fill="1D6E56" w:val="clear"/>
            <w:tcMar>
              <w:top w:type="dxa" w:w="70"/>
              <w:left w:type="dxa" w:w="110"/>
              <w:bottom w:type="dxa" w:w="70"/>
              <w:right w:type="dxa" w:w="110"/>
            </w:tcMar>
          </w:tcPr>
          <w:p>
            <w:pPr>
              <w:spacing w:after="0" w:line="252"/>
            </w:pPr>
            <w:r>
              <w:rPr>
                <w:b/>
                <w:bCs/>
                <w:color w:val="FFFFFF"/>
                <w:sz w:val="19"/>
                <w:szCs w:val="19"/>
              </w:rPr>
              <w:t xml:space="preserve">Stage</w:t>
            </w:r>
          </w:p>
        </w:tc>
        <w:tc>
          <w:tcPr>
            <w:tcW w:type="dxa" w:w="2400"/>
            <w:shd w:fill="1D6E56" w:val="clear"/>
            <w:tcMar>
              <w:top w:type="dxa" w:w="70"/>
              <w:left w:type="dxa" w:w="110"/>
              <w:bottom w:type="dxa" w:w="70"/>
              <w:right w:type="dxa" w:w="110"/>
            </w:tcMar>
          </w:tcPr>
          <w:p>
            <w:pPr>
              <w:spacing w:after="0" w:line="252"/>
            </w:pPr>
            <w:r>
              <w:rPr>
                <w:b/>
                <w:bCs/>
                <w:color w:val="FFFFFF"/>
                <w:sz w:val="19"/>
                <w:szCs w:val="19"/>
              </w:rPr>
              <w:t xml:space="preserve">Count</w:t>
            </w:r>
          </w:p>
        </w:tc>
        <w:tc>
          <w:tcPr>
            <w:tcW w:type="dxa" w:w="4860"/>
            <w:shd w:fill="1D6E56" w:val="clear"/>
            <w:tcMar>
              <w:top w:type="dxa" w:w="70"/>
              <w:left w:type="dxa" w:w="110"/>
              <w:bottom w:type="dxa" w:w="70"/>
              <w:right w:type="dxa" w:w="110"/>
            </w:tcMar>
          </w:tcPr>
          <w:p>
            <w:pPr>
              <w:spacing w:after="0" w:line="252"/>
            </w:pPr>
            <w:r>
              <w:rPr>
                <w:b/>
                <w:bCs/>
                <w:color w:val="FFFFFF"/>
                <w:sz w:val="19"/>
                <w:szCs w:val="19"/>
              </w:rPr>
              <w:t xml:space="preserve">Comment</w:t>
            </w:r>
          </w:p>
        </w:tc>
      </w:tr>
      <w:tr>
        <w:trPr>
          <w:tblHeader w:val="off"/>
        </w:trPr>
        <w:tc>
          <w:tcPr>
            <w:tcW w:type="dxa" w:w="2100"/>
            <w:tcMar>
              <w:top w:type="dxa" w:w="70"/>
              <w:left w:type="dxa" w:w="110"/>
              <w:bottom w:type="dxa" w:w="70"/>
              <w:right w:type="dxa" w:w="110"/>
            </w:tcMar>
          </w:tcPr>
          <w:p>
            <w:pPr>
              <w:spacing w:after="0" w:line="252"/>
            </w:pPr>
            <w:r>
              <w:rPr>
                <w:sz w:val="19"/>
                <w:szCs w:val="19"/>
              </w:rPr>
              <w:t xml:space="preserve">Reactions in the model</w:t>
            </w:r>
          </w:p>
        </w:tc>
        <w:tc>
          <w:tcPr>
            <w:tcW w:type="dxa" w:w="2400"/>
            <w:tcMar>
              <w:top w:type="dxa" w:w="70"/>
              <w:left w:type="dxa" w:w="110"/>
              <w:bottom w:type="dxa" w:w="70"/>
              <w:right w:type="dxa" w:w="110"/>
            </w:tcMar>
          </w:tcPr>
          <w:p>
            <w:pPr>
              <w:spacing w:after="0" w:line="252"/>
            </w:pPr>
            <w:r>
              <w:rPr>
                <w:sz w:val="19"/>
                <w:szCs w:val="19"/>
              </w:rPr>
              <w:t xml:space="preserve">5179</w:t>
            </w:r>
          </w:p>
        </w:tc>
        <w:tc>
          <w:tcPr>
            <w:tcW w:type="dxa" w:w="4860"/>
            <w:tcMar>
              <w:top w:type="dxa" w:w="70"/>
              <w:left w:type="dxa" w:w="110"/>
              <w:bottom w:type="dxa" w:w="70"/>
              <w:right w:type="dxa" w:w="110"/>
            </w:tcMar>
          </w:tcPr>
          <w:p>
            <w:pPr>
              <w:spacing w:after="0" w:line="252"/>
            </w:pPr>
            <w:r>
              <w:rPr>
                <w:sz w:val="19"/>
                <w:szCs w:val="19"/>
              </w:rPr>
              <w:t xml:space="preserve">Of these, 2270 carry an EC number.</w:t>
            </w:r>
          </w:p>
        </w:tc>
      </w:tr>
      <w:tr>
        <w:trPr>
          <w:tblHeader w:val="off"/>
        </w:trPr>
        <w:tc>
          <w:tcPr>
            <w:tcW w:type="dxa" w:w="2100"/>
            <w:tcMar>
              <w:top w:type="dxa" w:w="70"/>
              <w:left w:type="dxa" w:w="110"/>
              <w:bottom w:type="dxa" w:w="70"/>
              <w:right w:type="dxa" w:w="110"/>
            </w:tcMar>
          </w:tcPr>
          <w:p>
            <w:pPr>
              <w:spacing w:after="0" w:line="252"/>
            </w:pPr>
            <w:r>
              <w:rPr>
                <w:sz w:val="19"/>
                <w:szCs w:val="19"/>
              </w:rPr>
              <w:t xml:space="preserve">EC numbers with BRENDA activators</w:t>
            </w:r>
          </w:p>
        </w:tc>
        <w:tc>
          <w:tcPr>
            <w:tcW w:type="dxa" w:w="2400"/>
            <w:tcMar>
              <w:top w:type="dxa" w:w="70"/>
              <w:left w:type="dxa" w:w="110"/>
              <w:bottom w:type="dxa" w:w="70"/>
              <w:right w:type="dxa" w:w="110"/>
            </w:tcMar>
          </w:tcPr>
          <w:p>
            <w:pPr>
              <w:spacing w:after="0" w:line="252"/>
            </w:pPr>
            <w:r>
              <w:rPr>
                <w:sz w:val="19"/>
                <w:szCs w:val="19"/>
              </w:rPr>
              <w:t xml:space="preserve">1181</w:t>
            </w:r>
          </w:p>
        </w:tc>
        <w:tc>
          <w:tcPr>
            <w:tcW w:type="dxa" w:w="4860"/>
            <w:tcMar>
              <w:top w:type="dxa" w:w="70"/>
              <w:left w:type="dxa" w:w="110"/>
              <w:bottom w:type="dxa" w:w="70"/>
              <w:right w:type="dxa" w:w="110"/>
            </w:tcMar>
          </w:tcPr>
          <w:p>
            <w:pPr>
              <w:spacing w:after="0" w:line="252"/>
            </w:pPr>
            <w:r>
              <w:rPr>
                <w:sz w:val="19"/>
                <w:szCs w:val="19"/>
              </w:rPr>
              <w:t xml:space="preserve">The catalytic gate must come from an activator annotation.</w:t>
            </w:r>
          </w:p>
        </w:tc>
      </w:tr>
      <w:tr>
        <w:trPr>
          <w:tblHeader w:val="off"/>
        </w:trPr>
        <w:tc>
          <w:tcPr>
            <w:tcW w:type="dxa" w:w="2100"/>
            <w:tcMar>
              <w:top w:type="dxa" w:w="70"/>
              <w:left w:type="dxa" w:w="110"/>
              <w:bottom w:type="dxa" w:w="70"/>
              <w:right w:type="dxa" w:w="110"/>
            </w:tcMar>
          </w:tcPr>
          <w:p>
            <w:pPr>
              <w:spacing w:after="0" w:line="252"/>
            </w:pPr>
            <w:r>
              <w:rPr>
                <w:sz w:val="19"/>
                <w:szCs w:val="19"/>
              </w:rPr>
              <w:t xml:space="preserve">Seed reactions (candidate r_I)</w:t>
            </w:r>
          </w:p>
        </w:tc>
        <w:tc>
          <w:tcPr>
            <w:tcW w:type="dxa" w:w="2400"/>
            <w:tcMar>
              <w:top w:type="dxa" w:w="70"/>
              <w:left w:type="dxa" w:w="110"/>
              <w:bottom w:type="dxa" w:w="70"/>
              <w:right w:type="dxa" w:w="110"/>
            </w:tcMar>
          </w:tcPr>
          <w:p>
            <w:pPr>
              <w:spacing w:after="0" w:line="252"/>
            </w:pPr>
            <w:r>
              <w:rPr>
                <w:sz w:val="19"/>
                <w:szCs w:val="19"/>
              </w:rPr>
              <w:t xml:space="preserve">820</w:t>
            </w:r>
          </w:p>
        </w:tc>
        <w:tc>
          <w:tcPr>
            <w:tcW w:type="dxa" w:w="4860"/>
            <w:tcMar>
              <w:top w:type="dxa" w:w="70"/>
              <w:left w:type="dxa" w:w="110"/>
              <w:bottom w:type="dxa" w:w="70"/>
              <w:right w:type="dxa" w:w="110"/>
            </w:tcMar>
          </w:tcPr>
          <w:p>
            <w:pPr>
              <w:spacing w:after="0" w:line="252"/>
            </w:pPr>
            <w:r>
              <w:rPr>
                <w:sz w:val="19"/>
                <w:szCs w:val="19"/>
              </w:rPr>
              <w:t xml:space="preserve">One row per reaction, carrying every activator of its EC that exists in the model. Matched by ligand name, not by chemical identifier.</w:t>
            </w:r>
          </w:p>
        </w:tc>
      </w:tr>
      <w:tr>
        <w:trPr>
          <w:tblHeader w:val="off"/>
        </w:trPr>
        <w:tc>
          <w:tcPr>
            <w:tcW w:type="dxa" w:w="2100"/>
            <w:tcMar>
              <w:top w:type="dxa" w:w="70"/>
              <w:left w:type="dxa" w:w="110"/>
              <w:bottom w:type="dxa" w:w="70"/>
              <w:right w:type="dxa" w:w="110"/>
            </w:tcMar>
          </w:tcPr>
          <w:p>
            <w:pPr>
              <w:spacing w:after="0" w:line="252"/>
            </w:pPr>
            <w:r>
              <w:rPr>
                <w:sz w:val="19"/>
                <w:szCs w:val="19"/>
              </w:rPr>
              <w:t xml:space="preserve">Usable anchors</w:t>
            </w:r>
          </w:p>
        </w:tc>
        <w:tc>
          <w:tcPr>
            <w:tcW w:type="dxa" w:w="2400"/>
            <w:tcMar>
              <w:top w:type="dxa" w:w="70"/>
              <w:left w:type="dxa" w:w="110"/>
              <w:bottom w:type="dxa" w:w="70"/>
              <w:right w:type="dxa" w:w="110"/>
            </w:tcMar>
          </w:tcPr>
          <w:p>
            <w:pPr>
              <w:spacing w:after="0" w:line="252"/>
            </w:pPr>
            <w:r>
              <w:rPr>
                <w:sz w:val="19"/>
                <w:szCs w:val="19"/>
              </w:rPr>
              <w:t xml:space="preserve">440</w:t>
            </w:r>
          </w:p>
        </w:tc>
        <w:tc>
          <w:tcPr>
            <w:tcW w:type="dxa" w:w="4860"/>
            <w:tcMar>
              <w:top w:type="dxa" w:w="70"/>
              <w:left w:type="dxa" w:w="110"/>
              <w:bottom w:type="dxa" w:w="70"/>
              <w:right w:type="dxa" w:w="110"/>
            </w:tcMar>
          </w:tcPr>
          <w:p>
            <w:pPr>
              <w:spacing w:after="0" w:line="252"/>
            </w:pPr>
            <w:r>
              <w:rPr>
                <w:sz w:val="19"/>
                <w:szCs w:val="19"/>
              </w:rPr>
              <w:t xml:space="preserve">After removing transport, exchange and cross-compartment reactions.</w:t>
            </w:r>
          </w:p>
        </w:tc>
      </w:tr>
      <w:tr>
        <w:trPr>
          <w:tblHeader w:val="off"/>
        </w:trPr>
        <w:tc>
          <w:tcPr>
            <w:tcW w:type="dxa" w:w="2100"/>
            <w:tcMar>
              <w:top w:type="dxa" w:w="70"/>
              <w:left w:type="dxa" w:w="110"/>
              <w:bottom w:type="dxa" w:w="70"/>
              <w:right w:type="dxa" w:w="110"/>
            </w:tcMar>
          </w:tcPr>
          <w:p>
            <w:pPr>
              <w:spacing w:after="0" w:line="252"/>
            </w:pPr>
            <w:r>
              <w:rPr>
                <w:sz w:val="19"/>
                <w:szCs w:val="19"/>
              </w:rPr>
              <w:t xml:space="preserve">Metabolites activating a usable reaction</w:t>
            </w:r>
          </w:p>
        </w:tc>
        <w:tc>
          <w:tcPr>
            <w:tcW w:type="dxa" w:w="2400"/>
            <w:tcMar>
              <w:top w:type="dxa" w:w="70"/>
              <w:left w:type="dxa" w:w="110"/>
              <w:bottom w:type="dxa" w:w="70"/>
              <w:right w:type="dxa" w:w="110"/>
            </w:tcMar>
          </w:tcPr>
          <w:p>
            <w:pPr>
              <w:spacing w:after="0" w:line="252"/>
            </w:pPr>
            <w:r>
              <w:rPr>
                <w:sz w:val="19"/>
                <w:szCs w:val="19"/>
              </w:rPr>
              <w:t xml:space="preserve">143</w:t>
            </w:r>
          </w:p>
        </w:tc>
        <w:tc>
          <w:tcPr>
            <w:tcW w:type="dxa" w:w="4860"/>
            <w:tcMar>
              <w:top w:type="dxa" w:w="70"/>
              <w:left w:type="dxa" w:w="110"/>
              <w:bottom w:type="dxa" w:w="70"/>
              <w:right w:type="dxa" w:w="110"/>
            </w:tcMar>
          </w:tcPr>
          <w:p>
            <w:pPr>
              <w:spacing w:after="0" w:line="252"/>
            </w:pPr>
            <w:r>
              <w:rPr>
                <w:sz w:val="19"/>
                <w:szCs w:val="19"/>
              </w:rPr>
              <w:t xml:space="preserve">The raw pool of candidate gates.</w:t>
            </w:r>
          </w:p>
        </w:tc>
      </w:tr>
      <w:tr>
        <w:trPr>
          <w:tblHeader w:val="off"/>
        </w:trPr>
        <w:tc>
          <w:tcPr>
            <w:tcW w:type="dxa" w:w="2100"/>
            <w:tcMar>
              <w:top w:type="dxa" w:w="70"/>
              <w:left w:type="dxa" w:w="110"/>
              <w:bottom w:type="dxa" w:w="70"/>
              <w:right w:type="dxa" w:w="110"/>
            </w:tcMar>
          </w:tcPr>
          <w:p>
            <w:pPr>
              <w:spacing w:after="0" w:line="252"/>
            </w:pPr>
            <w:r>
              <w:rPr>
                <w:sz w:val="19"/>
                <w:szCs w:val="19"/>
              </w:rPr>
              <w:t xml:space="preserve">Distinct gates surviving</w:t>
            </w:r>
          </w:p>
        </w:tc>
        <w:tc>
          <w:tcPr>
            <w:tcW w:type="dxa" w:w="2400"/>
            <w:tcMar>
              <w:top w:type="dxa" w:w="70"/>
              <w:left w:type="dxa" w:w="110"/>
              <w:bottom w:type="dxa" w:w="70"/>
              <w:right w:type="dxa" w:w="110"/>
            </w:tcMar>
          </w:tcPr>
          <w:p>
            <w:pPr>
              <w:spacing w:after="0" w:line="252"/>
            </w:pPr>
            <w:r>
              <w:rPr>
                <w:sz w:val="19"/>
                <w:szCs w:val="19"/>
              </w:rPr>
              <w:t xml:space="preserve">8</w:t>
            </w:r>
          </w:p>
        </w:tc>
        <w:tc>
          <w:tcPr>
            <w:tcW w:type="dxa" w:w="4860"/>
            <w:tcMar>
              <w:top w:type="dxa" w:w="70"/>
              <w:left w:type="dxa" w:w="110"/>
              <w:bottom w:type="dxa" w:w="70"/>
              <w:right w:type="dxa" w:w="110"/>
            </w:tcMar>
          </w:tcPr>
          <w:p>
            <w:pPr>
              <w:spacing w:after="0" w:line="252"/>
            </w:pPr>
            <w:r>
              <w:rPr>
                <w:sz w:val="19"/>
                <w:szCs w:val="19"/>
              </w:rPr>
              <w:t xml:space="preserve">The collapse happens here.</w:t>
            </w:r>
          </w:p>
        </w:tc>
      </w:tr>
      <w:tr>
        <w:trPr>
          <w:tblHeader w:val="off"/>
        </w:trPr>
        <w:tc>
          <w:tcPr>
            <w:tcW w:type="dxa" w:w="2100"/>
            <w:tcMar>
              <w:top w:type="dxa" w:w="70"/>
              <w:left w:type="dxa" w:w="110"/>
              <w:bottom w:type="dxa" w:w="70"/>
              <w:right w:type="dxa" w:w="110"/>
            </w:tcMar>
          </w:tcPr>
          <w:p>
            <w:pPr>
              <w:spacing w:after="0" w:line="252"/>
            </w:pPr>
            <w:r>
              <w:rPr>
                <w:sz w:val="19"/>
                <w:szCs w:val="19"/>
              </w:rPr>
              <w:t xml:space="preserve">Differentiator blocks</w:t>
            </w:r>
          </w:p>
        </w:tc>
        <w:tc>
          <w:tcPr>
            <w:tcW w:type="dxa" w:w="2400"/>
            <w:tcMar>
              <w:top w:type="dxa" w:w="70"/>
              <w:left w:type="dxa" w:w="110"/>
              <w:bottom w:type="dxa" w:w="70"/>
              <w:right w:type="dxa" w:w="110"/>
            </w:tcMar>
          </w:tcPr>
          <w:p>
            <w:pPr>
              <w:spacing w:after="0" w:line="252"/>
            </w:pPr>
            <w:r>
              <w:rPr>
                <w:sz w:val="19"/>
                <w:szCs w:val="19"/>
              </w:rPr>
              <w:t xml:space="preserve">106</w:t>
            </w:r>
          </w:p>
        </w:tc>
        <w:tc>
          <w:tcPr>
            <w:tcW w:type="dxa" w:w="4860"/>
            <w:tcMar>
              <w:top w:type="dxa" w:w="70"/>
              <w:left w:type="dxa" w:w="110"/>
              <w:bottom w:type="dxa" w:w="70"/>
              <w:right w:type="dxa" w:w="110"/>
            </w:tcMar>
          </w:tcPr>
          <w:p>
            <w:pPr>
              <w:spacing w:after="0" w:line="252"/>
            </w:pPr>
            <w:r>
              <w:rPr>
                <w:sz w:val="19"/>
                <w:szCs w:val="19"/>
              </w:rPr>
              <w:t xml:space="preserve">49 of them use a single gate, PIP2.</w:t>
            </w:r>
          </w:p>
        </w:tc>
      </w:tr>
      <w:tr>
        <w:trPr>
          <w:tblHeader w:val="off"/>
        </w:trPr>
        <w:tc>
          <w:tcPr>
            <w:tcW w:type="dxa" w:w="2100"/>
            <w:tcMar>
              <w:top w:type="dxa" w:w="70"/>
              <w:left w:type="dxa" w:w="110"/>
              <w:bottom w:type="dxa" w:w="70"/>
              <w:right w:type="dxa" w:w="110"/>
            </w:tcMar>
          </w:tcPr>
          <w:p>
            <w:pPr>
              <w:spacing w:after="0" w:line="252"/>
            </w:pPr>
            <w:r>
              <w:rPr>
                <w:sz w:val="19"/>
                <w:szCs w:val="19"/>
              </w:rPr>
              <w:t xml:space="preserve">Usable hinges between stages</w:t>
            </w:r>
          </w:p>
        </w:tc>
        <w:tc>
          <w:tcPr>
            <w:tcW w:type="dxa" w:w="2400"/>
            <w:tcMar>
              <w:top w:type="dxa" w:w="70"/>
              <w:left w:type="dxa" w:w="110"/>
              <w:bottom w:type="dxa" w:w="70"/>
              <w:right w:type="dxa" w:w="110"/>
            </w:tcMar>
          </w:tcPr>
          <w:p>
            <w:pPr>
              <w:spacing w:after="0" w:line="252"/>
            </w:pPr>
            <w:r>
              <w:rPr>
                <w:sz w:val="19"/>
                <w:szCs w:val="19"/>
              </w:rPr>
              <w:t xml:space="preserve">1</w:t>
            </w:r>
          </w:p>
        </w:tc>
        <w:tc>
          <w:tcPr>
            <w:tcW w:type="dxa" w:w="4860"/>
            <w:tcMar>
              <w:top w:type="dxa" w:w="70"/>
              <w:left w:type="dxa" w:w="110"/>
              <w:bottom w:type="dxa" w:w="70"/>
              <w:right w:type="dxa" w:w="110"/>
            </w:tcMar>
          </w:tcPr>
          <w:p>
            <w:pPr>
              <w:spacing w:after="0" w:line="252"/>
            </w:pPr>
            <w:r>
              <w:rPr>
                <w:sz w:val="19"/>
                <w:szCs w:val="19"/>
              </w:rPr>
              <w:t xml:space="preserve">Phosphatidylcholine.</w:t>
            </w:r>
          </w:p>
        </w:tc>
      </w:tr>
    </w:tbl>
    <w:p>
      <w:pPr>
        <w:pStyle w:val="Heading2"/>
        <w:keepNext/>
        <w:spacing w:after="120" w:before="260"/>
      </w:pPr>
      <w:r>
        <w:t xml:space="preserve">6.2 Where the 143 candidate gates are lost</w:t>
      </w:r>
    </w:p>
    <w:p>
      <w:pPr>
        <w:spacing w:after="100" w:line="276"/>
      </w:pPr>
      <w:r>
        <w:rPr>
          <w:sz w:val="21"/>
          <w:szCs w:val="21"/>
        </w:rPr>
        <w:t xml:space="preserve">A gate survives only if it satisfies every structural requirement of the primitive at once. Measured over 1838 (anchor, gate) pairs and 1247 (anchor, output) pairs:</w:t>
      </w:r>
    </w:p>
    <w:p>
      <w:pPr>
        <w:pStyle w:val="ListParagraph"/>
        <w:numPr>
          <w:ilvl w:val="0"/>
          <w:numId w:val="2"/>
        </w:numPr>
        <w:spacing w:after="80" w:line="276"/>
      </w:pPr>
      <w:r>
        <w:rPr>
          <w:b/>
          <w:bCs/>
          <w:sz w:val="21"/>
          <w:szCs w:val="21"/>
        </w:rPr>
        <w:t xml:space="preserve">261</w:t>
      </w:r>
      <w:r>
        <w:rPr>
          <w:sz w:val="21"/>
          <w:szCs w:val="21"/>
        </w:rPr>
        <w:t xml:space="preserve"> — the gate has no consumer, so </w:t>
      </w:r>
      <w:r>
        <w:rPr>
          <w:rFonts w:ascii="Consolas" w:cs="Consolas" w:eastAsia="Consolas" w:hAnsi="Consolas"/>
          <w:color w:val="333333"/>
          <w:sz w:val="21"/>
          <w:szCs w:val="21"/>
        </w:rPr>
        <w:t xml:space="preserve">r_Fr</w:t>
      </w:r>
      <w:r>
        <w:rPr>
          <w:sz w:val="21"/>
          <w:szCs w:val="21"/>
        </w:rPr>
        <w:t xml:space="preserve"> cannot be built and the gate would never clear.</w:t>
      </w:r>
    </w:p>
    <w:p>
      <w:pPr>
        <w:pStyle w:val="ListParagraph"/>
        <w:numPr>
          <w:ilvl w:val="0"/>
          <w:numId w:val="2"/>
        </w:numPr>
        <w:spacing w:after="80" w:line="276"/>
      </w:pPr>
      <w:r>
        <w:rPr>
          <w:b/>
          <w:bCs/>
          <w:sz w:val="21"/>
          <w:szCs w:val="21"/>
        </w:rPr>
        <w:t xml:space="preserve">378</w:t>
      </w:r>
      <w:r>
        <w:rPr>
          <w:sz w:val="21"/>
          <w:szCs w:val="21"/>
        </w:rPr>
        <w:t xml:space="preserve"> — no short arm produces the gate.</w:t>
      </w:r>
    </w:p>
    <w:p>
      <w:pPr>
        <w:pStyle w:val="ListParagraph"/>
        <w:numPr>
          <w:ilvl w:val="0"/>
          <w:numId w:val="2"/>
        </w:numPr>
        <w:spacing w:after="80" w:line="276"/>
      </w:pPr>
      <w:r>
        <w:rPr>
          <w:b/>
          <w:bCs/>
          <w:sz w:val="21"/>
          <w:szCs w:val="21"/>
        </w:rPr>
        <w:t xml:space="preserve">275</w:t>
      </w:r>
      <w:r>
        <w:rPr>
          <w:sz w:val="21"/>
          <w:szCs w:val="21"/>
        </w:rPr>
        <w:t xml:space="preserve"> — the output has no consumer, so </w:t>
      </w:r>
      <w:r>
        <w:rPr>
          <w:rFonts w:ascii="Consolas" w:cs="Consolas" w:eastAsia="Consolas" w:hAnsi="Consolas"/>
          <w:color w:val="333333"/>
          <w:sz w:val="21"/>
          <w:szCs w:val="21"/>
        </w:rPr>
        <w:t xml:space="preserve">r_lk</w:t>
      </w:r>
      <w:r>
        <w:rPr>
          <w:sz w:val="21"/>
          <w:szCs w:val="21"/>
        </w:rPr>
        <w:t xml:space="preserve"> cannot be built and the output has no baseline.</w:t>
      </w:r>
    </w:p>
    <w:p>
      <w:pPr>
        <w:pStyle w:val="ListParagraph"/>
        <w:numPr>
          <w:ilvl w:val="0"/>
          <w:numId w:val="2"/>
        </w:numPr>
        <w:spacing w:after="80" w:line="276"/>
      </w:pPr>
      <w:r>
        <w:rPr>
          <w:b/>
          <w:bCs/>
          <w:sz w:val="21"/>
          <w:szCs w:val="21"/>
        </w:rPr>
        <w:t xml:space="preserve">199</w:t>
      </w:r>
      <w:r>
        <w:rPr>
          <w:sz w:val="21"/>
          <w:szCs w:val="21"/>
        </w:rPr>
        <w:t xml:space="preserve"> — no short arm produces the output.</w:t>
      </w:r>
    </w:p>
    <w:p>
      <w:pPr>
        <w:pStyle w:val="ListParagraph"/>
        <w:numPr>
          <w:ilvl w:val="0"/>
          <w:numId w:val="2"/>
        </w:numPr>
        <w:spacing w:after="80" w:line="276"/>
      </w:pPr>
      <w:r>
        <w:rPr>
          <w:b/>
          <w:bCs/>
          <w:sz w:val="21"/>
          <w:szCs w:val="21"/>
        </w:rPr>
        <w:t xml:space="preserve">624</w:t>
      </w:r>
      <w:r>
        <w:rPr>
          <w:sz w:val="21"/>
          <w:szCs w:val="21"/>
        </w:rPr>
        <w:t xml:space="preserve"> — </w:t>
      </w:r>
      <w:r>
        <w:rPr>
          <w:b/>
          <w:bCs/>
          <w:sz w:val="21"/>
          <w:szCs w:val="21"/>
        </w:rPr>
        <w:t xml:space="preserve">the two arms share no common source.</w:t>
      </w:r>
      <w:r>
        <w:rPr>
          <w:sz w:val="21"/>
          <w:szCs w:val="21"/>
        </w:rPr>
        <w:t xml:space="preserve"> This is the largest single loss and the most informative one.</w:t>
      </w:r>
    </w:p>
    <w:p>
      <w:pPr>
        <w:spacing w:after="140" w:line="276"/>
      </w:pPr>
      <w:r>
        <w:rPr>
          <w:sz w:val="21"/>
          <w:szCs w:val="21"/>
        </w:rPr>
        <w:t xml:space="preserve">That last requirement is the defining feature of an incoherent feed-forward loop: one input must branch into two paths that reconverge on two </w:t>
      </w:r>
      <w:r>
        <w:rPr>
          <w:i/>
          <w:iCs/>
          <w:sz w:val="21"/>
          <w:szCs w:val="21"/>
        </w:rPr>
        <w:t xml:space="preserve">different</w:t>
      </w:r>
      <w:r>
        <w:rPr>
          <w:sz w:val="21"/>
          <w:szCs w:val="21"/>
        </w:rPr>
        <w:t xml:space="preserve"> species. In a metabolic network such local branching is rare. It occurs where a hub metabolite feeds several short, parallel routes — which in this model means lipid metabolism, and essentially nowhere else that also carries activator annotations.</w:t>
      </w:r>
    </w:p>
    <w:p>
      <w:pPr>
        <w:pStyle w:val="Heading2"/>
        <w:keepNext/>
        <w:spacing w:after="120" w:before="260"/>
      </w:pPr>
      <w:r>
        <w:t xml:space="preserve">6.3 The actual problem</w:t>
      </w:r>
    </w:p>
    <w:p>
      <w:pPr>
        <w:spacing w:after="120" w:line="276"/>
      </w:pPr>
      <w:r>
        <w:rPr>
          <w:sz w:val="21"/>
          <w:szCs w:val="21"/>
        </w:rPr>
        <w:t xml:space="preserve">The phosphoinositide and phospholipid cycle is the only region of this network that can host the primitive, and </w:t>
      </w:r>
      <w:r>
        <w:rPr>
          <w:b/>
          <w:bCs/>
          <w:sz w:val="21"/>
          <w:szCs w:val="21"/>
        </w:rPr>
        <w:t xml:space="preserve">it can host one comfortably, not two disjoint ones.</w:t>
      </w:r>
      <w:r>
        <w:rPr>
          <w:sz w:val="21"/>
          <w:szCs w:val="21"/>
        </w:rPr>
        <w:t xml:space="preserve"> All 106 blocks live there; 49 share a single gate; there is exactly one hinge species. Both stages are therefore forced into the same small neighbourhood, and the failures follow directly from that crowding rather than from any flaw in the circuit:</w:t>
      </w:r>
    </w:p>
    <w:tbl>
      <w:tblPr>
        <w:tblW w:type="dxa" w:w="9360"/>
        <w:tblBorders>
          <w:top w:val="single" w:color="C9C7BE" w:sz="2"/>
          <w:left w:val="none"/>
          <w:bottom w:val="single" w:color="C9C7BE" w:sz="2"/>
          <w:right w:val="none"/>
          <w:insideH w:val="single" w:color="DEDCD4" w:sz="2"/>
          <w:insideV w:val="none"/>
        </w:tblBorders>
      </w:tblPr>
      <w:tblGrid>
        <w:gridCol w:w="2100"/>
        <w:gridCol w:w="2400"/>
        <w:gridCol w:w="4860"/>
      </w:tblGrid>
      <w:tr>
        <w:trPr>
          <w:tblHeader/>
        </w:trPr>
        <w:tc>
          <w:tcPr>
            <w:tcW w:type="dxa" w:w="2100"/>
            <w:shd w:fill="1D6E56" w:val="clear"/>
            <w:tcMar>
              <w:top w:type="dxa" w:w="70"/>
              <w:left w:type="dxa" w:w="110"/>
              <w:bottom w:type="dxa" w:w="70"/>
              <w:right w:type="dxa" w:w="110"/>
            </w:tcMar>
          </w:tcPr>
          <w:p>
            <w:pPr>
              <w:spacing w:after="0" w:line="252"/>
            </w:pPr>
            <w:r>
              <w:rPr>
                <w:b/>
                <w:bCs/>
                <w:color w:val="FFFFFF"/>
                <w:sz w:val="19"/>
                <w:szCs w:val="19"/>
              </w:rPr>
              <w:t xml:space="preserve">Configuration</w:t>
            </w:r>
          </w:p>
        </w:tc>
        <w:tc>
          <w:tcPr>
            <w:tcW w:type="dxa" w:w="2400"/>
            <w:shd w:fill="1D6E56" w:val="clear"/>
            <w:tcMar>
              <w:top w:type="dxa" w:w="70"/>
              <w:left w:type="dxa" w:w="110"/>
              <w:bottom w:type="dxa" w:w="70"/>
              <w:right w:type="dxa" w:w="110"/>
            </w:tcMar>
          </w:tcPr>
          <w:p>
            <w:pPr>
              <w:spacing w:after="0" w:line="252"/>
            </w:pPr>
            <w:r>
              <w:rPr>
                <w:b/>
                <w:bCs/>
                <w:color w:val="FFFFFF"/>
                <w:sz w:val="19"/>
                <w:szCs w:val="19"/>
              </w:rPr>
              <w:t xml:space="preserve">Dominant failure</w:t>
            </w:r>
          </w:p>
        </w:tc>
        <w:tc>
          <w:tcPr>
            <w:tcW w:type="dxa" w:w="4860"/>
            <w:shd w:fill="1D6E56" w:val="clear"/>
            <w:tcMar>
              <w:top w:type="dxa" w:w="70"/>
              <w:left w:type="dxa" w:w="110"/>
              <w:bottom w:type="dxa" w:w="70"/>
              <w:right w:type="dxa" w:w="110"/>
            </w:tcMar>
          </w:tcPr>
          <w:p>
            <w:pPr>
              <w:spacing w:after="0" w:line="252"/>
            </w:pPr>
            <w:r>
              <w:rPr>
                <w:b/>
                <w:bCs/>
                <w:color w:val="FFFFFF"/>
                <w:sz w:val="19"/>
                <w:szCs w:val="19"/>
              </w:rPr>
              <w:t xml:space="preserve">Reading</w:t>
            </w:r>
          </w:p>
        </w:tc>
      </w:tr>
      <w:tr>
        <w:trPr>
          <w:tblHeader w:val="off"/>
        </w:trPr>
        <w:tc>
          <w:tcPr>
            <w:tcW w:type="dxa" w:w="2100"/>
            <w:tcMar>
              <w:top w:type="dxa" w:w="70"/>
              <w:left w:type="dxa" w:w="110"/>
              <w:bottom w:type="dxa" w:w="70"/>
              <w:right w:type="dxa" w:w="110"/>
            </w:tcMar>
          </w:tcPr>
          <w:p>
            <w:pPr>
              <w:spacing w:after="0" w:line="252"/>
            </w:pPr>
            <w:r>
              <w:rPr>
                <w:sz w:val="19"/>
                <w:szCs w:val="19"/>
              </w:rPr>
              <w:t xml:space="preserve">Mass-flow link, 2-step fast arm</w:t>
            </w:r>
          </w:p>
        </w:tc>
        <w:tc>
          <w:tcPr>
            <w:tcW w:type="dxa" w:w="2400"/>
            <w:tcMar>
              <w:top w:type="dxa" w:w="70"/>
              <w:left w:type="dxa" w:w="110"/>
              <w:bottom w:type="dxa" w:w="70"/>
              <w:right w:type="dxa" w:w="110"/>
            </w:tcMar>
          </w:tcPr>
          <w:p>
            <w:pPr>
              <w:spacing w:after="0" w:line="252"/>
            </w:pPr>
            <w:r>
              <w:rPr>
                <w:sz w:val="19"/>
                <w:szCs w:val="19"/>
              </w:rPr>
              <w:t xml:space="preserve">m_Fd_1 = m_Fd_2 (948 joins)</w:t>
            </w:r>
          </w:p>
        </w:tc>
        <w:tc>
          <w:tcPr>
            <w:tcW w:type="dxa" w:w="4860"/>
            <w:tcMar>
              <w:top w:type="dxa" w:w="70"/>
              <w:left w:type="dxa" w:w="110"/>
              <w:bottom w:type="dxa" w:w="70"/>
              <w:right w:type="dxa" w:w="110"/>
            </w:tcMar>
          </w:tcPr>
          <w:p>
            <w:pPr>
              <w:spacing w:after="0" w:line="252"/>
            </w:pPr>
            <w:r>
              <w:rPr>
                <w:sz w:val="19"/>
                <w:szCs w:val="19"/>
              </w:rPr>
              <w:t xml:space="preserve">Both stages want the same gate.</w:t>
            </w:r>
          </w:p>
        </w:tc>
      </w:tr>
      <w:tr>
        <w:trPr>
          <w:tblHeader w:val="off"/>
        </w:trPr>
        <w:tc>
          <w:tcPr>
            <w:tcW w:type="dxa" w:w="2100"/>
            <w:tcMar>
              <w:top w:type="dxa" w:w="70"/>
              <w:left w:type="dxa" w:w="110"/>
              <w:bottom w:type="dxa" w:w="70"/>
              <w:right w:type="dxa" w:w="110"/>
            </w:tcMar>
          </w:tcPr>
          <w:p>
            <w:pPr>
              <w:spacing w:after="0" w:line="252"/>
            </w:pPr>
            <w:r>
              <w:rPr>
                <w:sz w:val="19"/>
                <w:szCs w:val="19"/>
              </w:rPr>
              <w:t xml:space="preserve">Mass-flow link, 1-step fast arm</w:t>
            </w:r>
          </w:p>
        </w:tc>
        <w:tc>
          <w:tcPr>
            <w:tcW w:type="dxa" w:w="2400"/>
            <w:tcMar>
              <w:top w:type="dxa" w:w="70"/>
              <w:left w:type="dxa" w:w="110"/>
              <w:bottom w:type="dxa" w:w="70"/>
              <w:right w:type="dxa" w:w="110"/>
            </w:tcMar>
          </w:tcPr>
          <w:p>
            <w:pPr>
              <w:spacing w:after="0" w:line="252"/>
            </w:pPr>
            <w:r>
              <w:rPr>
                <w:sz w:val="19"/>
                <w:szCs w:val="19"/>
              </w:rPr>
              <w:t xml:space="preserve">m_Sf_1 = m_Sf_2 (480), then r_Fd_2 touches m_Sf_1 (480)</w:t>
            </w:r>
          </w:p>
        </w:tc>
        <w:tc>
          <w:tcPr>
            <w:tcW w:type="dxa" w:w="4860"/>
            <w:tcMar>
              <w:top w:type="dxa" w:w="70"/>
              <w:left w:type="dxa" w:w="110"/>
              <w:bottom w:type="dxa" w:w="70"/>
              <w:right w:type="dxa" w:w="110"/>
            </w:tcMar>
          </w:tcPr>
          <w:p>
            <w:pPr>
              <w:spacing w:after="0" w:line="252"/>
            </w:pPr>
            <w:r>
              <w:rPr>
                <w:sz w:val="19"/>
                <w:szCs w:val="19"/>
              </w:rPr>
              <w:t xml:space="preserve">D2 starts where D1 ended and brushes its intermediates.</w:t>
            </w:r>
          </w:p>
        </w:tc>
      </w:tr>
      <w:tr>
        <w:trPr>
          <w:tblHeader w:val="off"/>
        </w:trPr>
        <w:tc>
          <w:tcPr>
            <w:tcW w:type="dxa" w:w="2100"/>
            <w:tcMar>
              <w:top w:type="dxa" w:w="70"/>
              <w:left w:type="dxa" w:w="110"/>
              <w:bottom w:type="dxa" w:w="70"/>
              <w:right w:type="dxa" w:w="110"/>
            </w:tcMar>
          </w:tcPr>
          <w:p>
            <w:pPr>
              <w:spacing w:after="0" w:line="252"/>
            </w:pPr>
            <w:r>
              <w:rPr>
                <w:sz w:val="19"/>
                <w:szCs w:val="19"/>
              </w:rPr>
              <w:t xml:space="preserve">Catalytic link, 1-step fast arm</w:t>
            </w:r>
          </w:p>
        </w:tc>
        <w:tc>
          <w:tcPr>
            <w:tcW w:type="dxa" w:w="2400"/>
            <w:tcMar>
              <w:top w:type="dxa" w:w="70"/>
              <w:left w:type="dxa" w:w="110"/>
              <w:bottom w:type="dxa" w:w="70"/>
              <w:right w:type="dxa" w:w="110"/>
            </w:tcMar>
          </w:tcPr>
          <w:p>
            <w:pPr>
              <w:spacing w:after="0" w:line="252"/>
            </w:pPr>
            <w:r>
              <w:rPr>
                <w:sz w:val="19"/>
                <w:szCs w:val="19"/>
              </w:rPr>
              <w:t xml:space="preserve">r_Fd_1 = r_Fd_2 (1504), and 693 joins reaching the removal step</w:t>
            </w:r>
          </w:p>
        </w:tc>
        <w:tc>
          <w:tcPr>
            <w:tcW w:type="dxa" w:w="4860"/>
            <w:tcMar>
              <w:top w:type="dxa" w:w="70"/>
              <w:left w:type="dxa" w:w="110"/>
              <w:bottom w:type="dxa" w:w="70"/>
              <w:right w:type="dxa" w:w="110"/>
            </w:tcMar>
          </w:tcPr>
          <w:p>
            <w:pPr>
              <w:spacing w:after="0" w:line="252"/>
            </w:pPr>
            <w:r>
              <w:rPr>
                <w:sz w:val="19"/>
                <w:szCs w:val="19"/>
              </w:rPr>
              <w:t xml:space="preserve">Stages decoupled; the remaining collisions are gate scarcity.</w:t>
            </w:r>
          </w:p>
        </w:tc>
      </w:tr>
    </w:tbl>
    <w:p>
      <w:pPr>
        <w:spacing w:after="160" w:line="276"/>
      </w:pPr>
      <w:r>
        <w:rPr>
          <w:sz w:val="21"/>
          <w:szCs w:val="21"/>
        </w:rPr>
        <w:t xml:space="preserve">The catalytic interstage was the decisive change: joins rose from 960 to 2325, and </w:t>
      </w:r>
      <w:r>
        <w:rPr>
          <w:b/>
          <w:bCs/>
          <w:sz w:val="21"/>
          <w:szCs w:val="21"/>
        </w:rPr>
        <w:t xml:space="preserve">693 of them assembled a complete circuit</w:t>
      </w:r>
      <w:r>
        <w:rPr>
          <w:sz w:val="21"/>
          <w:szCs w:val="21"/>
        </w:rPr>
        <w:t xml:space="preserve"> — cascade, counter and neuron all mapped — failing only on the removal steps. Those 693 are the reason </w:t>
      </w:r>
      <w:r>
        <w:rPr>
          <w:rFonts w:ascii="Consolas" w:cs="Consolas" w:eastAsia="Consolas" w:hAnsi="Consolas"/>
          <w:color w:val="333333"/>
          <w:sz w:val="21"/>
          <w:szCs w:val="21"/>
        </w:rPr>
        <w:t xml:space="preserve">sinkMode</w:t>
      </w:r>
      <w:r>
        <w:rPr>
          <w:sz w:val="21"/>
          <w:szCs w:val="21"/>
        </w:rPr>
        <w:t xml:space="preserve"> was introduced, and the run that tests it is pending.</w:t>
      </w:r>
    </w:p>
    <w:p>
      <w:pPr>
        <w:pStyle w:val="Heading2"/>
        <w:keepNext/>
        <w:spacing w:after="120" w:before="260"/>
      </w:pPr>
      <w:r>
        <w:t xml:space="preserve">6.4 The upstream constraint</w:t>
      </w:r>
    </w:p>
    <w:p>
      <w:pPr>
        <w:spacing w:after="180" w:line="276"/>
      </w:pPr>
      <w:r>
        <w:rPr>
          <w:sz w:val="21"/>
          <w:szCs w:val="21"/>
        </w:rPr>
        <w:t xml:space="preserve">Underlying all of this is the quality of the activator annotation. BRENDA ligands are currently matched to model metabolites </w:t>
      </w:r>
      <w:r>
        <w:rPr>
          <w:b/>
          <w:bCs/>
          <w:sz w:val="21"/>
          <w:szCs w:val="21"/>
        </w:rPr>
        <w:t xml:space="preserve">by name</w:t>
      </w:r>
      <w:r>
        <w:rPr>
          <w:sz w:val="21"/>
          <w:szCs w:val="21"/>
        </w:rPr>
        <w:t xml:space="preserve">, which is approximate and discards most of the annotation. The seed table contains 169 distinct activator ligand names, but names such as “cysteine” or “phosphatidylcholine” match a model metabolite only when the two strings happen to agree after normalisation. Matching by ChEBI or KEGG identifier instead — via MetaNetX or the BiGG metabolite file — would widen the gate pool, which is the one intervention that attacks the root cause rather than its symptoms.</w:t>
      </w:r>
    </w:p>
    <w:p>
      <w:pPr>
        <w:pStyle w:val="Heading1"/>
        <w:keepNext/>
        <w:spacing w:after="160" w:before="320"/>
      </w:pPr>
      <w:r>
        <w:t xml:space="preserve">7. Open decisions</w:t>
      </w:r>
    </w:p>
    <w:p>
      <w:pPr>
        <w:pStyle w:val="ListParagraph"/>
        <w:numPr>
          <w:ilvl w:val="0"/>
          <w:numId w:val="2"/>
        </w:numPr>
        <w:spacing w:after="80" w:line="276"/>
      </w:pPr>
      <w:r>
        <w:rPr>
          <w:sz w:val="21"/>
          <w:szCs w:val="21"/>
        </w:rPr>
        <w:t xml:space="preserve">Is </w:t>
      </w:r>
      <w:r>
        <w:rPr>
          <w:rFonts w:ascii="Consolas" w:cs="Consolas" w:eastAsia="Consolas" w:hAnsi="Consolas"/>
          <w:color w:val="333333"/>
          <w:sz w:val="21"/>
          <w:szCs w:val="21"/>
        </w:rPr>
        <w:t xml:space="preserve">m_I</w:t>
      </w:r>
      <w:r>
        <w:rPr>
          <w:b/>
          <w:bCs/>
          <w:sz w:val="21"/>
          <w:szCs w:val="21"/>
        </w:rPr>
        <w:t xml:space="preserve"> a finite resource? </w:t>
      </w:r>
      <w:r>
        <w:rPr>
          <w:sz w:val="21"/>
          <w:szCs w:val="21"/>
        </w:rPr>
        <w:t xml:space="preserve">If the counter’s two removals must compete for one replenished pool, that sharing is what makes the counter subtractive and </w:t>
      </w:r>
      <w:r>
        <w:rPr>
          <w:rFonts w:ascii="Consolas" w:cs="Consolas" w:eastAsia="Consolas" w:hAnsi="Consolas"/>
          <w:color w:val="333333"/>
          <w:sz w:val="21"/>
          <w:szCs w:val="21"/>
        </w:rPr>
        <w:t xml:space="preserve">requireMI</w:t>
      </w:r>
      <w:r>
        <w:rPr>
          <w:sz w:val="21"/>
          <w:szCs w:val="21"/>
        </w:rPr>
        <w:t xml:space="preserve"> must return to true — in which case this model cannot supply it. If m_I is externally clamped, dropping it changes nothing dynamically.</w:t>
      </w:r>
    </w:p>
    <w:p>
      <w:pPr>
        <w:pStyle w:val="ListParagraph"/>
        <w:numPr>
          <w:ilvl w:val="0"/>
          <w:numId w:val="2"/>
        </w:numPr>
        <w:spacing w:after="80" w:line="276"/>
      </w:pPr>
      <w:r>
        <w:rPr>
          <w:b/>
          <w:bCs/>
          <w:sz w:val="21"/>
          <w:szCs w:val="21"/>
        </w:rPr>
        <w:t xml:space="preserve">Are added sinks acceptable? </w:t>
      </w:r>
      <w:r>
        <w:rPr>
          <w:sz w:val="21"/>
          <w:szCs w:val="21"/>
        </w:rPr>
        <w:t xml:space="preserve">The ∅ steps are removals, not conversions. In a cell-free reactor they can be supplied directly, which makes their rate constants free parameters — convenient for the baseline condition, but it means those steps are not “found in metabolism”.</w:t>
      </w:r>
    </w:p>
    <w:p>
      <w:pPr>
        <w:pStyle w:val="ListParagraph"/>
        <w:numPr>
          <w:ilvl w:val="0"/>
          <w:numId w:val="2"/>
        </w:numPr>
        <w:spacing w:after="80" w:line="276"/>
      </w:pPr>
      <w:r>
        <w:rPr>
          <w:b/>
          <w:bCs/>
          <w:sz w:val="21"/>
          <w:szCs w:val="21"/>
        </w:rPr>
        <w:t xml:space="preserve">Asymmetric arms. </w:t>
      </w:r>
      <w:r>
        <w:rPr>
          <w:sz w:val="21"/>
          <w:szCs w:val="21"/>
        </w:rPr>
        <w:t xml:space="preserve">A one-reaction fast arm is more faithful to “fast” but departs from the symmetric drawing.</w:t>
      </w:r>
    </w:p>
    <w:p>
      <w:pPr>
        <w:pStyle w:val="ListParagraph"/>
        <w:numPr>
          <w:ilvl w:val="0"/>
          <w:numId w:val="2"/>
        </w:numPr>
        <w:spacing w:after="80" w:line="276"/>
      </w:pPr>
      <w:r>
        <w:rPr>
          <w:b/>
          <w:bCs/>
          <w:sz w:val="21"/>
          <w:szCs w:val="21"/>
        </w:rPr>
        <w:t xml:space="preserve">Is a single-compartment circuit required? </w:t>
      </w:r>
      <w:r>
        <w:rPr>
          <w:sz w:val="21"/>
          <w:szCs w:val="21"/>
        </w:rPr>
        <w:t xml:space="preserve">Relaxing it would admit mitochondrial copies of the same chemistry, at the cost of the single-pot interpretation.</w:t>
      </w:r>
    </w:p>
    <w:p>
      <w:pPr>
        <w:pStyle w:val="ListParagraph"/>
        <w:numPr>
          <w:ilvl w:val="0"/>
          <w:numId w:val="2"/>
        </w:numPr>
        <w:spacing w:after="80" w:line="276"/>
      </w:pPr>
      <w:r>
        <w:rPr>
          <w:b/>
          <w:bCs/>
          <w:sz w:val="21"/>
          <w:szCs w:val="21"/>
        </w:rPr>
        <w:t xml:space="preserve">Inhibition as an alternative primitive. </w:t>
      </w:r>
      <w:r>
        <w:rPr>
          <w:sz w:val="21"/>
          <w:szCs w:val="21"/>
        </w:rPr>
        <w:t xml:space="preserve">An IFFL built on BRENDA inhibitor annotations would draw on a different species pool, which may relieve the gate scarcity directly.</w:t>
      </w:r>
    </w:p>
    <w:sectPr>
      <w:pgSz w:w="12240" w:h="15840"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20"/>
      </w:pPr>
    </w:lvl>
    <w:lvl w:ilvl="1" w: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A1A18"/>
      <w:sz w:val="28"/>
      <w:szCs w:val="28"/>
    </w:rPr>
  </w:style>
  <w:style w:type="paragraph" w:styleId="Heading2">
    <w:name w:val="Heading 2"/>
    <w:basedOn w:val="Normal"/>
    <w:next w:val="Normal"/>
    <w:qFormat/>
    <w:rPr>
      <w:rFonts w:ascii="Calibri" w:cs="Calibri" w:eastAsia="Calibri" w:hAnsi="Calibri"/>
      <w:b/>
      <w:bCs/>
      <w:color w:val="1D6E56"/>
      <w:sz w:val="23"/>
      <w:szCs w:val="23"/>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68e6dee1513bea8f80e1b96ca9b31c09e91e0c64.png"/><Relationship Id="rId8" Type="http://schemas.openxmlformats.org/officeDocument/2006/relationships/image" Target="media/128acd3bf046529b54612e0ec84b5c67ade90ab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Two-stage IFFL differentiator, counter and neuron</dc:title>
  <dc:creator>Jorge</dc:creator>
  <dc:description>Circuit specification and mapping status</dc:description>
  <cp:lastModifiedBy>Un-named</cp:lastModifiedBy>
  <cp:revision>1</cp:revision>
  <dcterms:created xsi:type="dcterms:W3CDTF">2026-10-21T20:20:01.366Z</dcterms:created>
  <dcterms:modified xsi:type="dcterms:W3CDTF">2026-10-21T20:20:01.368Z</dcterms:modified>
</cp:coreProperties>
</file>

<file path=docProps/custom.xml><?xml version="1.0" encoding="utf-8"?>
<Properties xmlns="http://schemas.openxmlformats.org/officeDocument/2006/custom-properties" xmlns:vt="http://schemas.openxmlformats.org/officeDocument/2006/docPropsVTypes"/>
</file>