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80"/>
        <w:jc w:val="center"/>
      </w:pPr>
      <w:r>
        <w:rPr>
          <w:rFonts w:ascii="Arial" w:cs="Arial" w:eastAsia="Arial" w:hAnsi="Arial"/>
          <w:b/>
          <w:bCs/>
          <w:color w:val="1A3A5C"/>
          <w:sz w:val="72"/>
          <w:szCs w:val="72"/>
        </w:rPr>
        <w:t xml:space="preserve">YIELDLOOP</w:t>
      </w:r>
    </w:p>
    <w:p>
      <w:pPr>
        <w:spacing w:before="0" w:after="80"/>
        <w:jc w:val="center"/>
      </w:pPr>
      <w:r>
        <w:rPr>
          <w:rFonts w:ascii="Arial" w:cs="Arial" w:eastAsia="Arial" w:hAnsi="Arial"/>
          <w:b/>
          <w:bCs/>
          <w:color w:val="2E7D9F"/>
          <w:sz w:val="36"/>
          <w:szCs w:val="36"/>
        </w:rPr>
        <w:t xml:space="preserve">Legal &amp; Governance Addendum v2.0</w:t>
      </w:r>
    </w:p>
    <w:p>
      <w:pPr>
        <w:spacing w:before="0" w:after="120"/>
        <w:jc w:val="center"/>
      </w:pPr>
      <w:r>
        <w:rPr>
          <w:rFonts w:ascii="Arial" w:cs="Arial" w:eastAsia="Arial" w:hAnsi="Arial"/>
          <w:i/>
          <w:iCs/>
          <w:color w:val="666666"/>
          <w:sz w:val="24"/>
          <w:szCs w:val="24"/>
        </w:rPr>
        <w:t xml:space="preserve">Risk Disclosures, AI Authority Framework, and User Responsibility</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before="60" w:after="60"/>
            </w:pPr>
            <w:r>
              <w:rPr>
                <w:rFonts w:ascii="Arial" w:cs="Arial" w:eastAsia="Arial" w:hAnsi="Arial"/>
                <w:b w:val="false"/>
                <w:bCs w:val="false"/>
                <w:color w:val="1A1A2E"/>
                <w:sz w:val="20"/>
                <w:szCs w:val="20"/>
              </w:rPr>
              <w:t xml:space="preserve">This document is an addendum to the YieldLoop Whitepaper v2.0.</w:t>
            </w:r>
          </w:p>
          <w:p>
            <w:pPr>
              <w:spacing w:before="60" w:after="60"/>
            </w:pPr>
            <w:r>
              <w:rPr>
                <w:rFonts w:ascii="Arial" w:cs="Arial" w:eastAsia="Arial" w:hAnsi="Arial"/>
                <w:b w:val="false"/>
                <w:bCs w:val="false"/>
                <w:color w:val="1A1A2E"/>
                <w:sz w:val="20"/>
                <w:szCs w:val="20"/>
              </w:rPr>
              <w:t xml:space="preserve"/>
            </w:r>
          </w:p>
          <w:p>
            <w:pPr>
              <w:spacing w:before="60" w:after="60"/>
            </w:pPr>
            <w:r>
              <w:rPr>
                <w:rFonts w:ascii="Arial" w:cs="Arial" w:eastAsia="Arial" w:hAnsi="Arial"/>
                <w:b w:val="false"/>
                <w:bCs w:val="false"/>
                <w:color w:val="1A1A2E"/>
                <w:sz w:val="20"/>
                <w:szCs w:val="20"/>
              </w:rPr>
              <w:t xml:space="preserve">It contains:</w:t>
            </w:r>
          </w:p>
          <w:p>
            <w:pPr>
              <w:spacing w:before="60" w:after="60"/>
            </w:pPr>
            <w:r>
              <w:rPr>
                <w:rFonts w:ascii="Arial" w:cs="Arial" w:eastAsia="Arial" w:hAnsi="Arial"/>
                <w:b w:val="false"/>
                <w:bCs w:val="false"/>
                <w:color w:val="1A1A2E"/>
                <w:sz w:val="20"/>
                <w:szCs w:val="20"/>
              </w:rPr>
              <w:t xml:space="preserve">  Section A: Comprehensive Risk Disclosures &amp; User Acknowledgment</w:t>
            </w:r>
          </w:p>
          <w:p>
            <w:pPr>
              <w:spacing w:before="60" w:after="60"/>
            </w:pPr>
            <w:r>
              <w:rPr>
                <w:rFonts w:ascii="Arial" w:cs="Arial" w:eastAsia="Arial" w:hAnsi="Arial"/>
                <w:b w:val="false"/>
                <w:bCs w:val="false"/>
                <w:color w:val="1A1A2E"/>
                <w:sz w:val="20"/>
                <w:szCs w:val="20"/>
              </w:rPr>
              <w:t xml:space="preserve">  Section B: AI Governance Authority &amp; Default Control Framework</w:t>
            </w:r>
          </w:p>
          <w:p>
            <w:pPr>
              <w:spacing w:before="60" w:after="60"/>
            </w:pPr>
            <w:r>
              <w:rPr>
                <w:rFonts w:ascii="Arial" w:cs="Arial" w:eastAsia="Arial" w:hAnsi="Arial"/>
                <w:b w:val="false"/>
                <w:bCs w:val="false"/>
                <w:color w:val="1A1A2E"/>
                <w:sz w:val="20"/>
                <w:szCs w:val="20"/>
              </w:rPr>
              <w:t xml:space="preserve">  Section C: Governance, Multisig, and Authority Boundaries</w:t>
            </w:r>
          </w:p>
          <w:p>
            <w:pPr>
              <w:spacing w:before="60" w:after="60"/>
            </w:pPr>
            <w:r>
              <w:rPr>
                <w:rFonts w:ascii="Arial" w:cs="Arial" w:eastAsia="Arial" w:hAnsi="Arial"/>
                <w:b w:val="false"/>
                <w:bCs w:val="false"/>
                <w:color w:val="1A1A2E"/>
                <w:sz w:val="20"/>
                <w:szCs w:val="20"/>
              </w:rPr>
              <w:t xml:space="preserve">  Section D: Multi-Chain Specific Risk Disclosures</w:t>
            </w:r>
          </w:p>
          <w:p>
            <w:pPr>
              <w:spacing w:before="60" w:after="60"/>
            </w:pPr>
            <w:r>
              <w:rPr>
                <w:rFonts w:ascii="Arial" w:cs="Arial" w:eastAsia="Arial" w:hAnsi="Arial"/>
                <w:b w:val="false"/>
                <w:bCs w:val="false"/>
                <w:color w:val="1A1A2E"/>
                <w:sz w:val="20"/>
                <w:szCs w:val="20"/>
              </w:rPr>
              <w:t xml:space="preserve"/>
            </w:r>
          </w:p>
          <w:p>
            <w:pPr>
              <w:spacing w:before="60" w:after="60"/>
            </w:pPr>
            <w:r>
              <w:rPr>
                <w:rFonts w:ascii="Arial" w:cs="Arial" w:eastAsia="Arial" w:hAnsi="Arial"/>
                <w:b w:val="false"/>
                <w:bCs w:val="false"/>
                <w:color w:val="1A1A2E"/>
                <w:sz w:val="20"/>
                <w:szCs w:val="20"/>
              </w:rPr>
              <w:t xml:space="preserve">By creating a vault or interacting with the YieldLoop protocol, users acknowledge</w:t>
            </w:r>
          </w:p>
          <w:p>
            <w:pPr>
              <w:spacing w:before="60" w:after="60"/>
            </w:pPr>
            <w:r>
              <w:rPr>
                <w:rFonts w:ascii="Arial" w:cs="Arial" w:eastAsia="Arial" w:hAnsi="Arial"/>
                <w:b w:val="false"/>
                <w:bCs w:val="false"/>
                <w:color w:val="1A1A2E"/>
                <w:sz w:val="20"/>
                <w:szCs w:val="20"/>
              </w:rPr>
              <w:t xml:space="preserve">all disclosures contained in this document. Participation is voluntary and fully at-risk.</w:t>
            </w:r>
          </w:p>
        </w:tc>
      </w:tr>
    </w:tbl>
    <w:p>
      <w:r>
        <w:br w:type="page"/>
      </w:r>
    </w:p>
    <w:p>
      <w:pPr>
        <w:pStyle w:val="Heading1"/>
        <w:spacing w:before="400" w:after="160"/>
      </w:pPr>
      <w:r>
        <w:rPr>
          <w:rFonts w:ascii="Arial" w:cs="Arial" w:eastAsia="Arial" w:hAnsi="Arial"/>
          <w:b/>
          <w:bCs/>
          <w:color w:val="1A3A5C"/>
          <w:sz w:val="34"/>
          <w:szCs w:val="34"/>
        </w:rPr>
        <w:t xml:space="preserve">Section A — Comprehensive Risk Disclosures &amp; User Acknowledgment</w:t>
      </w:r>
    </w:p>
    <w:p>
      <w:pPr>
        <w:pBdr>
          <w:bottom w:val="single" w:color="2E7D9F" w:sz="4" w:space="1"/>
        </w:pBdr>
        <w:spacing w:before="160" w:after="160"/>
      </w:pPr>
    </w:p>
    <w:p>
      <w:pPr>
        <w:pStyle w:val="Heading2"/>
        <w:spacing w:before="280" w:after="120"/>
      </w:pPr>
      <w:r>
        <w:rPr>
          <w:rFonts w:ascii="Arial" w:cs="Arial" w:eastAsia="Arial" w:hAnsi="Arial"/>
          <w:b/>
          <w:bCs/>
          <w:color w:val="2E7D9F"/>
          <w:sz w:val="26"/>
          <w:szCs w:val="26"/>
        </w:rPr>
        <w:t xml:space="preserve">A.1  No Yield Promise</w:t>
      </w:r>
    </w:p>
    <w:p>
      <w:pPr>
        <w:spacing w:before="80" w:after="80"/>
      </w:pPr>
      <w:r>
        <w:rPr>
          <w:rFonts w:ascii="Arial" w:cs="Arial" w:eastAsia="Arial" w:hAnsi="Arial"/>
          <w:b w:val="false"/>
          <w:bCs w:val="false"/>
          <w:i w:val="false"/>
          <w:iCs w:val="false"/>
          <w:color w:val="1A1A2E"/>
          <w:sz w:val="20"/>
          <w:szCs w:val="20"/>
        </w:rPr>
        <w:t xml:space="preserve">YieldLoop does not promise, guarantee, forecast, or imply any fixed or minimum return. All income is dependent upon market conditions, trading execution outcomes, liquidity conditions, impermanent loss behavior, stablecoin vault performance, BNB staking rewards, smart contract integrity, and on-chain network conditions.</w:t>
      </w:r>
    </w:p>
    <w:p>
      <w:pPr>
        <w:spacing w:before="80" w:after="80"/>
      </w:pPr>
      <w:r>
        <w:rPr>
          <w:rFonts w:ascii="Arial" w:cs="Arial" w:eastAsia="Arial" w:hAnsi="Arial"/>
          <w:b w:val="false"/>
          <w:bCs w:val="false"/>
          <w:i w:val="false"/>
          <w:iCs w:val="false"/>
          <w:color w:val="1A1A2E"/>
          <w:sz w:val="20"/>
          <w:szCs w:val="20"/>
        </w:rPr>
        <w:t xml:space="preserve">Zero-profit months are possible. Low-profit months are possible. Temporary ratchet pauses are possible. Participation is voluntary and fully at-risk.</w:t>
      </w:r>
    </w:p>
    <w:p>
      <w:pPr>
        <w:spacing w:before="80" w:after="0"/>
      </w:pPr>
    </w:p>
    <w:p>
      <w:pPr>
        <w:pStyle w:val="Heading2"/>
        <w:spacing w:before="280" w:after="120"/>
      </w:pPr>
      <w:r>
        <w:rPr>
          <w:rFonts w:ascii="Arial" w:cs="Arial" w:eastAsia="Arial" w:hAnsi="Arial"/>
          <w:b/>
          <w:bCs/>
          <w:color w:val="2E7D9F"/>
          <w:sz w:val="26"/>
          <w:szCs w:val="26"/>
        </w:rPr>
        <w:t xml:space="preserve">A.2  Smart Contract &amp; Third-Party Protocol Risk</w:t>
      </w:r>
    </w:p>
    <w:p>
      <w:pPr>
        <w:spacing w:before="80" w:after="80"/>
      </w:pPr>
      <w:r>
        <w:rPr>
          <w:rFonts w:ascii="Arial" w:cs="Arial" w:eastAsia="Arial" w:hAnsi="Arial"/>
          <w:b w:val="false"/>
          <w:bCs w:val="false"/>
          <w:i w:val="false"/>
          <w:iCs w:val="false"/>
          <w:color w:val="1A1A2E"/>
          <w:sz w:val="20"/>
          <w:szCs w:val="20"/>
        </w:rPr>
        <w:t xml:space="preserve">YieldLoop operates entirely on-chain and interacts with external DeFi protocols, including but not limited to:</w:t>
      </w:r>
    </w:p>
    <w:p>
      <w:pPr>
        <w:pStyle w:val="ListParagraph"/>
        <w:numPr>
          <w:ilvl w:val="0"/>
          <w:numId w:val="2"/>
        </w:numPr>
        <w:spacing w:before="60" w:after="60"/>
      </w:pPr>
      <w:r>
        <w:rPr>
          <w:rFonts w:ascii="Arial" w:cs="Arial" w:eastAsia="Arial" w:hAnsi="Arial"/>
          <w:color w:val="1A1A2E"/>
          <w:sz w:val="20"/>
          <w:szCs w:val="20"/>
        </w:rPr>
        <w:t xml:space="preserve">PancakeSwap, Thena, Beefy Finance, Alpaca Finance</w:t>
      </w:r>
    </w:p>
    <w:p>
      <w:pPr>
        <w:pStyle w:val="ListParagraph"/>
        <w:numPr>
          <w:ilvl w:val="0"/>
          <w:numId w:val="2"/>
        </w:numPr>
        <w:spacing w:before="60" w:after="60"/>
      </w:pPr>
      <w:r>
        <w:rPr>
          <w:rFonts w:ascii="Arial" w:cs="Arial" w:eastAsia="Arial" w:hAnsi="Arial"/>
          <w:color w:val="1A1A2E"/>
          <w:sz w:val="20"/>
          <w:szCs w:val="20"/>
        </w:rPr>
        <w:t xml:space="preserve">Ankr, pStake</w:t>
      </w:r>
    </w:p>
    <w:p>
      <w:pPr>
        <w:pStyle w:val="ListParagraph"/>
        <w:numPr>
          <w:ilvl w:val="0"/>
          <w:numId w:val="2"/>
        </w:numPr>
        <w:spacing w:before="60" w:after="60"/>
      </w:pPr>
      <w:r>
        <w:rPr>
          <w:rFonts w:ascii="Arial" w:cs="Arial" w:eastAsia="Arial" w:hAnsi="Arial"/>
          <w:color w:val="1A1A2E"/>
          <w:sz w:val="20"/>
          <w:szCs w:val="20"/>
        </w:rPr>
        <w:t xml:space="preserve">Stargate Finance (LayerZero) — cross-chain bridge layer</w:t>
      </w:r>
    </w:p>
    <w:p>
      <w:pPr>
        <w:pStyle w:val="ListParagraph"/>
        <w:numPr>
          <w:ilvl w:val="0"/>
          <w:numId w:val="2"/>
        </w:numPr>
        <w:spacing w:before="60" w:after="60"/>
      </w:pPr>
      <w:r>
        <w:rPr>
          <w:rFonts w:ascii="Arial" w:cs="Arial" w:eastAsia="Arial" w:hAnsi="Arial"/>
          <w:color w:val="1A1A2E"/>
          <w:sz w:val="20"/>
          <w:szCs w:val="20"/>
        </w:rPr>
        <w:t xml:space="preserve">LayerZero relayer network — message delivery for cross-chain operations</w:t>
      </w:r>
    </w:p>
    <w:p>
      <w:pPr>
        <w:spacing w:before="80" w:after="80"/>
      </w:pPr>
      <w:r>
        <w:rPr>
          <w:rFonts w:ascii="Arial" w:cs="Arial" w:eastAsia="Arial" w:hAnsi="Arial"/>
          <w:b w:val="false"/>
          <w:bCs w:val="false"/>
          <w:i w:val="false"/>
          <w:iCs w:val="false"/>
          <w:color w:val="1A1A2E"/>
          <w:sz w:val="20"/>
          <w:szCs w:val="20"/>
        </w:rPr>
        <w:t xml:space="preserve">Risks include but are not limited to: smart contract vulnerabilities, oracle malfunction, governance attacks on external protocols, liquidity collapse, stablecoin depegging, network congestion, validator instability, MEV extraction, bridge relayer failure, and cross-chain message delivery delays or failures.</w:t>
      </w:r>
    </w:p>
    <w:p>
      <w:pPr>
        <w:spacing w:before="80" w:after="80"/>
      </w:pPr>
      <w:r>
        <w:rPr>
          <w:rFonts w:ascii="Arial" w:cs="Arial" w:eastAsia="Arial" w:hAnsi="Arial"/>
          <w:b w:val="false"/>
          <w:bCs w:val="false"/>
          <w:i w:val="false"/>
          <w:iCs w:val="false"/>
          <w:color w:val="1A1A2E"/>
          <w:sz w:val="20"/>
          <w:szCs w:val="20"/>
        </w:rPr>
        <w:t xml:space="preserve">YieldLoop cannot eliminate third-party protocol risk.</w:t>
      </w:r>
    </w:p>
    <w:p>
      <w:pPr>
        <w:spacing w:before="80" w:after="0"/>
      </w:pPr>
    </w:p>
    <w:p>
      <w:pPr>
        <w:pStyle w:val="Heading2"/>
        <w:spacing w:before="280" w:after="120"/>
      </w:pPr>
      <w:r>
        <w:rPr>
          <w:rFonts w:ascii="Arial" w:cs="Arial" w:eastAsia="Arial" w:hAnsi="Arial"/>
          <w:b/>
          <w:bCs/>
          <w:color w:val="2E7D9F"/>
          <w:sz w:val="26"/>
          <w:szCs w:val="26"/>
        </w:rPr>
        <w:t xml:space="preserve">A.3  Cross-Chain &amp; Bridge Risk (New in v2.0)</w:t>
      </w:r>
    </w:p>
    <w:p>
      <w:pPr>
        <w:spacing w:before="80" w:after="80"/>
      </w:pPr>
      <w:r>
        <w:rPr>
          <w:rFonts w:ascii="Arial" w:cs="Arial" w:eastAsia="Arial" w:hAnsi="Arial"/>
          <w:b w:val="false"/>
          <w:bCs w:val="false"/>
          <w:i w:val="false"/>
          <w:iCs w:val="false"/>
          <w:color w:val="1A1A2E"/>
          <w:sz w:val="20"/>
          <w:szCs w:val="20"/>
        </w:rPr>
        <w:t xml:space="preserve">YieldLoop v2.0 introduces multi-chain deposit and withdrawal capabilities via Stargate Finance (LayerZero). Users depositing from or receiving rewards on chains other than BSC are exposed to additional risks:</w:t>
      </w:r>
    </w:p>
    <w:p>
      <w:pPr>
        <w:pStyle w:val="ListParagraph"/>
        <w:numPr>
          <w:ilvl w:val="0"/>
          <w:numId w:val="2"/>
        </w:numPr>
        <w:spacing w:before="60" w:after="60"/>
      </w:pPr>
      <w:r>
        <w:rPr>
          <w:rFonts w:ascii="Arial" w:cs="Arial" w:eastAsia="Arial" w:hAnsi="Arial"/>
          <w:color w:val="1A1A2E"/>
          <w:sz w:val="20"/>
          <w:szCs w:val="20"/>
        </w:rPr>
        <w:t xml:space="preserve">Stargate/LayerZero smart contract vulnerabilities</w:t>
      </w:r>
    </w:p>
    <w:p>
      <w:pPr>
        <w:pStyle w:val="ListParagraph"/>
        <w:numPr>
          <w:ilvl w:val="0"/>
          <w:numId w:val="2"/>
        </w:numPr>
        <w:spacing w:before="60" w:after="60"/>
      </w:pPr>
      <w:r>
        <w:rPr>
          <w:rFonts w:ascii="Arial" w:cs="Arial" w:eastAsia="Arial" w:hAnsi="Arial"/>
          <w:color w:val="1A1A2E"/>
          <w:sz w:val="20"/>
          <w:szCs w:val="20"/>
        </w:rPr>
        <w:t xml:space="preserve">LayerZero oracle and relayer failure — could delay or block cross-chain message delivery</w:t>
      </w:r>
    </w:p>
    <w:p>
      <w:pPr>
        <w:pStyle w:val="ListParagraph"/>
        <w:numPr>
          <w:ilvl w:val="0"/>
          <w:numId w:val="2"/>
        </w:numPr>
        <w:spacing w:before="60" w:after="60"/>
      </w:pPr>
      <w:r>
        <w:rPr>
          <w:rFonts w:ascii="Arial" w:cs="Arial" w:eastAsia="Arial" w:hAnsi="Arial"/>
          <w:color w:val="1A1A2E"/>
          <w:sz w:val="20"/>
          <w:szCs w:val="20"/>
        </w:rPr>
        <w:t xml:space="preserve">Bridge liquidity constraints — large withdrawals may experience delays if bridge liquidity is insufficient</w:t>
      </w:r>
    </w:p>
    <w:p>
      <w:pPr>
        <w:pStyle w:val="ListParagraph"/>
        <w:numPr>
          <w:ilvl w:val="0"/>
          <w:numId w:val="2"/>
        </w:numPr>
        <w:spacing w:before="60" w:after="60"/>
      </w:pPr>
      <w:r>
        <w:rPr>
          <w:rFonts w:ascii="Arial" w:cs="Arial" w:eastAsia="Arial" w:hAnsi="Arial"/>
          <w:color w:val="1A1A2E"/>
          <w:sz w:val="20"/>
          <w:szCs w:val="20"/>
        </w:rPr>
        <w:t xml:space="preserve">Chain-specific risks on spoke chains (Base, Arbitrum, Polygon, Ethereum)</w:t>
      </w:r>
    </w:p>
    <w:p>
      <w:pPr>
        <w:pStyle w:val="ListParagraph"/>
        <w:numPr>
          <w:ilvl w:val="0"/>
          <w:numId w:val="2"/>
        </w:numPr>
        <w:spacing w:before="60" w:after="60"/>
      </w:pPr>
      <w:r>
        <w:rPr>
          <w:rFonts w:ascii="Arial" w:cs="Arial" w:eastAsia="Arial" w:hAnsi="Arial"/>
          <w:color w:val="1A1A2E"/>
          <w:sz w:val="20"/>
          <w:szCs w:val="20"/>
        </w:rPr>
        <w:t xml:space="preserve">wLOOP bridge escrow risk — wLOOP is backed by LOOP held in bridge escrow; escrow contract risk applies</w:t>
      </w:r>
    </w:p>
    <w:p>
      <w:pPr>
        <w:pStyle w:val="ListParagraph"/>
        <w:numPr>
          <w:ilvl w:val="0"/>
          <w:numId w:val="2"/>
        </w:numPr>
        <w:spacing w:before="60" w:after="60"/>
      </w:pPr>
      <w:r>
        <w:rPr>
          <w:rFonts w:ascii="Arial" w:cs="Arial" w:eastAsia="Arial" w:hAnsi="Arial"/>
          <w:color w:val="1A1A2E"/>
          <w:sz w:val="20"/>
          <w:szCs w:val="20"/>
        </w:rPr>
        <w:t xml:space="preserve">Gas estimation errors on spoke chains causing failed bridge initiation</w:t>
      </w:r>
    </w:p>
    <w:p>
      <w:pPr>
        <w:spacing w:before="80" w:after="80"/>
      </w:pPr>
      <w:r>
        <w:rPr>
          <w:rFonts w:ascii="Arial" w:cs="Arial" w:eastAsia="Arial" w:hAnsi="Arial"/>
          <w:b w:val="false"/>
          <w:bCs w:val="false"/>
          <w:i w:val="false"/>
          <w:iCs w:val="false"/>
          <w:color w:val="1A1A2E"/>
          <w:sz w:val="20"/>
          <w:szCs w:val="20"/>
        </w:rPr>
        <w:t xml:space="preserve">Cross-chain transactions are not instantaneous. Settlement typically takes 1–5 minutes but may take longer under adverse conditions. YieldLoop cannot guarantee bridge transaction finality.</w:t>
      </w:r>
    </w:p>
    <w:p>
      <w:pPr>
        <w:spacing w:before="80" w:after="0"/>
      </w:pPr>
    </w:p>
    <w:p>
      <w:pPr>
        <w:pStyle w:val="Heading2"/>
        <w:spacing w:before="280" w:after="120"/>
      </w:pPr>
      <w:r>
        <w:rPr>
          <w:rFonts w:ascii="Arial" w:cs="Arial" w:eastAsia="Arial" w:hAnsi="Arial"/>
          <w:b/>
          <w:bCs/>
          <w:color w:val="2E7D9F"/>
          <w:sz w:val="26"/>
          <w:szCs w:val="26"/>
        </w:rPr>
        <w:t xml:space="preserve">A.4  Market &amp; Liquidity Risk</w:t>
      </w:r>
    </w:p>
    <w:p>
      <w:pPr>
        <w:spacing w:before="80" w:after="80"/>
      </w:pPr>
      <w:r>
        <w:rPr>
          <w:rFonts w:ascii="Arial" w:cs="Arial" w:eastAsia="Arial" w:hAnsi="Arial"/>
          <w:b w:val="false"/>
          <w:bCs w:val="false"/>
          <w:i w:val="false"/>
          <w:iCs w:val="false"/>
          <w:color w:val="1A1A2E"/>
          <w:sz w:val="20"/>
          <w:szCs w:val="20"/>
        </w:rPr>
        <w:t xml:space="preserve">All trading activity carries slippage risk, price impact risk, volatility risk, liquidity withdrawal risk, impermanent loss, and directional market exposure. LP positions may produce negative net income during adverse volatility. Trading may underperform expectations. YieldLoop enforces expectancy checks and risk caps but cannot eliminate market uncertainty.</w:t>
      </w:r>
    </w:p>
    <w:p>
      <w:pPr>
        <w:spacing w:before="80" w:after="0"/>
      </w:pPr>
    </w:p>
    <w:p>
      <w:pPr>
        <w:pStyle w:val="Heading2"/>
        <w:spacing w:before="280" w:after="120"/>
      </w:pPr>
      <w:r>
        <w:rPr>
          <w:rFonts w:ascii="Arial" w:cs="Arial" w:eastAsia="Arial" w:hAnsi="Arial"/>
          <w:b/>
          <w:bCs/>
          <w:color w:val="2E7D9F"/>
          <w:sz w:val="26"/>
          <w:szCs w:val="26"/>
        </w:rPr>
        <w:t xml:space="preserve">A.5  Friction Pool Disclosure</w:t>
      </w:r>
    </w:p>
    <w:p>
      <w:pPr>
        <w:spacing w:before="80" w:after="80"/>
      </w:pPr>
      <w:r>
        <w:rPr>
          <w:rFonts w:ascii="Arial" w:cs="Arial" w:eastAsia="Arial" w:hAnsi="Arial"/>
          <w:b w:val="false"/>
          <w:bCs w:val="false"/>
          <w:i w:val="false"/>
          <w:iCs w:val="false"/>
          <w:color w:val="1A1A2E"/>
          <w:sz w:val="20"/>
          <w:szCs w:val="20"/>
        </w:rPr>
        <w:t xml:space="preserve">The Friction Pool is an operational reserve. Users acknowledge:</w:t>
      </w:r>
    </w:p>
    <w:p>
      <w:pPr>
        <w:pStyle w:val="ListParagraph"/>
        <w:numPr>
          <w:ilvl w:val="0"/>
          <w:numId w:val="2"/>
        </w:numPr>
        <w:spacing w:before="60" w:after="60"/>
      </w:pPr>
      <w:r>
        <w:rPr>
          <w:rFonts w:ascii="Arial" w:cs="Arial" w:eastAsia="Arial" w:hAnsi="Arial"/>
          <w:color w:val="1A1A2E"/>
          <w:sz w:val="20"/>
          <w:szCs w:val="20"/>
        </w:rPr>
        <w:t xml:space="preserve">Friction debt may occur</w:t>
      </w:r>
    </w:p>
    <w:p>
      <w:pPr>
        <w:pStyle w:val="ListParagraph"/>
        <w:numPr>
          <w:ilvl w:val="0"/>
          <w:numId w:val="2"/>
        </w:numPr>
        <w:spacing w:before="60" w:after="60"/>
      </w:pPr>
      <w:r>
        <w:rPr>
          <w:rFonts w:ascii="Arial" w:cs="Arial" w:eastAsia="Arial" w:hAnsi="Arial"/>
          <w:color w:val="1A1A2E"/>
          <w:sz w:val="20"/>
          <w:szCs w:val="20"/>
        </w:rPr>
        <w:t xml:space="preserve">Friction debt accrues interest at 0.5% per month</w:t>
      </w:r>
    </w:p>
    <w:p>
      <w:pPr>
        <w:pStyle w:val="ListParagraph"/>
        <w:numPr>
          <w:ilvl w:val="0"/>
          <w:numId w:val="2"/>
        </w:numPr>
        <w:spacing w:before="60" w:after="60"/>
      </w:pPr>
      <w:r>
        <w:rPr>
          <w:rFonts w:ascii="Arial" w:cs="Arial" w:eastAsia="Arial" w:hAnsi="Arial"/>
          <w:color w:val="1A1A2E"/>
          <w:sz w:val="20"/>
          <w:szCs w:val="20"/>
        </w:rPr>
        <w:t xml:space="preserve">Friction debt is non-waivable</w:t>
      </w:r>
    </w:p>
    <w:p>
      <w:pPr>
        <w:pStyle w:val="ListParagraph"/>
        <w:numPr>
          <w:ilvl w:val="0"/>
          <w:numId w:val="2"/>
        </w:numPr>
        <w:spacing w:before="60" w:after="60"/>
      </w:pPr>
      <w:r>
        <w:rPr>
          <w:rFonts w:ascii="Arial" w:cs="Arial" w:eastAsia="Arial" w:hAnsi="Arial"/>
          <w:color w:val="1A1A2E"/>
          <w:sz w:val="20"/>
          <w:szCs w:val="20"/>
        </w:rPr>
        <w:t xml:space="preserve">Friction debt is deducted automatically before profit minting or withdrawal release</w:t>
      </w:r>
    </w:p>
    <w:p>
      <w:pPr>
        <w:pStyle w:val="ListParagraph"/>
        <w:numPr>
          <w:ilvl w:val="0"/>
          <w:numId w:val="2"/>
        </w:numPr>
        <w:spacing w:before="60" w:after="60"/>
      </w:pPr>
      <w:r>
        <w:rPr>
          <w:rFonts w:ascii="Arial" w:cs="Arial" w:eastAsia="Arial" w:hAnsi="Arial"/>
          <w:color w:val="1A1A2E"/>
          <w:sz w:val="20"/>
          <w:szCs w:val="20"/>
        </w:rPr>
        <w:t xml:space="preserve">Vaults may pause if friction debt exceeds 5% of AUM</w:t>
      </w:r>
    </w:p>
    <w:p>
      <w:pPr>
        <w:pStyle w:val="ListParagraph"/>
        <w:numPr>
          <w:ilvl w:val="0"/>
          <w:numId w:val="2"/>
        </w:numPr>
        <w:spacing w:before="60" w:after="60"/>
      </w:pPr>
      <w:r>
        <w:rPr>
          <w:rFonts w:ascii="Arial" w:cs="Arial" w:eastAsia="Arial" w:hAnsi="Arial"/>
          <w:color w:val="1A1A2E"/>
          <w:sz w:val="20"/>
          <w:szCs w:val="20"/>
        </w:rPr>
        <w:t xml:space="preserve">Bridge fees for cross-chain transactions are funded by the Friction Pool and increase its projected monthly spend</w:t>
      </w:r>
    </w:p>
    <w:p>
      <w:pPr>
        <w:spacing w:before="80" w:after="0"/>
      </w:pPr>
    </w:p>
    <w:p>
      <w:pPr>
        <w:pStyle w:val="Heading2"/>
        <w:spacing w:before="280" w:after="120"/>
      </w:pPr>
      <w:r>
        <w:rPr>
          <w:rFonts w:ascii="Arial" w:cs="Arial" w:eastAsia="Arial" w:hAnsi="Arial"/>
          <w:b/>
          <w:bCs/>
          <w:color w:val="2E7D9F"/>
          <w:sz w:val="26"/>
          <w:szCs w:val="26"/>
        </w:rPr>
        <w:t xml:space="preserve">A.6  No Financial Advice</w:t>
      </w:r>
    </w:p>
    <w:p>
      <w:pPr>
        <w:spacing w:before="80" w:after="80"/>
      </w:pPr>
      <w:r>
        <w:rPr>
          <w:rFonts w:ascii="Arial" w:cs="Arial" w:eastAsia="Arial" w:hAnsi="Arial"/>
          <w:b w:val="false"/>
          <w:bCs w:val="false"/>
          <w:i w:val="false"/>
          <w:iCs w:val="false"/>
          <w:color w:val="1A1A2E"/>
          <w:sz w:val="20"/>
          <w:szCs w:val="20"/>
        </w:rPr>
        <w:t xml:space="preserve">YieldLoop is software. AI proposals, strategy presets, parameter defaults, and system recommendations are algorithmic outputs generated within bounded logic. They are not personalized financial advice and do not constitute fiduciary guidance. No communication from the protocol, its AI systems, governance participants, or documentation constitutes investment advice.</w:t>
      </w:r>
    </w:p>
    <w:p>
      <w:pPr>
        <w:spacing w:before="80" w:after="0"/>
      </w:pPr>
    </w:p>
    <w:p>
      <w:pPr>
        <w:pStyle w:val="Heading2"/>
        <w:spacing w:before="280" w:after="120"/>
      </w:pPr>
      <w:r>
        <w:rPr>
          <w:rFonts w:ascii="Arial" w:cs="Arial" w:eastAsia="Arial" w:hAnsi="Arial"/>
          <w:b/>
          <w:bCs/>
          <w:color w:val="2E7D9F"/>
          <w:sz w:val="26"/>
          <w:szCs w:val="26"/>
        </w:rPr>
        <w:t xml:space="preserve">A.7  AI Guidance &amp; User Responsibility</w:t>
      </w:r>
    </w:p>
    <w:p>
      <w:pPr>
        <w:spacing w:before="80" w:after="80"/>
      </w:pPr>
      <w:r>
        <w:rPr>
          <w:rFonts w:ascii="Arial" w:cs="Arial" w:eastAsia="Arial" w:hAnsi="Arial"/>
          <w:b w:val="false"/>
          <w:bCs w:val="false"/>
          <w:i w:val="false"/>
          <w:iCs w:val="false"/>
          <w:color w:val="1A1A2E"/>
          <w:sz w:val="20"/>
          <w:szCs w:val="20"/>
        </w:rPr>
        <w:t xml:space="preserve">YieldLoop uses AI systems to guide capital allocation, strategy presets, and execution parameters. AI guidance does not transfer responsibility from the user. Before finalizing any vault configuration, the user must explicitly acknowledge: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6"/>
              <w:left w:val="single" w:color="D4A056" w:sz="6"/>
              <w:bottom w:val="single" w:color="D4A056" w:sz="6"/>
              <w:right w:val="single" w:color="D4A056" w:sz="6"/>
            </w:tcBorders>
            <w:shd w:fill="FFF8F0" w:val="clear"/>
            <w:tcMar>
              <w:top w:type="dxa" w:w="200"/>
              <w:left w:type="dxa" w:w="300"/>
              <w:bottom w:type="dxa" w:w="200"/>
              <w:right w:type="dxa" w:w="300"/>
            </w:tcMar>
          </w:tcPr>
          <w:p>
            <w:pPr>
              <w:spacing w:before="40" w:after="40"/>
            </w:pPr>
            <w:r>
              <w:rPr>
                <w:rFonts w:ascii="Arial" w:cs="Arial" w:eastAsia="Arial" w:hAnsi="Arial"/>
                <w:i/>
                <w:iCs/>
                <w:color w:val="8B5E1A"/>
                <w:sz w:val="20"/>
                <w:szCs w:val="20"/>
              </w:rPr>
              <w:t xml:space="preserve">"I understand that although AI is guiding strategy, presets, and execution parameters, I remain fully responsible for my participation, configuration choices, deposits, and outcomes. I am not relying on YieldLoop or its AI as financial advice."</w:t>
            </w:r>
          </w:p>
        </w:tc>
      </w:tr>
    </w:tbl>
    <w:p>
      <w:pPr>
        <w:spacing w:before="80" w:after="0"/>
      </w:pPr>
    </w:p>
    <w:p>
      <w:pPr>
        <w:spacing w:before="80" w:after="80"/>
      </w:pPr>
      <w:r>
        <w:rPr>
          <w:rFonts w:ascii="Arial" w:cs="Arial" w:eastAsia="Arial" w:hAnsi="Arial"/>
          <w:b w:val="false"/>
          <w:bCs w:val="false"/>
          <w:i w:val="false"/>
          <w:iCs w:val="false"/>
          <w:color w:val="1A1A2E"/>
          <w:sz w:val="20"/>
          <w:szCs w:val="20"/>
        </w:rPr>
        <w:t xml:space="preserve">Users acknowledge: AI outputs are probabilistic, not guarantees; AI may be incorrect; AI may underperform; AI may pause trading conservatively; AI may recommend allocations that do not generate profit.</w:t>
      </w:r>
    </w:p>
    <w:p>
      <w:pPr>
        <w:spacing w:before="80" w:after="0"/>
      </w:pPr>
    </w:p>
    <w:p>
      <w:pPr>
        <w:pStyle w:val="Heading2"/>
        <w:spacing w:before="280" w:after="120"/>
      </w:pPr>
      <w:r>
        <w:rPr>
          <w:rFonts w:ascii="Arial" w:cs="Arial" w:eastAsia="Arial" w:hAnsi="Arial"/>
          <w:b/>
          <w:bCs/>
          <w:color w:val="2E7D9F"/>
          <w:sz w:val="26"/>
          <w:szCs w:val="26"/>
        </w:rPr>
        <w:t xml:space="preserve">A.8  Regulatory &amp; Jurisdictional Risk</w:t>
      </w:r>
    </w:p>
    <w:p>
      <w:pPr>
        <w:spacing w:before="80" w:after="80"/>
      </w:pPr>
      <w:r>
        <w:rPr>
          <w:rFonts w:ascii="Arial" w:cs="Arial" w:eastAsia="Arial" w:hAnsi="Arial"/>
          <w:b w:val="false"/>
          <w:bCs w:val="false"/>
          <w:i w:val="false"/>
          <w:iCs w:val="false"/>
          <w:color w:val="1A1A2E"/>
          <w:sz w:val="20"/>
          <w:szCs w:val="20"/>
        </w:rPr>
        <w:t xml:space="preserve">Users are solely responsible for determining legality of participation in their jurisdiction, tax reporting, compliance with local regulations, and reporting digital asset gains or losses. YieldLoop does not assess jurisdictional compliance for individual participants. Participation is restricted in any jurisdiction where decentralized financial infrastructure is prohibited. Multi-chain access does not reduce or modify jurisdictional obligations.</w:t>
      </w:r>
    </w:p>
    <w:p>
      <w:pPr>
        <w:spacing w:before="80" w:after="0"/>
      </w:pPr>
    </w:p>
    <w:p>
      <w:pPr>
        <w:pStyle w:val="Heading2"/>
        <w:spacing w:before="280" w:after="120"/>
      </w:pPr>
      <w:r>
        <w:rPr>
          <w:rFonts w:ascii="Arial" w:cs="Arial" w:eastAsia="Arial" w:hAnsi="Arial"/>
          <w:b/>
          <w:bCs/>
          <w:color w:val="2E7D9F"/>
          <w:sz w:val="26"/>
          <w:szCs w:val="26"/>
        </w:rPr>
        <w:t xml:space="preserve">A.9  Acknowledgment of Risk</w:t>
      </w:r>
    </w:p>
    <w:p>
      <w:pPr>
        <w:spacing w:before="80" w:after="80"/>
      </w:pPr>
      <w:r>
        <w:rPr>
          <w:rFonts w:ascii="Arial" w:cs="Arial" w:eastAsia="Arial" w:hAnsi="Arial"/>
          <w:b w:val="false"/>
          <w:bCs w:val="false"/>
          <w:i w:val="false"/>
          <w:iCs w:val="false"/>
          <w:color w:val="1A1A2E"/>
          <w:sz w:val="20"/>
          <w:szCs w:val="20"/>
        </w:rPr>
        <w:t xml:space="preserve">By creating a vault or interacting with the protocol, the user affirms all of the following: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Acknowledgment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digital asset risk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DeFi protocol risk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accept possible partial or total loss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LOOP is non-transferable and epoch-isolated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ratchet appreciation is surplus-dependent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no invariant guarantees profit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accept that software may pause under fail-closed conditions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8</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AI guidance does not remove personal responsibility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9</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cross-chain bridge transactions carry third-party protocol risk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10</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understand wLOOP on non-BSC chains is a bridge-backed representation, not native LOOP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11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They are responsible for their own tax and regulatory compliance in their jurisdiction</w:t>
            </w:r>
          </w:p>
        </w:tc>
      </w:tr>
    </w:tbl>
    <w:p>
      <w:r>
        <w:br w:type="page"/>
      </w:r>
    </w:p>
    <w:p>
      <w:pPr>
        <w:pStyle w:val="Heading1"/>
        <w:spacing w:before="400" w:after="160"/>
      </w:pPr>
      <w:r>
        <w:rPr>
          <w:rFonts w:ascii="Arial" w:cs="Arial" w:eastAsia="Arial" w:hAnsi="Arial"/>
          <w:b/>
          <w:bCs/>
          <w:color w:val="1A3A5C"/>
          <w:sz w:val="34"/>
          <w:szCs w:val="34"/>
        </w:rPr>
        <w:t xml:space="preserve">Section B — AI Governance Authority &amp; Default Control Framework</w:t>
      </w:r>
    </w:p>
    <w:p>
      <w:pPr>
        <w:pBdr>
          <w:bottom w:val="single" w:color="2E7D9F" w:sz="4" w:space="1"/>
        </w:pBdr>
        <w:spacing w:before="160" w:after="160"/>
      </w:pPr>
    </w:p>
    <w:p>
      <w:pPr>
        <w:pStyle w:val="Heading2"/>
        <w:spacing w:before="280" w:after="120"/>
      </w:pPr>
      <w:r>
        <w:rPr>
          <w:rFonts w:ascii="Arial" w:cs="Arial" w:eastAsia="Arial" w:hAnsi="Arial"/>
          <w:b/>
          <w:bCs/>
          <w:color w:val="2E7D9F"/>
          <w:sz w:val="26"/>
          <w:szCs w:val="26"/>
        </w:rPr>
        <w:t xml:space="preserve">B.1  AI as Primary Operational Controller</w:t>
      </w:r>
    </w:p>
    <w:p>
      <w:pPr>
        <w:spacing w:before="80" w:after="80"/>
      </w:pPr>
      <w:r>
        <w:rPr>
          <w:rFonts w:ascii="Arial" w:cs="Arial" w:eastAsia="Arial" w:hAnsi="Arial"/>
          <w:b w:val="false"/>
          <w:bCs w:val="false"/>
          <w:i w:val="false"/>
          <w:iCs w:val="false"/>
          <w:color w:val="1A1A2E"/>
          <w:sz w:val="20"/>
          <w:szCs w:val="20"/>
        </w:rPr>
        <w:t xml:space="preserve">YieldLoop AI systems manage: trade sizing within risk caps, LP range placement, stablecoin vault allocation, BNB staking allocation, friction pool idle deployment, strategy parameter presets, risk cap recommendations, volatility response adjustments, drawdown mitigation logic, and ratchet evaluation execution timing. AI operates strictly within hard-coded invariants and governance bounds.</w:t>
      </w:r>
    </w:p>
    <w:p>
      <w:pPr>
        <w:spacing w:before="80" w:after="0"/>
      </w:pPr>
    </w:p>
    <w:p>
      <w:pPr>
        <w:pStyle w:val="Heading2"/>
        <w:spacing w:before="280" w:after="120"/>
      </w:pPr>
      <w:r>
        <w:rPr>
          <w:rFonts w:ascii="Arial" w:cs="Arial" w:eastAsia="Arial" w:hAnsi="Arial"/>
          <w:b/>
          <w:bCs/>
          <w:color w:val="2E7D9F"/>
          <w:sz w:val="26"/>
          <w:szCs w:val="26"/>
        </w:rPr>
        <w:t xml:space="preserve">B.2  AI Controls All Defaults</w:t>
      </w:r>
    </w:p>
    <w:p>
      <w:pPr>
        <w:spacing w:before="80" w:after="80"/>
      </w:pPr>
      <w:r>
        <w:rPr>
          <w:rFonts w:ascii="Arial" w:cs="Arial" w:eastAsia="Arial" w:hAnsi="Arial"/>
          <w:b w:val="false"/>
          <w:bCs w:val="false"/>
          <w:i w:val="false"/>
          <w:iCs w:val="false"/>
          <w:color w:val="1A1A2E"/>
          <w:sz w:val="20"/>
          <w:szCs w:val="20"/>
        </w:rPr>
        <w:t xml:space="preserve">All vault creation and configuration screens present AI-generated default presets. Default state equals AI-selected configuration. User must actively modify settings to override defaults. This ensures disciplined participation, reduced emotional misconfiguration, consistent risk posture, and reduced user error.</w:t>
      </w:r>
    </w:p>
    <w:p>
      <w:pPr>
        <w:spacing w:before="80" w:after="0"/>
      </w:pPr>
    </w:p>
    <w:p>
      <w:pPr>
        <w:pStyle w:val="Heading2"/>
        <w:spacing w:before="280" w:after="120"/>
      </w:pPr>
      <w:r>
        <w:rPr>
          <w:rFonts w:ascii="Arial" w:cs="Arial" w:eastAsia="Arial" w:hAnsi="Arial"/>
          <w:b/>
          <w:bCs/>
          <w:color w:val="2E7D9F"/>
          <w:sz w:val="26"/>
          <w:szCs w:val="26"/>
        </w:rPr>
        <w:t xml:space="preserve">B.3  User Override &amp; Responsibility Logging</w:t>
      </w:r>
    </w:p>
    <w:p>
      <w:pPr>
        <w:spacing w:before="80" w:after="80"/>
      </w:pPr>
      <w:r>
        <w:rPr>
          <w:rFonts w:ascii="Arial" w:cs="Arial" w:eastAsia="Arial" w:hAnsi="Arial"/>
          <w:b w:val="false"/>
          <w:bCs w:val="false"/>
          <w:i w:val="false"/>
          <w:iCs w:val="false"/>
          <w:color w:val="1A1A2E"/>
          <w:sz w:val="20"/>
          <w:szCs w:val="20"/>
        </w:rPr>
        <w:t xml:space="preserve">Users may override AI recommendations within governance-approved limits. If a user modifies risk caps, allocation splits, LP range width, stablecoin vault weighting, BNB staking ratio, or friction pool target, the override is logged on-chain or within system records. Before finalization, user must acknowledge: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6"/>
              <w:left w:val="single" w:color="D4A056" w:sz="6"/>
              <w:bottom w:val="single" w:color="D4A056" w:sz="6"/>
              <w:right w:val="single" w:color="D4A056" w:sz="6"/>
            </w:tcBorders>
            <w:shd w:fill="FFF8F0" w:val="clear"/>
            <w:tcMar>
              <w:top w:type="dxa" w:w="200"/>
              <w:left w:type="dxa" w:w="300"/>
              <w:bottom w:type="dxa" w:w="200"/>
              <w:right w:type="dxa" w:w="300"/>
            </w:tcMar>
          </w:tcPr>
          <w:p>
            <w:pPr>
              <w:spacing w:before="40" w:after="40"/>
            </w:pPr>
            <w:r>
              <w:rPr>
                <w:rFonts w:ascii="Arial" w:cs="Arial" w:eastAsia="Arial" w:hAnsi="Arial"/>
                <w:i/>
                <w:iCs/>
                <w:color w:val="8B5E1A"/>
                <w:sz w:val="20"/>
                <w:szCs w:val="20"/>
              </w:rPr>
              <w:t xml:space="preserve">"I understand I am modifying AI-recommended parameters and accept responsibility for this change."</w:t>
            </w:r>
          </w:p>
        </w:tc>
      </w:tr>
    </w:tbl>
    <w:p>
      <w:pPr>
        <w:spacing w:before="80" w:after="0"/>
      </w:pPr>
    </w:p>
    <w:p>
      <w:pPr>
        <w:spacing w:before="80" w:after="80"/>
      </w:pPr>
      <w:r>
        <w:rPr>
          <w:rFonts w:ascii="Arial" w:cs="Arial" w:eastAsia="Arial" w:hAnsi="Arial"/>
          <w:b w:val="false"/>
          <w:bCs w:val="false"/>
          <w:i w:val="false"/>
          <w:iCs w:val="false"/>
          <w:color w:val="1A1A2E"/>
          <w:sz w:val="20"/>
          <w:szCs w:val="20"/>
        </w:rPr>
        <w:t xml:space="preserve">YieldLoop bears no responsibility for user-driven deviations from AI defaults.</w:t>
      </w:r>
    </w:p>
    <w:p>
      <w:pPr>
        <w:spacing w:before="80" w:after="0"/>
      </w:pPr>
    </w:p>
    <w:p>
      <w:pPr>
        <w:pStyle w:val="Heading2"/>
        <w:spacing w:before="280" w:after="120"/>
      </w:pPr>
      <w:r>
        <w:rPr>
          <w:rFonts w:ascii="Arial" w:cs="Arial" w:eastAsia="Arial" w:hAnsi="Arial"/>
          <w:b/>
          <w:bCs/>
          <w:color w:val="2E7D9F"/>
          <w:sz w:val="26"/>
          <w:szCs w:val="26"/>
        </w:rPr>
        <w:t xml:space="preserve">B.4  AI Limitation Boundaries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AI May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AI May Not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Present options and recommend adjustments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Guarantee profit or predict markets with certainty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Recommend pause or reduced exposure conditions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Override invariants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Adjust strategy parameters within bounds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Mint LOOP outside realized profit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Propose friction pool idle deployment splits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Change fee structure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Recommend volatility-based throttling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Waive friction debt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Flag anomalies across all income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Access user funds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Propose cross-chain fee optimization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Approve unauthorized bridge routes</w:t>
            </w:r>
          </w:p>
        </w:tc>
      </w:tr>
    </w:tbl>
    <w:p>
      <w:pPr>
        <w:spacing w:before="80" w:after="0"/>
      </w:pPr>
    </w:p>
    <w:p>
      <w:pPr>
        <w:spacing w:before="80" w:after="80"/>
      </w:pPr>
      <w:r>
        <w:rPr>
          <w:rFonts w:ascii="Arial" w:cs="Arial" w:eastAsia="Arial" w:hAnsi="Arial"/>
          <w:b w:val="false"/>
          <w:bCs w:val="false"/>
          <w:i w:val="false"/>
          <w:iCs w:val="false"/>
          <w:color w:val="1A1A2E"/>
          <w:sz w:val="20"/>
          <w:szCs w:val="20"/>
        </w:rPr>
        <w:t xml:space="preserve">AI outputs are assistive tools, not guarantees of performance. AI model upgrades require 48-hour public notice before activation and cannot alter invariants, fee structure, liability logic, or ratchet formula.</w:t>
      </w:r>
    </w:p>
    <w:p>
      <w:r>
        <w:br w:type="page"/>
      </w:r>
    </w:p>
    <w:p>
      <w:pPr>
        <w:pStyle w:val="Heading1"/>
        <w:spacing w:before="400" w:after="160"/>
      </w:pPr>
      <w:r>
        <w:rPr>
          <w:rFonts w:ascii="Arial" w:cs="Arial" w:eastAsia="Arial" w:hAnsi="Arial"/>
          <w:b/>
          <w:bCs/>
          <w:color w:val="1A3A5C"/>
          <w:sz w:val="34"/>
          <w:szCs w:val="34"/>
        </w:rPr>
        <w:t xml:space="preserve">Section C — Governance, Multisig, and Authority Boundaries</w:t>
      </w:r>
    </w:p>
    <w:p>
      <w:pPr>
        <w:pBdr>
          <w:bottom w:val="single" w:color="2E7D9F" w:sz="4" w:space="1"/>
        </w:pBdr>
        <w:spacing w:before="160" w:after="160"/>
      </w:pPr>
    </w:p>
    <w:p>
      <w:pPr>
        <w:pStyle w:val="Heading2"/>
        <w:spacing w:before="280" w:after="120"/>
      </w:pPr>
      <w:r>
        <w:rPr>
          <w:rFonts w:ascii="Arial" w:cs="Arial" w:eastAsia="Arial" w:hAnsi="Arial"/>
          <w:b/>
          <w:bCs/>
          <w:color w:val="2E7D9F"/>
          <w:sz w:val="26"/>
          <w:szCs w:val="26"/>
        </w:rPr>
        <w:t xml:space="preserve">C.1  Hard-Coded Invariants (Non-Overrideable)</w:t>
      </w:r>
    </w:p>
    <w:p>
      <w:pPr>
        <w:spacing w:before="80" w:after="80"/>
      </w:pPr>
      <w:r>
        <w:rPr>
          <w:rFonts w:ascii="Arial" w:cs="Arial" w:eastAsia="Arial" w:hAnsi="Arial"/>
          <w:b w:val="false"/>
          <w:bCs w:val="false"/>
          <w:i w:val="false"/>
          <w:iCs w:val="false"/>
          <w:color w:val="1A1A2E"/>
          <w:sz w:val="20"/>
          <w:szCs w:val="20"/>
        </w:rPr>
        <w:t xml:space="preserve">The following cannot be modified by AI, governance, multisig, or admin under any circumstances: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Coverage_ratio_E ≥ 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System fails closed before this breaks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Non-decreasing Redemption_price_E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Floor never retreats — ever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Profit-only LOOP minting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 emissions, no speculative minting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Epoch isolation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 cross-epoch subsidy of any kind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Friction pool segregation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Never counted as AUM, never in coverage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Friction debt non-waivable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Cannot be forgiven by any authority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 leverage rule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 borrowing against deposited assets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 cross-epoch subsidy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Each epoch stands alone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LOOP canonical on BSC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Single source of truth — cannot be split across chains</w:t>
            </w:r>
          </w:p>
        </w:tc>
      </w:tr>
    </w:tbl>
    <w:p>
      <w:pPr>
        <w:spacing w:before="80" w:after="0"/>
      </w:pPr>
    </w:p>
    <w:p>
      <w:pPr>
        <w:spacing w:before="80" w:after="80"/>
      </w:pPr>
      <w:r>
        <w:rPr>
          <w:rFonts w:ascii="Arial" w:cs="Arial" w:eastAsia="Arial" w:hAnsi="Arial"/>
          <w:b w:val="false"/>
          <w:bCs w:val="false"/>
          <w:i w:val="false"/>
          <w:iCs w:val="false"/>
          <w:color w:val="1A1A2E"/>
          <w:sz w:val="20"/>
          <w:szCs w:val="20"/>
        </w:rPr>
        <w:t xml:space="preserve">These are immutable at the contract level.</w:t>
      </w:r>
    </w:p>
    <w:p>
      <w:pPr>
        <w:spacing w:before="80" w:after="0"/>
      </w:pPr>
    </w:p>
    <w:p>
      <w:pPr>
        <w:pStyle w:val="Heading2"/>
        <w:spacing w:before="280" w:after="120"/>
      </w:pPr>
      <w:r>
        <w:rPr>
          <w:rFonts w:ascii="Arial" w:cs="Arial" w:eastAsia="Arial" w:hAnsi="Arial"/>
          <w:b/>
          <w:bCs/>
          <w:color w:val="2E7D9F"/>
          <w:sz w:val="26"/>
          <w:szCs w:val="26"/>
        </w:rPr>
        <w:t xml:space="preserve">C.2  Limited Multisig Authority</w:t>
      </w:r>
    </w:p>
    <w:p>
      <w:pPr>
        <w:spacing w:before="80" w:after="80"/>
      </w:pPr>
      <w:r>
        <w:rPr>
          <w:rFonts w:ascii="Arial" w:cs="Arial" w:eastAsia="Arial" w:hAnsi="Arial"/>
          <w:b w:val="false"/>
          <w:bCs w:val="false"/>
          <w:i w:val="false"/>
          <w:iCs w:val="false"/>
          <w:color w:val="1A1A2E"/>
          <w:sz w:val="20"/>
          <w:szCs w:val="20"/>
        </w:rPr>
        <w:t xml:space="preserve">Multisig is restricted to the following actions only:</w:t>
      </w:r>
    </w:p>
    <w:p>
      <w:pPr>
        <w:pStyle w:val="ListParagraph"/>
        <w:numPr>
          <w:ilvl w:val="0"/>
          <w:numId w:val="2"/>
        </w:numPr>
        <w:spacing w:before="60" w:after="60"/>
      </w:pPr>
      <w:r>
        <w:rPr>
          <w:rFonts w:ascii="Arial" w:cs="Arial" w:eastAsia="Arial" w:hAnsi="Arial"/>
          <w:color w:val="1A1A2E"/>
          <w:sz w:val="20"/>
          <w:szCs w:val="20"/>
        </w:rPr>
        <w:t xml:space="preserve">Emergency pause</w:t>
      </w:r>
    </w:p>
    <w:p>
      <w:pPr>
        <w:pStyle w:val="ListParagraph"/>
        <w:numPr>
          <w:ilvl w:val="0"/>
          <w:numId w:val="2"/>
        </w:numPr>
        <w:spacing w:before="60" w:after="60"/>
      </w:pPr>
      <w:r>
        <w:rPr>
          <w:rFonts w:ascii="Arial" w:cs="Arial" w:eastAsia="Arial" w:hAnsi="Arial"/>
          <w:color w:val="1A1A2E"/>
          <w:sz w:val="20"/>
          <w:szCs w:val="20"/>
        </w:rPr>
        <w:t xml:space="preserve">External protocol whitelist updates</w:t>
      </w:r>
    </w:p>
    <w:p>
      <w:pPr>
        <w:pStyle w:val="ListParagraph"/>
        <w:numPr>
          <w:ilvl w:val="0"/>
          <w:numId w:val="2"/>
        </w:numPr>
        <w:spacing w:before="60" w:after="60"/>
      </w:pPr>
      <w:r>
        <w:rPr>
          <w:rFonts w:ascii="Arial" w:cs="Arial" w:eastAsia="Arial" w:hAnsi="Arial"/>
          <w:color w:val="1A1A2E"/>
          <w:sz w:val="20"/>
          <w:szCs w:val="20"/>
        </w:rPr>
        <w:t xml:space="preserve">Risk cap boundary adjustment (within predefined bounds)</w:t>
      </w:r>
    </w:p>
    <w:p>
      <w:pPr>
        <w:pStyle w:val="ListParagraph"/>
        <w:numPr>
          <w:ilvl w:val="0"/>
          <w:numId w:val="2"/>
        </w:numPr>
        <w:spacing w:before="60" w:after="60"/>
      </w:pPr>
      <w:r>
        <w:rPr>
          <w:rFonts w:ascii="Arial" w:cs="Arial" w:eastAsia="Arial" w:hAnsi="Arial"/>
          <w:color w:val="1A1A2E"/>
          <w:sz w:val="20"/>
          <w:szCs w:val="20"/>
        </w:rPr>
        <w:t xml:space="preserve">Audit upgrade execution</w:t>
      </w:r>
    </w:p>
    <w:p>
      <w:pPr>
        <w:pStyle w:val="ListParagraph"/>
        <w:numPr>
          <w:ilvl w:val="0"/>
          <w:numId w:val="2"/>
        </w:numPr>
        <w:spacing w:before="60" w:after="60"/>
      </w:pPr>
      <w:r>
        <w:rPr>
          <w:rFonts w:ascii="Arial" w:cs="Arial" w:eastAsia="Arial" w:hAnsi="Arial"/>
          <w:color w:val="1A1A2E"/>
          <w:sz w:val="20"/>
          <w:szCs w:val="20"/>
        </w:rPr>
        <w:t xml:space="preserve">AI model upgrade deployment (with 48-hour notice)</w:t>
      </w:r>
    </w:p>
    <w:p>
      <w:pPr>
        <w:pStyle w:val="ListParagraph"/>
        <w:numPr>
          <w:ilvl w:val="0"/>
          <w:numId w:val="2"/>
        </w:numPr>
        <w:spacing w:before="60" w:after="60"/>
      </w:pPr>
      <w:r>
        <w:rPr>
          <w:rFonts w:ascii="Arial" w:cs="Arial" w:eastAsia="Arial" w:hAnsi="Arial"/>
          <w:color w:val="1A1A2E"/>
          <w:sz w:val="20"/>
          <w:szCs w:val="20"/>
        </w:rPr>
        <w:t xml:space="preserve">Platform integration approval</w:t>
      </w:r>
    </w:p>
    <w:p>
      <w:pPr>
        <w:pStyle w:val="ListParagraph"/>
        <w:numPr>
          <w:ilvl w:val="0"/>
          <w:numId w:val="2"/>
        </w:numPr>
        <w:spacing w:before="60" w:after="60"/>
      </w:pPr>
      <w:r>
        <w:rPr>
          <w:rFonts w:ascii="Arial" w:cs="Arial" w:eastAsia="Arial" w:hAnsi="Arial"/>
          <w:color w:val="1A1A2E"/>
          <w:sz w:val="20"/>
          <w:szCs w:val="20"/>
        </w:rPr>
        <w:t xml:space="preserve">SpokeGateway contract updates on spoke chains</w:t>
      </w:r>
    </w:p>
    <w:p>
      <w:pPr>
        <w:pStyle w:val="ListParagraph"/>
        <w:numPr>
          <w:ilvl w:val="0"/>
          <w:numId w:val="2"/>
        </w:numPr>
        <w:spacing w:before="60" w:after="60"/>
      </w:pPr>
      <w:r>
        <w:rPr>
          <w:rFonts w:ascii="Arial" w:cs="Arial" w:eastAsia="Arial" w:hAnsi="Arial"/>
          <w:color w:val="1A1A2E"/>
          <w:sz w:val="20"/>
          <w:szCs w:val="20"/>
        </w:rPr>
        <w:t xml:space="preserve">Authorized bridge protocol updates</w:t>
      </w:r>
    </w:p>
    <w:p>
      <w:pPr>
        <w:spacing w:before="80" w:after="0"/>
      </w:pPr>
    </w:p>
    <w:p>
      <w:pPr>
        <w:spacing w:before="80" w:after="80"/>
      </w:pPr>
      <w:r>
        <w:rPr>
          <w:rFonts w:ascii="Arial" w:cs="Arial" w:eastAsia="Arial" w:hAnsi="Arial"/>
          <w:b w:val="false"/>
          <w:bCs w:val="false"/>
          <w:i w:val="false"/>
          <w:iCs w:val="false"/>
          <w:color w:val="1A1A2E"/>
          <w:sz w:val="20"/>
          <w:szCs w:val="20"/>
        </w:rPr>
        <w:t xml:space="preserve">Multisig may NOT:</w:t>
      </w:r>
    </w:p>
    <w:p>
      <w:pPr>
        <w:pStyle w:val="ListParagraph"/>
        <w:numPr>
          <w:ilvl w:val="0"/>
          <w:numId w:val="2"/>
        </w:numPr>
        <w:spacing w:before="60" w:after="60"/>
      </w:pPr>
      <w:r>
        <w:rPr>
          <w:rFonts w:ascii="Arial" w:cs="Arial" w:eastAsia="Arial" w:hAnsi="Arial"/>
          <w:color w:val="1A1A2E"/>
          <w:sz w:val="20"/>
          <w:szCs w:val="20"/>
        </w:rPr>
        <w:t xml:space="preserve">Move user funds</w:t>
      </w:r>
    </w:p>
    <w:p>
      <w:pPr>
        <w:pStyle w:val="ListParagraph"/>
        <w:numPr>
          <w:ilvl w:val="0"/>
          <w:numId w:val="2"/>
        </w:numPr>
        <w:spacing w:before="60" w:after="60"/>
      </w:pPr>
      <w:r>
        <w:rPr>
          <w:rFonts w:ascii="Arial" w:cs="Arial" w:eastAsia="Arial" w:hAnsi="Arial"/>
          <w:color w:val="1A1A2E"/>
          <w:sz w:val="20"/>
          <w:szCs w:val="20"/>
        </w:rPr>
        <w:t xml:space="preserve">Access vault AUM</w:t>
      </w:r>
    </w:p>
    <w:p>
      <w:pPr>
        <w:pStyle w:val="ListParagraph"/>
        <w:numPr>
          <w:ilvl w:val="0"/>
          <w:numId w:val="2"/>
        </w:numPr>
        <w:spacing w:before="60" w:after="60"/>
      </w:pPr>
      <w:r>
        <w:rPr>
          <w:rFonts w:ascii="Arial" w:cs="Arial" w:eastAsia="Arial" w:hAnsi="Arial"/>
          <w:color w:val="1A1A2E"/>
          <w:sz w:val="20"/>
          <w:szCs w:val="20"/>
        </w:rPr>
        <w:t xml:space="preserve">Access friction pool capital</w:t>
      </w:r>
    </w:p>
    <w:p>
      <w:pPr>
        <w:pStyle w:val="ListParagraph"/>
        <w:numPr>
          <w:ilvl w:val="0"/>
          <w:numId w:val="2"/>
        </w:numPr>
        <w:spacing w:before="60" w:after="60"/>
      </w:pPr>
      <w:r>
        <w:rPr>
          <w:rFonts w:ascii="Arial" w:cs="Arial" w:eastAsia="Arial" w:hAnsi="Arial"/>
          <w:color w:val="1A1A2E"/>
          <w:sz w:val="20"/>
          <w:szCs w:val="20"/>
        </w:rPr>
        <w:t xml:space="preserve">Override coverage math</w:t>
      </w:r>
    </w:p>
    <w:p>
      <w:pPr>
        <w:pStyle w:val="ListParagraph"/>
        <w:numPr>
          <w:ilvl w:val="0"/>
          <w:numId w:val="2"/>
        </w:numPr>
        <w:spacing w:before="60" w:after="60"/>
      </w:pPr>
      <w:r>
        <w:rPr>
          <w:rFonts w:ascii="Arial" w:cs="Arial" w:eastAsia="Arial" w:hAnsi="Arial"/>
          <w:color w:val="1A1A2E"/>
          <w:sz w:val="20"/>
          <w:szCs w:val="20"/>
        </w:rPr>
        <w:t xml:space="preserve">Adjust redemption price</w:t>
      </w:r>
    </w:p>
    <w:p>
      <w:pPr>
        <w:pStyle w:val="ListParagraph"/>
        <w:numPr>
          <w:ilvl w:val="0"/>
          <w:numId w:val="2"/>
        </w:numPr>
        <w:spacing w:before="60" w:after="60"/>
      </w:pPr>
      <w:r>
        <w:rPr>
          <w:rFonts w:ascii="Arial" w:cs="Arial" w:eastAsia="Arial" w:hAnsi="Arial"/>
          <w:color w:val="1A1A2E"/>
          <w:sz w:val="20"/>
          <w:szCs w:val="20"/>
        </w:rPr>
        <w:t xml:space="preserve">Modify fee splits retroactively</w:t>
      </w:r>
    </w:p>
    <w:p>
      <w:pPr>
        <w:pStyle w:val="ListParagraph"/>
        <w:numPr>
          <w:ilvl w:val="0"/>
          <w:numId w:val="2"/>
        </w:numPr>
        <w:spacing w:before="60" w:after="60"/>
      </w:pPr>
      <w:r>
        <w:rPr>
          <w:rFonts w:ascii="Arial" w:cs="Arial" w:eastAsia="Arial" w:hAnsi="Arial"/>
          <w:color w:val="1A1A2E"/>
          <w:sz w:val="20"/>
          <w:szCs w:val="20"/>
        </w:rPr>
        <w:t xml:space="preserve">Override LOOP canonical chain designation</w:t>
      </w:r>
    </w:p>
    <w:p>
      <w:pPr>
        <w:pStyle w:val="ListParagraph"/>
        <w:numPr>
          <w:ilvl w:val="0"/>
          <w:numId w:val="2"/>
        </w:numPr>
        <w:spacing w:before="60" w:after="60"/>
      </w:pPr>
      <w:r>
        <w:rPr>
          <w:rFonts w:ascii="Arial" w:cs="Arial" w:eastAsia="Arial" w:hAnsi="Arial"/>
          <w:color w:val="1A1A2E"/>
          <w:sz w:val="20"/>
          <w:szCs w:val="20"/>
        </w:rPr>
        <w:t xml:space="preserve">Access wLOOP bridge escrow funds</w:t>
      </w:r>
    </w:p>
    <w:p>
      <w:pPr>
        <w:spacing w:before="80" w:after="0"/>
      </w:pPr>
    </w:p>
    <w:p>
      <w:pPr>
        <w:spacing w:before="80" w:after="80"/>
      </w:pPr>
      <w:r>
        <w:rPr>
          <w:rFonts w:ascii="Arial" w:cs="Arial" w:eastAsia="Arial" w:hAnsi="Arial"/>
          <w:b w:val="false"/>
          <w:bCs w:val="false"/>
          <w:i w:val="false"/>
          <w:iCs w:val="false"/>
          <w:color w:val="1A1A2E"/>
          <w:sz w:val="20"/>
          <w:szCs w:val="20"/>
        </w:rPr>
        <w:t xml:space="preserve">Multisig authority is operational, not economic.</w:t>
      </w:r>
    </w:p>
    <w:p>
      <w:pPr>
        <w:spacing w:before="80" w:after="0"/>
      </w:pPr>
    </w:p>
    <w:p>
      <w:pPr>
        <w:pStyle w:val="Heading2"/>
        <w:spacing w:before="280" w:after="120"/>
      </w:pPr>
      <w:r>
        <w:rPr>
          <w:rFonts w:ascii="Arial" w:cs="Arial" w:eastAsia="Arial" w:hAnsi="Arial"/>
          <w:b/>
          <w:bCs/>
          <w:color w:val="2E7D9F"/>
          <w:sz w:val="26"/>
          <w:szCs w:val="26"/>
        </w:rPr>
        <w:t xml:space="preserve">C.3  Governance Hierarchy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200"/>
        <w:gridCol w:w="29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Overrideable By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Hard-coded invariants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Coverage, isolation, non-decreasing price, profit-only minting, friction segregation, LOOP canonical chain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Nobody — immutable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Smart contract enforcement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All invariants enforced at contract level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Nobody — code enforced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Governance bounds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Risk caps, ratchet thresholds, friction parameters (within guardrails)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NFT holders only, within bounds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AI optimization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Trade params, LP ranges, vault selection, friction idle deployment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Within Level 3 bounds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User configuration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Override AI defaults within Level 3 bounds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User decision — logged on-chain</w:t>
            </w:r>
          </w:p>
        </w:tc>
      </w:tr>
    </w:tbl>
    <w:p>
      <w:pPr>
        <w:spacing w:before="80" w:after="0"/>
      </w:pPr>
    </w:p>
    <w:p>
      <w:pPr>
        <w:pStyle w:val="Heading2"/>
        <w:spacing w:before="280" w:after="120"/>
      </w:pPr>
      <w:r>
        <w:rPr>
          <w:rFonts w:ascii="Arial" w:cs="Arial" w:eastAsia="Arial" w:hAnsi="Arial"/>
          <w:b/>
          <w:bCs/>
          <w:color w:val="2E7D9F"/>
          <w:sz w:val="26"/>
          <w:szCs w:val="26"/>
        </w:rPr>
        <w:t xml:space="preserve">C.4  AI Model Upgrade Control</w:t>
      </w:r>
    </w:p>
    <w:p>
      <w:pPr>
        <w:spacing w:before="80" w:after="80"/>
      </w:pPr>
      <w:r>
        <w:rPr>
          <w:rFonts w:ascii="Arial" w:cs="Arial" w:eastAsia="Arial" w:hAnsi="Arial"/>
          <w:b w:val="false"/>
          <w:bCs w:val="false"/>
          <w:i w:val="false"/>
          <w:iCs w:val="false"/>
          <w:color w:val="1A1A2E"/>
          <w:sz w:val="20"/>
          <w:szCs w:val="20"/>
        </w:rPr>
        <w:t xml:space="preserve">AI models may be updated through governance-approved deployment. Requirements: public disclosure, version tagging, change summary, 48-hour notice before activation. AI upgrades cannot alter invariants, fee structure, liability logic, or ratchet formula. AI controls strategy execution — not liability architecture.</w:t>
      </w:r>
    </w:p>
    <w:p>
      <w:r>
        <w:br w:type="page"/>
      </w:r>
    </w:p>
    <w:p>
      <w:pPr>
        <w:pStyle w:val="Heading1"/>
        <w:spacing w:before="400" w:after="160"/>
      </w:pPr>
      <w:r>
        <w:rPr>
          <w:rFonts w:ascii="Arial" w:cs="Arial" w:eastAsia="Arial" w:hAnsi="Arial"/>
          <w:b/>
          <w:bCs/>
          <w:color w:val="1A3A5C"/>
          <w:sz w:val="34"/>
          <w:szCs w:val="34"/>
        </w:rPr>
        <w:t xml:space="preserve">Section D — Multi-Chain Governance &amp; Authority</w:t>
      </w:r>
    </w:p>
    <w:p>
      <w:pPr>
        <w:pBdr>
          <w:bottom w:val="single" w:color="2E7D9F" w:sz="4" w:space="1"/>
        </w:pBdr>
        <w:spacing w:before="160" w:after="160"/>
      </w:pPr>
    </w:p>
    <w:p>
      <w:pPr>
        <w:pStyle w:val="Heading2"/>
        <w:spacing w:before="280" w:after="120"/>
      </w:pPr>
      <w:r>
        <w:rPr>
          <w:rFonts w:ascii="Arial" w:cs="Arial" w:eastAsia="Arial" w:hAnsi="Arial"/>
          <w:b/>
          <w:bCs/>
          <w:color w:val="2E7D9F"/>
          <w:sz w:val="26"/>
          <w:szCs w:val="26"/>
        </w:rPr>
        <w:t xml:space="preserve">D.1  Spoke Chain Authority Model</w:t>
      </w:r>
    </w:p>
    <w:p>
      <w:pPr>
        <w:spacing w:before="80" w:after="80"/>
      </w:pPr>
      <w:r>
        <w:rPr>
          <w:rFonts w:ascii="Arial" w:cs="Arial" w:eastAsia="Arial" w:hAnsi="Arial"/>
          <w:b w:val="false"/>
          <w:bCs w:val="false"/>
          <w:i w:val="false"/>
          <w:iCs w:val="false"/>
          <w:color w:val="1A1A2E"/>
          <w:sz w:val="20"/>
          <w:szCs w:val="20"/>
        </w:rPr>
        <w:t xml:space="preserve">SpokeGateway contracts on Base, Arbitrum, Polygon, and Ethereum operate under the following authority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Authority Required</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Deploy new SpokeGateway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Multisig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Must be whitelisted on BSC Hub before accepting deposits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Update SpokeGateway implementation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Multisig + 48hr notice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Cannot change bridge message format without BSC Hub update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Pause SpokeGateway on a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Multisig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Emergency only — deposits revert, existing vaults unaffected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Update trusted bridge endpoint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Multisig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Stargate router address changes require governance approval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Add new spoke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Governance vote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Requires SpokeGateway deployment + BSC Hub whitelist + audit</w:t>
            </w:r>
          </w:p>
        </w:tc>
      </w:tr>
    </w:tbl>
    <w:p>
      <w:pPr>
        <w:spacing w:before="80" w:after="0"/>
      </w:pPr>
    </w:p>
    <w:p>
      <w:pPr>
        <w:pStyle w:val="Heading2"/>
        <w:spacing w:before="280" w:after="120"/>
      </w:pPr>
      <w:r>
        <w:rPr>
          <w:rFonts w:ascii="Arial" w:cs="Arial" w:eastAsia="Arial" w:hAnsi="Arial"/>
          <w:b/>
          <w:bCs/>
          <w:color w:val="2E7D9F"/>
          <w:sz w:val="26"/>
          <w:szCs w:val="26"/>
        </w:rPr>
        <w:t xml:space="preserve">D.2  LOOP Canonical Chain Enforcement</w:t>
      </w:r>
    </w:p>
    <w:p>
      <w:pPr>
        <w:spacing w:before="80" w:after="80"/>
      </w:pPr>
      <w:r>
        <w:rPr>
          <w:rFonts w:ascii="Arial" w:cs="Arial" w:eastAsia="Arial" w:hAnsi="Arial"/>
          <w:b w:val="false"/>
          <w:bCs w:val="false"/>
          <w:i w:val="false"/>
          <w:iCs w:val="false"/>
          <w:color w:val="1A1A2E"/>
          <w:sz w:val="20"/>
          <w:szCs w:val="20"/>
        </w:rPr>
        <w:t xml:space="preserve">LOOP minting and redemption occur exclusively on BSC. This rule is enforced at the smart contract level and cannot be modified by multisig, governance, or AI. Any representation of LOOP on non-BSC chains is wLOOP — a bridge-backed IOU backed 1:1 by LOOP held in escrow on BSC.</w:t>
      </w:r>
    </w:p>
    <w:p>
      <w:pPr>
        <w:spacing w:before="80" w:after="80"/>
      </w:pPr>
      <w:r>
        <w:rPr>
          <w:rFonts w:ascii="Arial" w:cs="Arial" w:eastAsia="Arial" w:hAnsi="Arial"/>
          <w:b w:val="false"/>
          <w:bCs w:val="false"/>
          <w:i w:val="false"/>
          <w:iCs w:val="false"/>
          <w:color w:val="1A1A2E"/>
          <w:sz w:val="20"/>
          <w:szCs w:val="20"/>
        </w:rPr>
        <w:t xml:space="preserve">wLOOP escrow contracts are subject to the same multisig authority model as SpokeGateway contracts. The escrow invariant — wLOOP supply ≤ LOOP in escrow — is enforced at the contract level and is non-overrideable.</w:t>
      </w:r>
    </w:p>
    <w:p>
      <w:pPr>
        <w:spacing w:before="80" w:after="0"/>
      </w:pPr>
    </w:p>
    <w:p>
      <w:pPr>
        <w:pStyle w:val="Heading2"/>
        <w:spacing w:before="280" w:after="120"/>
      </w:pPr>
      <w:r>
        <w:rPr>
          <w:rFonts w:ascii="Arial" w:cs="Arial" w:eastAsia="Arial" w:hAnsi="Arial"/>
          <w:b/>
          <w:bCs/>
          <w:color w:val="2E7D9F"/>
          <w:sz w:val="26"/>
          <w:szCs w:val="26"/>
        </w:rPr>
        <w:t xml:space="preserve">D.3  Cross-Chain Risk Acknowledgment</w:t>
      </w:r>
    </w:p>
    <w:p>
      <w:pPr>
        <w:spacing w:before="80" w:after="80"/>
      </w:pPr>
      <w:r>
        <w:rPr>
          <w:rFonts w:ascii="Arial" w:cs="Arial" w:eastAsia="Arial" w:hAnsi="Arial"/>
          <w:b w:val="false"/>
          <w:bCs w:val="false"/>
          <w:i w:val="false"/>
          <w:iCs w:val="false"/>
          <w:color w:val="1A1A2E"/>
          <w:sz w:val="20"/>
          <w:szCs w:val="20"/>
        </w:rPr>
        <w:t xml:space="preserve">By depositing from a non-BSC chain, users additionally acknowledge:</w:t>
      </w:r>
    </w:p>
    <w:p>
      <w:pPr>
        <w:pStyle w:val="ListParagraph"/>
        <w:numPr>
          <w:ilvl w:val="0"/>
          <w:numId w:val="2"/>
        </w:numPr>
        <w:spacing w:before="60" w:after="60"/>
      </w:pPr>
      <w:r>
        <w:rPr>
          <w:rFonts w:ascii="Arial" w:cs="Arial" w:eastAsia="Arial" w:hAnsi="Arial"/>
          <w:color w:val="1A1A2E"/>
          <w:sz w:val="20"/>
          <w:szCs w:val="20"/>
        </w:rPr>
        <w:t xml:space="preserve">Bridge transactions are irreversible once initiated</w:t>
      </w:r>
    </w:p>
    <w:p>
      <w:pPr>
        <w:pStyle w:val="ListParagraph"/>
        <w:numPr>
          <w:ilvl w:val="0"/>
          <w:numId w:val="2"/>
        </w:numPr>
        <w:spacing w:before="60" w:after="60"/>
      </w:pPr>
      <w:r>
        <w:rPr>
          <w:rFonts w:ascii="Arial" w:cs="Arial" w:eastAsia="Arial" w:hAnsi="Arial"/>
          <w:color w:val="1A1A2E"/>
          <w:sz w:val="20"/>
          <w:szCs w:val="20"/>
        </w:rPr>
        <w:t xml:space="preserve">YieldLoop cannot recover funds lost due to Stargate/LayerZero protocol failure</w:t>
      </w:r>
    </w:p>
    <w:p>
      <w:pPr>
        <w:pStyle w:val="ListParagraph"/>
        <w:numPr>
          <w:ilvl w:val="0"/>
          <w:numId w:val="2"/>
        </w:numPr>
        <w:spacing w:before="60" w:after="60"/>
      </w:pPr>
      <w:r>
        <w:rPr>
          <w:rFonts w:ascii="Arial" w:cs="Arial" w:eastAsia="Arial" w:hAnsi="Arial"/>
          <w:color w:val="1A1A2E"/>
          <w:sz w:val="20"/>
          <w:szCs w:val="20"/>
        </w:rPr>
        <w:t xml:space="preserve">Bridge fees funded by the Friction Pool increase friction debt exposure for the vault</w:t>
      </w:r>
    </w:p>
    <w:p>
      <w:pPr>
        <w:pStyle w:val="ListParagraph"/>
        <w:numPr>
          <w:ilvl w:val="0"/>
          <w:numId w:val="2"/>
        </w:numPr>
        <w:spacing w:before="60" w:after="60"/>
      </w:pPr>
      <w:r>
        <w:rPr>
          <w:rFonts w:ascii="Arial" w:cs="Arial" w:eastAsia="Arial" w:hAnsi="Arial"/>
          <w:color w:val="1A1A2E"/>
          <w:sz w:val="20"/>
          <w:szCs w:val="20"/>
        </w:rPr>
        <w:t xml:space="preserve">Users selecting reward delivery on non-BSC chains accept additional bridge settlement time (typically 1–5 minutes)</w:t>
      </w:r>
    </w:p>
    <w:p>
      <w:pPr>
        <w:pStyle w:val="ListParagraph"/>
        <w:numPr>
          <w:ilvl w:val="0"/>
          <w:numId w:val="2"/>
        </w:numPr>
        <w:spacing w:before="60" w:after="60"/>
      </w:pPr>
      <w:r>
        <w:rPr>
          <w:rFonts w:ascii="Arial" w:cs="Arial" w:eastAsia="Arial" w:hAnsi="Arial"/>
          <w:color w:val="1A1A2E"/>
          <w:sz w:val="20"/>
          <w:szCs w:val="20"/>
        </w:rPr>
        <w:t xml:space="preserve">wLOOP on non-BSC chains is subject to bridge escrow risk independent of vault performance</w:t>
      </w:r>
    </w:p>
    <w:p>
      <w:r>
        <w:br w:type="page"/>
      </w:r>
    </w:p>
    <w:p>
      <w:pPr>
        <w:pStyle w:val="Heading1"/>
        <w:spacing w:before="400" w:after="160"/>
      </w:pPr>
      <w:r>
        <w:rPr>
          <w:rFonts w:ascii="Arial" w:cs="Arial" w:eastAsia="Arial" w:hAnsi="Arial"/>
          <w:b/>
          <w:bCs/>
          <w:color w:val="1A3A5C"/>
          <w:sz w:val="34"/>
          <w:szCs w:val="34"/>
        </w:rPr>
        <w:t xml:space="preserve">Authority Model Summary</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before="60" w:after="60"/>
            </w:pPr>
            <w:r>
              <w:rPr>
                <w:rFonts w:ascii="Arial" w:cs="Arial" w:eastAsia="Arial" w:hAnsi="Arial"/>
                <w:b w:val="false"/>
                <w:bCs w:val="false"/>
                <w:color w:val="1A1A2E"/>
                <w:sz w:val="20"/>
                <w:szCs w:val="20"/>
              </w:rPr>
              <w:t xml:space="preserve">YieldLoop v2.0 is structured so that:</w:t>
            </w:r>
          </w:p>
          <w:p>
            <w:pPr>
              <w:spacing w:before="60" w:after="60"/>
            </w:pPr>
            <w:r>
              <w:rPr>
                <w:rFonts w:ascii="Arial" w:cs="Arial" w:eastAsia="Arial" w:hAnsi="Arial"/>
                <w:b w:val="false"/>
                <w:bCs w:val="false"/>
                <w:color w:val="1A1A2E"/>
                <w:sz w:val="20"/>
                <w:szCs w:val="20"/>
              </w:rPr>
              <w:t xml:space="preserve"/>
            </w:r>
          </w:p>
          <w:p>
            <w:pPr>
              <w:spacing w:before="60" w:after="60"/>
            </w:pPr>
            <w:r>
              <w:rPr>
                <w:rFonts w:ascii="Arial" w:cs="Arial" w:eastAsia="Arial" w:hAnsi="Arial"/>
                <w:b/>
                <w:bCs/>
                <w:color w:val="1A1A2E"/>
                <w:sz w:val="20"/>
                <w:szCs w:val="20"/>
              </w:rPr>
              <w:t xml:space="preserve">■  Invariants protect solvency — enforced by code, not promises</w:t>
            </w:r>
          </w:p>
          <w:p>
            <w:pPr>
              <w:spacing w:before="60" w:after="60"/>
            </w:pPr>
            <w:r>
              <w:rPr>
                <w:rFonts w:ascii="Arial" w:cs="Arial" w:eastAsia="Arial" w:hAnsi="Arial"/>
                <w:b/>
                <w:bCs/>
                <w:color w:val="1A1A2E"/>
                <w:sz w:val="20"/>
                <w:szCs w:val="20"/>
              </w:rPr>
              <w:t xml:space="preserve">■  AI manages operational intelligence within hard boundaries</w:t>
            </w:r>
          </w:p>
          <w:p>
            <w:pPr>
              <w:spacing w:before="60" w:after="60"/>
            </w:pPr>
            <w:r>
              <w:rPr>
                <w:rFonts w:ascii="Arial" w:cs="Arial" w:eastAsia="Arial" w:hAnsi="Arial"/>
                <w:b/>
                <w:bCs/>
                <w:color w:val="1A1A2E"/>
                <w:sz w:val="20"/>
                <w:szCs w:val="20"/>
              </w:rPr>
              <w:t xml:space="preserve">■  Multisig protects emergency governance — cannot touch user funds</w:t>
            </w:r>
          </w:p>
          <w:p>
            <w:pPr>
              <w:spacing w:before="60" w:after="60"/>
            </w:pPr>
            <w:r>
              <w:rPr>
                <w:rFonts w:ascii="Arial" w:cs="Arial" w:eastAsia="Arial" w:hAnsi="Arial"/>
                <w:b/>
                <w:bCs/>
                <w:color w:val="1A1A2E"/>
                <w:sz w:val="20"/>
                <w:szCs w:val="20"/>
              </w:rPr>
              <w:t xml:space="preserve">■  SpokeGateway contracts provide multi-chain access under unified rules</w:t>
            </w:r>
          </w:p>
          <w:p>
            <w:pPr>
              <w:spacing w:before="60" w:after="60"/>
            </w:pPr>
            <w:r>
              <w:rPr>
                <w:rFonts w:ascii="Arial" w:cs="Arial" w:eastAsia="Arial" w:hAnsi="Arial"/>
                <w:b/>
                <w:bCs/>
                <w:color w:val="1A1A2E"/>
                <w:sz w:val="20"/>
                <w:szCs w:val="20"/>
              </w:rPr>
              <w:t xml:space="preserve">■  LOOP remains canonical on BSC — single source of truth</w:t>
            </w:r>
          </w:p>
          <w:p>
            <w:pPr>
              <w:spacing w:before="60" w:after="60"/>
            </w:pPr>
            <w:r>
              <w:rPr>
                <w:rFonts w:ascii="Arial" w:cs="Arial" w:eastAsia="Arial" w:hAnsi="Arial"/>
                <w:b/>
                <w:bCs/>
                <w:color w:val="1A1A2E"/>
                <w:sz w:val="20"/>
                <w:szCs w:val="20"/>
              </w:rPr>
              <w:t xml:space="preserve">■  wLOOP on other chains is bridge-backed 1:1 — not independent supply</w:t>
            </w:r>
          </w:p>
          <w:p>
            <w:pPr>
              <w:spacing w:before="60" w:after="60"/>
            </w:pPr>
            <w:r>
              <w:rPr>
                <w:rFonts w:ascii="Arial" w:cs="Arial" w:eastAsia="Arial" w:hAnsi="Arial"/>
                <w:b/>
                <w:bCs/>
                <w:color w:val="1A1A2E"/>
                <w:sz w:val="20"/>
                <w:szCs w:val="20"/>
              </w:rPr>
              <w:t xml:space="preserve">■  Users retain final participation authority — all overrides logged</w:t>
            </w:r>
          </w:p>
          <w:p>
            <w:pPr>
              <w:spacing w:before="60" w:after="60"/>
            </w:pPr>
            <w:r>
              <w:rPr>
                <w:rFonts w:ascii="Arial" w:cs="Arial" w:eastAsia="Arial" w:hAnsi="Arial"/>
                <w:b/>
                <w:bCs/>
                <w:color w:val="1A1A2E"/>
                <w:sz w:val="20"/>
                <w:szCs w:val="20"/>
              </w:rPr>
              <w:t xml:space="preserve">■  Liability is epoch-isolated — no cross-epoch contamination</w:t>
            </w:r>
          </w:p>
          <w:p>
            <w:pPr>
              <w:spacing w:before="60" w:after="60"/>
            </w:pPr>
            <w:r>
              <w:rPr>
                <w:rFonts w:ascii="Arial" w:cs="Arial" w:eastAsia="Arial" w:hAnsi="Arial"/>
                <w:b/>
                <w:bCs/>
                <w:color w:val="1A1A2E"/>
                <w:sz w:val="20"/>
                <w:szCs w:val="20"/>
              </w:rPr>
              <w:t xml:space="preserve">■  Operational debt is transparent, interest-bearing, and non-waivable</w:t>
            </w:r>
          </w:p>
          <w:p>
            <w:pPr>
              <w:spacing w:before="60" w:after="60"/>
            </w:pPr>
            <w:r>
              <w:rPr>
                <w:rFonts w:ascii="Arial" w:cs="Arial" w:eastAsia="Arial" w:hAnsi="Arial"/>
                <w:b/>
                <w:bCs/>
                <w:color w:val="1A1A2E"/>
                <w:sz w:val="20"/>
                <w:szCs w:val="20"/>
              </w:rPr>
              <w:t xml:space="preserve">■  Bridge risk is disclosed, accepted, and cannot be insured by the protocol</w:t>
            </w:r>
          </w:p>
          <w:p>
            <w:pPr>
              <w:spacing w:before="60" w:after="60"/>
            </w:pPr>
            <w:r>
              <w:rPr>
                <w:rFonts w:ascii="Arial" w:cs="Arial" w:eastAsia="Arial" w:hAnsi="Arial"/>
                <w:b w:val="false"/>
                <w:bCs w:val="false"/>
                <w:color w:val="1A1A2E"/>
                <w:sz w:val="20"/>
                <w:szCs w:val="20"/>
              </w:rPr>
              <w:t xml:space="preserve"/>
            </w:r>
          </w:p>
          <w:p>
            <w:pPr>
              <w:spacing w:before="60" w:after="60"/>
            </w:pPr>
            <w:r>
              <w:rPr>
                <w:rFonts w:ascii="Arial" w:cs="Arial" w:eastAsia="Arial" w:hAnsi="Arial"/>
                <w:b w:val="false"/>
                <w:bCs w:val="false"/>
                <w:color w:val="1A1A2E"/>
                <w:sz w:val="20"/>
                <w:szCs w:val="20"/>
              </w:rPr>
              <w:t xml:space="preserve">AI guidance does not transfer risk from the participant to the protocol.</w:t>
            </w:r>
          </w:p>
          <w:p>
            <w:pPr>
              <w:spacing w:before="60" w:after="60"/>
            </w:pPr>
            <w:r>
              <w:rPr>
                <w:rFonts w:ascii="Arial" w:cs="Arial" w:eastAsia="Arial" w:hAnsi="Arial"/>
                <w:b w:val="false"/>
                <w:bCs w:val="false"/>
                <w:color w:val="1A1A2E"/>
                <w:sz w:val="20"/>
                <w:szCs w:val="20"/>
              </w:rPr>
              <w:t xml:space="preserve">Responsibility for participation, deposits, configuration, and outcomes remains with the user.</w:t>
            </w:r>
          </w:p>
          <w:p>
            <w:pPr>
              <w:spacing w:before="60" w:after="60"/>
            </w:pPr>
            <w:r>
              <w:rPr>
                <w:rFonts w:ascii="Arial" w:cs="Arial" w:eastAsia="Arial" w:hAnsi="Arial"/>
                <w:b w:val="false"/>
                <w:bCs w:val="false"/>
                <w:color w:val="1A1A2E"/>
                <w:sz w:val="20"/>
                <w:szCs w:val="20"/>
              </w:rPr>
              <w:t xml:space="preserve"/>
            </w:r>
          </w:p>
          <w:p>
            <w:pPr>
              <w:spacing w:before="60" w:after="60"/>
            </w:pPr>
            <w:r>
              <w:rPr>
                <w:rFonts w:ascii="Arial" w:cs="Arial" w:eastAsia="Arial" w:hAnsi="Arial"/>
                <w:b w:val="false"/>
                <w:bCs w:val="false"/>
                <w:color w:val="1A1A2E"/>
                <w:sz w:val="20"/>
                <w:szCs w:val="20"/>
              </w:rPr>
              <w:t xml:space="preserve">Discipline is enforced by code.</w:t>
            </w:r>
          </w:p>
        </w:tc>
      </w:tr>
    </w:tbl>
    <w:p>
      <w:pPr>
        <w:spacing w:before="160" w:after="0"/>
      </w:pPr>
    </w:p>
    <w:p>
      <w:pPr>
        <w:pBdr>
          <w:bottom w:val="single" w:color="2E7D9F" w:sz="4" w:space="1"/>
        </w:pBdr>
        <w:spacing w:before="160" w:after="160"/>
      </w:pPr>
    </w:p>
    <w:p>
      <w:pPr>
        <w:spacing w:before="80" w:after="40"/>
        <w:jc w:val="center"/>
      </w:pPr>
      <w:r>
        <w:rPr>
          <w:rFonts w:ascii="Arial" w:cs="Arial" w:eastAsia="Arial" w:hAnsi="Arial"/>
          <w:b/>
          <w:bCs/>
          <w:color w:val="1A1A2E"/>
          <w:sz w:val="18"/>
          <w:szCs w:val="18"/>
        </w:rPr>
        <w:t xml:space="preserve">YieldLoop Legal &amp; Governance Addendum v2.0</w:t>
      </w:r>
    </w:p>
    <w:p>
      <w:pPr>
        <w:spacing w:before="0" w:after="40"/>
        <w:jc w:val="center"/>
      </w:pPr>
      <w:r>
        <w:rPr>
          <w:rFonts w:ascii="Arial" w:cs="Arial" w:eastAsia="Arial" w:hAnsi="Arial"/>
          <w:color w:val="666666"/>
          <w:sz w:val="16"/>
          <w:szCs w:val="16"/>
        </w:rPr>
        <w:t xml:space="preserve">Addendum to Whitepaper v2.0 | BSC Hub | Base | Arbitrum | Polygon | Ethereum</w:t>
      </w:r>
    </w:p>
    <w:p>
      <w:pPr>
        <w:spacing w:before="0" w:after="40"/>
        <w:jc w:val="center"/>
      </w:pPr>
      <w:r>
        <w:rPr>
          <w:rFonts w:ascii="Arial" w:cs="Arial" w:eastAsia="Arial" w:hAnsi="Arial"/>
          <w:i/>
          <w:iCs/>
          <w:color w:val="666666"/>
          <w:sz w:val="16"/>
          <w:szCs w:val="16"/>
        </w:rPr>
        <w:t xml:space="preserve">Todd Koletsky, HT1 (SW), USN (Ret.) — Systems Architect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F" w:sz="4" w:space="4"/>
      </w:pBdr>
      <w:spacing w:before="0" w:after="120"/>
    </w:pPr>
    <w:r>
      <w:rPr>
        <w:rFonts w:ascii="Arial" w:cs="Arial" w:eastAsia="Arial" w:hAnsi="Arial"/>
        <w:b/>
        <w:bCs/>
        <w:color w:val="1A3A5C"/>
        <w:sz w:val="20"/>
        <w:szCs w:val="20"/>
      </w:rPr>
      <w:t xml:space="preserve">YIELDLOOP</w:t>
    </w:r>
    <w:r>
      <w:rPr>
        <w:rFonts w:ascii="Arial" w:cs="Arial" w:eastAsia="Arial" w:hAnsi="Arial"/>
        <w:color w:val="666666"/>
        <w:sz w:val="16"/>
        <w:szCs w:val="16"/>
      </w:rPr>
      <w:t xml:space="preserve">  |  Legal &amp; Governance  v2.0  |  Risk Disclosures, AI Authority &amp; User Responsibility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D9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2026-02-23T17:31:40.821Z</dcterms:created>
  <dcterms:modified xsi:type="dcterms:W3CDTF">2026-02-23T17:31:40.821Z</dcterms:modified>
</cp:coreProperties>
</file>

<file path=docProps/custom.xml><?xml version="1.0" encoding="utf-8"?>
<Properties xmlns="http://schemas.openxmlformats.org/officeDocument/2006/custom-properties" xmlns:vt="http://schemas.openxmlformats.org/officeDocument/2006/docPropsVTypes"/>
</file>