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0"/>
      </w:pPr>
    </w:p>
    <w:p>
      <w:pPr>
        <w:spacing w:before="0" w:after="80"/>
        <w:jc w:val="center"/>
      </w:pPr>
      <w:r>
        <w:rPr>
          <w:rFonts w:ascii="Arial" w:cs="Arial" w:eastAsia="Arial" w:hAnsi="Arial"/>
          <w:b/>
          <w:bCs/>
          <w:color w:val="1A3A5C"/>
          <w:sz w:val="72"/>
          <w:szCs w:val="72"/>
        </w:rPr>
        <w:t xml:space="preserve">YIELDLOOP</w:t>
      </w:r>
    </w:p>
    <w:p>
      <w:pPr>
        <w:spacing w:before="0" w:after="80"/>
        <w:jc w:val="center"/>
      </w:pPr>
      <w:r>
        <w:rPr>
          <w:rFonts w:ascii="Arial" w:cs="Arial" w:eastAsia="Arial" w:hAnsi="Arial"/>
          <w:i/>
          <w:iCs/>
          <w:color w:val="2E7D9F"/>
          <w:sz w:val="36"/>
          <w:szCs w:val="36"/>
        </w:rPr>
        <w:t xml:space="preserve">Multi-Chain Structured Profit Engine</w:t>
      </w:r>
    </w:p>
    <w:p>
      <w:pPr>
        <w:pBdr>
          <w:bottom w:val="single" w:color="2E7D9F" w:sz="6" w:space="4"/>
        </w:pBdr>
        <w:spacing w:before="80" w:after="80"/>
        <w:jc w:val="center"/>
      </w:pPr>
      <w:r>
        <w:rPr>
          <w:rFonts w:ascii="Arial" w:cs="Arial" w:eastAsia="Arial" w:hAnsi="Arial"/>
          <w:sz w:val="22"/>
          <w:szCs w:val="22"/>
        </w:rPr>
        <w:t xml:space="preserve"/>
      </w:r>
    </w:p>
    <w:p>
      <w:pPr>
        <w:spacing w:before="80" w:after="0"/>
      </w:pPr>
    </w:p>
    <w:p>
      <w:pPr>
        <w:spacing w:before="80" w:after="40"/>
        <w:jc w:val="center"/>
      </w:pPr>
      <w:r>
        <w:rPr>
          <w:rFonts w:ascii="Arial" w:cs="Arial" w:eastAsia="Arial" w:hAnsi="Arial"/>
          <w:b/>
          <w:bCs/>
          <w:color w:val="1A1A2E"/>
          <w:sz w:val="28"/>
          <w:szCs w:val="28"/>
        </w:rPr>
        <w:t xml:space="preserve">Whitepaper v2.0</w:t>
      </w:r>
    </w:p>
    <w:p>
      <w:pPr>
        <w:spacing w:before="0" w:after="80"/>
        <w:jc w:val="center"/>
      </w:pPr>
      <w:r>
        <w:rPr>
          <w:rFonts w:ascii="Arial" w:cs="Arial" w:eastAsia="Arial" w:hAnsi="Arial"/>
          <w:color w:val="666666"/>
          <w:sz w:val="22"/>
          <w:szCs w:val="22"/>
        </w:rPr>
        <w:t xml:space="preserve">Todd Koletsky  |  HT1 (SW), USN (Ret.)  |  Systems Architect</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80"/>
      </w:tblGrid>
      <w:tr>
        <w:tc>
          <w:tcPr>
            <w:tcW w:type="dxa" w:w="1870"/>
            <w:tcBorders>
              <w:top w:val="single" w:color="CCCCCC" w:sz="1"/>
              <w:left w:val="single" w:color="CCCCCC" w:sz="1"/>
              <w:bottom w:val="single" w:color="CCCCCC" w:sz="1"/>
              <w:right w:val="single" w:color="CCCCCC" w:sz="1"/>
            </w:tcBorders>
            <w:shd w:fill="1A3A5C"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BSC Hub</w:t>
            </w:r>
          </w:p>
        </w:tc>
        <w:tc>
          <w:tcPr>
            <w:tcW w:type="dxa" w:w="1870"/>
            <w:tcBorders>
              <w:top w:val="single" w:color="CCCCCC" w:sz="1"/>
              <w:left w:val="single" w:color="CCCCCC" w:sz="1"/>
              <w:bottom w:val="single" w:color="CCCCCC" w:sz="1"/>
              <w:right w:val="single" w:color="CCCCCC" w:sz="1"/>
            </w:tcBorders>
            <w:shd w:fill="2E7D9F"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Base</w:t>
            </w:r>
          </w:p>
        </w:tc>
        <w:tc>
          <w:tcPr>
            <w:tcW w:type="dxa" w:w="1870"/>
            <w:tcBorders>
              <w:top w:val="single" w:color="CCCCCC" w:sz="1"/>
              <w:left w:val="single" w:color="CCCCCC" w:sz="1"/>
              <w:bottom w:val="single" w:color="CCCCCC" w:sz="1"/>
              <w:right w:val="single" w:color="CCCCCC" w:sz="1"/>
            </w:tcBorders>
            <w:shd w:fill="1A3A5C"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Arbitrum</w:t>
            </w:r>
          </w:p>
        </w:tc>
        <w:tc>
          <w:tcPr>
            <w:tcW w:type="dxa" w:w="1870"/>
            <w:tcBorders>
              <w:top w:val="single" w:color="CCCCCC" w:sz="1"/>
              <w:left w:val="single" w:color="CCCCCC" w:sz="1"/>
              <w:bottom w:val="single" w:color="CCCCCC" w:sz="1"/>
              <w:right w:val="single" w:color="CCCCCC" w:sz="1"/>
            </w:tcBorders>
            <w:shd w:fill="2E7D9F"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Polygon</w:t>
            </w:r>
          </w:p>
        </w:tc>
        <w:tc>
          <w:tcPr>
            <w:tcW w:type="dxa" w:w="1880"/>
            <w:tcBorders>
              <w:top w:val="single" w:color="CCCCCC" w:sz="1"/>
              <w:left w:val="single" w:color="CCCCCC" w:sz="1"/>
              <w:bottom w:val="single" w:color="CCCCCC" w:sz="1"/>
              <w:right w:val="single" w:color="CCCCCC" w:sz="1"/>
            </w:tcBorders>
            <w:shd w:fill="1A3A5C"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Ethereum</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4FA" w:val="clear"/>
            <w:tcMar>
              <w:top w:type="dxa" w:w="120"/>
              <w:left w:type="dxa" w:w="120"/>
              <w:bottom w:type="dxa" w:w="120"/>
              <w:right w:type="dxa" w:w="120"/>
            </w:tcMar>
          </w:tcPr>
          <w:p>
            <w:pPr>
              <w:jc w:val="center"/>
            </w:pPr>
            <w:r>
              <w:rPr>
                <w:rFonts w:ascii="Arial" w:cs="Arial" w:eastAsia="Arial" w:hAnsi="Arial"/>
                <w:b/>
                <w:bCs/>
                <w:color w:val="1A3A5C"/>
                <w:sz w:val="20"/>
                <w:szCs w:val="20"/>
              </w:rPr>
              <w:t xml:space="preserve">LOOP Token</w:t>
            </w:r>
          </w:p>
          <w:p>
            <w:pPr>
              <w:jc w:val="center"/>
            </w:pPr>
            <w:r>
              <w:rPr>
                <w:rFonts w:ascii="Arial" w:cs="Arial" w:eastAsia="Arial" w:hAnsi="Arial"/>
                <w:color w:val="666666"/>
                <w:sz w:val="18"/>
                <w:szCs w:val="18"/>
              </w:rPr>
              <w:t xml:space="preserve">Canonical on BSC</w:t>
            </w:r>
          </w:p>
        </w:tc>
        <w:tc>
          <w:tcPr>
            <w:tcW w:type="dxa" w:w="2340"/>
            <w:tcBorders>
              <w:top w:val="single" w:color="CCCCCC" w:sz="1"/>
              <w:left w:val="single" w:color="CCCCCC" w:sz="1"/>
              <w:bottom w:val="single" w:color="CCCCCC" w:sz="1"/>
              <w:right w:val="single" w:color="CCCCCC" w:sz="1"/>
            </w:tcBorders>
            <w:shd w:fill="EBF4FA" w:val="clear"/>
            <w:tcMar>
              <w:top w:type="dxa" w:w="120"/>
              <w:left w:type="dxa" w:w="120"/>
              <w:bottom w:type="dxa" w:w="120"/>
              <w:right w:type="dxa" w:w="120"/>
            </w:tcMar>
          </w:tcPr>
          <w:p>
            <w:pPr>
              <w:jc w:val="center"/>
            </w:pPr>
            <w:r>
              <w:rPr>
                <w:rFonts w:ascii="Arial" w:cs="Arial" w:eastAsia="Arial" w:hAnsi="Arial"/>
                <w:b/>
                <w:bCs/>
                <w:color w:val="1A3A5C"/>
                <w:sz w:val="20"/>
                <w:szCs w:val="20"/>
              </w:rPr>
              <w:t xml:space="preserve">4 Income Streams</w:t>
            </w:r>
          </w:p>
          <w:p>
            <w:pPr>
              <w:jc w:val="center"/>
            </w:pPr>
            <w:r>
              <w:rPr>
                <w:rFonts w:ascii="Arial" w:cs="Arial" w:eastAsia="Arial" w:hAnsi="Arial"/>
                <w:color w:val="666666"/>
                <w:sz w:val="18"/>
                <w:szCs w:val="18"/>
              </w:rPr>
              <w:t xml:space="preserve">Real yield only</w:t>
            </w:r>
          </w:p>
        </w:tc>
        <w:tc>
          <w:tcPr>
            <w:tcW w:type="dxa" w:w="2340"/>
            <w:tcBorders>
              <w:top w:val="single" w:color="CCCCCC" w:sz="1"/>
              <w:left w:val="single" w:color="CCCCCC" w:sz="1"/>
              <w:bottom w:val="single" w:color="CCCCCC" w:sz="1"/>
              <w:right w:val="single" w:color="CCCCCC" w:sz="1"/>
            </w:tcBorders>
            <w:shd w:fill="EBF4FA" w:val="clear"/>
            <w:tcMar>
              <w:top w:type="dxa" w:w="120"/>
              <w:left w:type="dxa" w:w="120"/>
              <w:bottom w:type="dxa" w:w="120"/>
              <w:right w:type="dxa" w:w="120"/>
            </w:tcMar>
          </w:tcPr>
          <w:p>
            <w:pPr>
              <w:jc w:val="center"/>
            </w:pPr>
            <w:r>
              <w:rPr>
                <w:rFonts w:ascii="Arial" w:cs="Arial" w:eastAsia="Arial" w:hAnsi="Arial"/>
                <w:b/>
                <w:bCs/>
                <w:color w:val="1A3A5C"/>
                <w:sz w:val="20"/>
                <w:szCs w:val="20"/>
              </w:rPr>
              <w:t xml:space="preserve">Self-Healing Ops</w:t>
            </w:r>
          </w:p>
          <w:p>
            <w:pPr>
              <w:jc w:val="center"/>
            </w:pPr>
            <w:r>
              <w:rPr>
                <w:rFonts w:ascii="Arial" w:cs="Arial" w:eastAsia="Arial" w:hAnsi="Arial"/>
                <w:color w:val="666666"/>
                <w:sz w:val="18"/>
                <w:szCs w:val="18"/>
              </w:rPr>
              <w:t xml:space="preserve">Friction Pool</w:t>
            </w:r>
          </w:p>
        </w:tc>
        <w:tc>
          <w:tcPr>
            <w:tcW w:type="dxa" w:w="2340"/>
            <w:tcBorders>
              <w:top w:val="single" w:color="CCCCCC" w:sz="1"/>
              <w:left w:val="single" w:color="CCCCCC" w:sz="1"/>
              <w:bottom w:val="single" w:color="CCCCCC" w:sz="1"/>
              <w:right w:val="single" w:color="CCCCCC" w:sz="1"/>
            </w:tcBorders>
            <w:shd w:fill="EBF4FA" w:val="clear"/>
            <w:tcMar>
              <w:top w:type="dxa" w:w="120"/>
              <w:left w:type="dxa" w:w="120"/>
              <w:bottom w:type="dxa" w:w="120"/>
              <w:right w:type="dxa" w:w="120"/>
            </w:tcMar>
          </w:tcPr>
          <w:p>
            <w:pPr>
              <w:jc w:val="center"/>
            </w:pPr>
            <w:r>
              <w:rPr>
                <w:rFonts w:ascii="Arial" w:cs="Arial" w:eastAsia="Arial" w:hAnsi="Arial"/>
                <w:b/>
                <w:bCs/>
                <w:color w:val="1A3A5C"/>
                <w:sz w:val="20"/>
                <w:szCs w:val="20"/>
              </w:rPr>
              <w:t xml:space="preserve">Fail-Closed Safety</w:t>
            </w:r>
          </w:p>
          <w:p>
            <w:pPr>
              <w:jc w:val="center"/>
            </w:pPr>
            <w:r>
              <w:rPr>
                <w:rFonts w:ascii="Arial" w:cs="Arial" w:eastAsia="Arial" w:hAnsi="Arial"/>
                <w:color w:val="666666"/>
                <w:sz w:val="18"/>
                <w:szCs w:val="18"/>
              </w:rPr>
              <w:t xml:space="preserve">Invariant-enforced</w:t>
            </w:r>
          </w:p>
        </w:tc>
      </w:tr>
    </w:tbl>
    <w:p>
      <w:pPr>
        <w:spacing w:before="160" w:after="0"/>
      </w:pPr>
    </w:p>
    <w:p>
      <w:pPr>
        <w:spacing w:before="80" w:after="80"/>
        <w:jc w:val="center"/>
      </w:pPr>
      <w:r>
        <w:rPr>
          <w:rFonts w:ascii="Arial" w:cs="Arial" w:eastAsia="Arial" w:hAnsi="Arial"/>
          <w:i/>
          <w:iCs/>
          <w:color w:val="666666"/>
          <w:sz w:val="20"/>
          <w:szCs w:val="20"/>
        </w:rPr>
        <w:t xml:space="preserve">YieldLoop does not promise yield. It enforces surplus-backed growth under strict liability isolation,</w:t>
      </w:r>
    </w:p>
    <w:p>
      <w:pPr>
        <w:spacing w:before="0" w:after="80"/>
        <w:jc w:val="center"/>
      </w:pPr>
      <w:r>
        <w:rPr>
          <w:rFonts w:ascii="Arial" w:cs="Arial" w:eastAsia="Arial" w:hAnsi="Arial"/>
          <w:i/>
          <w:iCs/>
          <w:color w:val="666666"/>
          <w:sz w:val="20"/>
          <w:szCs w:val="20"/>
        </w:rPr>
        <w:t xml:space="preserve">disciplined four-source passive income, and a self-healing friction pool that ensures uninterrupted vault operation.</w:t>
      </w:r>
    </w:p>
    <w:p>
      <w:r>
        <w:br w:type="page"/>
      </w:r>
    </w:p>
    <w:p>
      <w:pPr>
        <w:pStyle w:val="Heading1"/>
        <w:spacing w:before="400" w:after="160"/>
      </w:pPr>
      <w:r>
        <w:rPr>
          <w:rFonts w:ascii="Arial" w:cs="Arial" w:eastAsia="Arial" w:hAnsi="Arial"/>
          <w:b/>
          <w:bCs/>
          <w:color w:val="1A3A5C"/>
          <w:sz w:val="36"/>
          <w:szCs w:val="36"/>
        </w:rPr>
        <w:t xml:space="preserve">0  Executive Summary</w:t>
      </w:r>
    </w:p>
    <w:p>
      <w:pPr>
        <w:pBdr>
          <w:bottom w:val="single" w:color="2E7D9F" w:sz="4" w:space="1"/>
        </w:pBdr>
        <w:spacing w:before="160" w:after="160"/>
      </w:pPr>
    </w:p>
    <w:p>
      <w:pPr>
        <w:spacing w:before="80" w:after="80"/>
      </w:pPr>
      <w:r>
        <w:rPr>
          <w:rFonts w:ascii="Arial" w:cs="Arial" w:eastAsia="Arial" w:hAnsi="Arial"/>
          <w:b w:val="false"/>
          <w:bCs w:val="false"/>
          <w:i w:val="false"/>
          <w:iCs w:val="false"/>
          <w:color w:val="1A1A2E"/>
          <w:sz w:val="22"/>
          <w:szCs w:val="22"/>
        </w:rPr>
        <w:t xml:space="preserve">YieldLoop is a multi-chain, epoch-based profit engine that converts realized DeFi income into a non-transferable redemption certificate (LOOP), backed 1:1 by closed profit and strengthened through a tiered deterministic ratchet mechanism. Users deposit on any supported chain — BNB Chain, Base, Arbitrum, Polygon, or Ethereum — through a hub-and-spoke architecture that routes all capital to BSC for unified strategy execution, then returns rewards to the user's chain of choice.</w:t>
      </w:r>
    </w:p>
    <w:p>
      <w:pPr>
        <w:spacing w:before="80" w:after="0"/>
      </w:pPr>
    </w:p>
    <w:p>
      <w:pPr>
        <w:pStyle w:val="Heading2"/>
        <w:spacing w:before="280" w:after="120"/>
      </w:pPr>
      <w:r>
        <w:rPr>
          <w:rFonts w:ascii="Arial" w:cs="Arial" w:eastAsia="Arial" w:hAnsi="Arial"/>
          <w:b/>
          <w:bCs/>
          <w:color w:val="2E7D9F"/>
          <w:sz w:val="28"/>
          <w:szCs w:val="28"/>
        </w:rPr>
        <w:t xml:space="preserve">0.1  What's New in v2.0</w:t>
      </w:r>
    </w:p>
    <w:p>
      <w:pPr>
        <w:pStyle w:val="ListParagraph"/>
        <w:numPr>
          <w:ilvl w:val="0"/>
          <w:numId w:val="2"/>
        </w:numPr>
        <w:spacing w:before="60" w:after="60"/>
      </w:pPr>
      <w:r>
        <w:rPr>
          <w:rFonts w:ascii="Arial" w:cs="Arial" w:eastAsia="Arial" w:hAnsi="Arial"/>
          <w:color w:val="1A1A2E"/>
          <w:sz w:val="22"/>
          <w:szCs w:val="22"/>
        </w:rPr>
        <w:t xml:space="preserve">Multi-chain deposit and withdrawal support: BSC, Base, Arbitrum, Polygon, Ethereum</w:t>
      </w:r>
    </w:p>
    <w:p>
      <w:pPr>
        <w:pStyle w:val="ListParagraph"/>
        <w:numPr>
          <w:ilvl w:val="0"/>
          <w:numId w:val="2"/>
        </w:numPr>
        <w:spacing w:before="60" w:after="60"/>
      </w:pPr>
      <w:r>
        <w:rPr>
          <w:rFonts w:ascii="Arial" w:cs="Arial" w:eastAsia="Arial" w:hAnsi="Arial"/>
          <w:color w:val="1A1A2E"/>
          <w:sz w:val="22"/>
          <w:szCs w:val="22"/>
        </w:rPr>
        <w:t xml:space="preserve">Cross-chain bridge layer via Stargate (LayerZero) for native USDT transfers</w:t>
      </w:r>
    </w:p>
    <w:p>
      <w:pPr>
        <w:pStyle w:val="ListParagraph"/>
        <w:numPr>
          <w:ilvl w:val="0"/>
          <w:numId w:val="2"/>
        </w:numPr>
        <w:spacing w:before="60" w:after="60"/>
      </w:pPr>
      <w:r>
        <w:rPr>
          <w:rFonts w:ascii="Arial" w:cs="Arial" w:eastAsia="Arial" w:hAnsi="Arial"/>
          <w:color w:val="1A1A2E"/>
          <w:sz w:val="22"/>
          <w:szCs w:val="22"/>
        </w:rPr>
        <w:t xml:space="preserve">LOOP remains canonical on BSC with wLOOP bridge wrappers for other chains</w:t>
      </w:r>
    </w:p>
    <w:p>
      <w:pPr>
        <w:pStyle w:val="ListParagraph"/>
        <w:numPr>
          <w:ilvl w:val="0"/>
          <w:numId w:val="2"/>
        </w:numPr>
        <w:spacing w:before="60" w:after="60"/>
      </w:pPr>
      <w:r>
        <w:rPr>
          <w:rFonts w:ascii="Arial" w:cs="Arial" w:eastAsia="Arial" w:hAnsi="Arial"/>
          <w:color w:val="1A1A2E"/>
          <w:sz w:val="22"/>
          <w:szCs w:val="22"/>
        </w:rPr>
        <w:t xml:space="preserve">Spoke Gateway contracts on each chain for trustless deposit routing</w:t>
      </w:r>
    </w:p>
    <w:p>
      <w:pPr>
        <w:pStyle w:val="ListParagraph"/>
        <w:numPr>
          <w:ilvl w:val="0"/>
          <w:numId w:val="2"/>
        </w:numPr>
        <w:spacing w:before="60" w:after="60"/>
      </w:pPr>
      <w:r>
        <w:rPr>
          <w:rFonts w:ascii="Arial" w:cs="Arial" w:eastAsia="Arial" w:hAnsi="Arial"/>
          <w:color w:val="1A1A2E"/>
          <w:sz w:val="22"/>
          <w:szCs w:val="22"/>
        </w:rPr>
        <w:t xml:space="preserve">Bridge fees classified as operational costs, funded by Friction Pool</w:t>
      </w:r>
    </w:p>
    <w:p>
      <w:pPr>
        <w:pStyle w:val="ListParagraph"/>
        <w:numPr>
          <w:ilvl w:val="0"/>
          <w:numId w:val="2"/>
        </w:numPr>
        <w:spacing w:before="60" w:after="60"/>
      </w:pPr>
      <w:r>
        <w:rPr>
          <w:rFonts w:ascii="Arial" w:cs="Arial" w:eastAsia="Arial" w:hAnsi="Arial"/>
          <w:color w:val="1A1A2E"/>
          <w:sz w:val="22"/>
          <w:szCs w:val="22"/>
        </w:rPr>
        <w:t xml:space="preserve">Cross-chain risk disclosures added to Legal &amp; Governance framework</w:t>
      </w:r>
    </w:p>
    <w:p>
      <w:pPr>
        <w:spacing w:before="80" w:after="0"/>
      </w:pPr>
    </w:p>
    <w:p>
      <w:pPr>
        <w:pStyle w:val="Heading2"/>
        <w:spacing w:before="280" w:after="120"/>
      </w:pPr>
      <w:r>
        <w:rPr>
          <w:rFonts w:ascii="Arial" w:cs="Arial" w:eastAsia="Arial" w:hAnsi="Arial"/>
          <w:b/>
          <w:bCs/>
          <w:color w:val="2E7D9F"/>
          <w:sz w:val="28"/>
          <w:szCs w:val="28"/>
        </w:rPr>
        <w:t xml:space="preserve">0.2  Four Income Streams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Income Stream</w:t>
            </w:r>
          </w:p>
        </w:tc>
        <w:tc>
          <w:tcPr>
            <w:tcW w:type="dxa" w:w="3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Platforms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 Active Trading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Cross-DEX arbitrage and spot profit execution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PancakeSwap ↔ BiSwap (BSC)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 Liquidity Provision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DEX LP fees from concentrated liquidity positions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PancakeSwap v3, Thena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3. Stablecoin Yield Vaults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Auto-compounding stable strategies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Beefy Finance, Alpaca Finance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4. BNB Liquid Staking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Staking rewards — liquid, no lockup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Ankr aBNBc, pStake stkBNB</w:t>
            </w:r>
          </w:p>
        </w:tc>
      </w:tr>
    </w:tbl>
    <w:p>
      <w:pPr>
        <w:spacing w:before="80" w:after="0"/>
      </w:pPr>
    </w:p>
    <w:p>
      <w:pPr>
        <w:pStyle w:val="Heading2"/>
        <w:spacing w:before="280" w:after="120"/>
      </w:pPr>
      <w:r>
        <w:rPr>
          <w:rFonts w:ascii="Arial" w:cs="Arial" w:eastAsia="Arial" w:hAnsi="Arial"/>
          <w:b/>
          <w:bCs/>
          <w:color w:val="2E7D9F"/>
          <w:sz w:val="28"/>
          <w:szCs w:val="28"/>
        </w:rPr>
        <w:t xml:space="preserve">0.3  Core Invariants</w:t>
      </w:r>
    </w:p>
    <w:p>
      <w:pPr>
        <w:pStyle w:val="ListParagraph"/>
        <w:numPr>
          <w:ilvl w:val="0"/>
          <w:numId w:val="2"/>
        </w:numPr>
        <w:spacing w:before="60" w:after="60"/>
      </w:pPr>
      <w:r>
        <w:rPr>
          <w:rFonts w:ascii="Arial" w:cs="Arial" w:eastAsia="Arial" w:hAnsi="Arial"/>
          <w:color w:val="1A1A2E"/>
          <w:sz w:val="22"/>
          <w:szCs w:val="22"/>
        </w:rPr>
        <w:t xml:space="preserve">LOOP mints only from realized investment profit — never from friction pool yield</w:t>
      </w:r>
    </w:p>
    <w:p>
      <w:pPr>
        <w:pStyle w:val="ListParagraph"/>
        <w:numPr>
          <w:ilvl w:val="0"/>
          <w:numId w:val="2"/>
        </w:numPr>
        <w:spacing w:before="60" w:after="60"/>
      </w:pPr>
      <w:r>
        <w:rPr>
          <w:rFonts w:ascii="Arial" w:cs="Arial" w:eastAsia="Arial" w:hAnsi="Arial"/>
          <w:color w:val="1A1A2E"/>
          <w:sz w:val="22"/>
          <w:szCs w:val="22"/>
        </w:rPr>
        <w:t xml:space="preserve">Coverage_ratio_E ≥ 1.0 at all times — system fails closed before coverage breaks</w:t>
      </w:r>
    </w:p>
    <w:p>
      <w:pPr>
        <w:pStyle w:val="ListParagraph"/>
        <w:numPr>
          <w:ilvl w:val="0"/>
          <w:numId w:val="2"/>
        </w:numPr>
        <w:spacing w:before="60" w:after="60"/>
      </w:pPr>
      <w:r>
        <w:rPr>
          <w:rFonts w:ascii="Arial" w:cs="Arial" w:eastAsia="Arial" w:hAnsi="Arial"/>
          <w:color w:val="1A1A2E"/>
          <w:sz w:val="22"/>
          <w:szCs w:val="22"/>
        </w:rPr>
        <w:t xml:space="preserve">Redemption price is permanently non-decreasing</w:t>
      </w:r>
    </w:p>
    <w:p>
      <w:pPr>
        <w:pStyle w:val="ListParagraph"/>
        <w:numPr>
          <w:ilvl w:val="0"/>
          <w:numId w:val="2"/>
        </w:numPr>
        <w:spacing w:before="60" w:after="60"/>
      </w:pPr>
      <w:r>
        <w:rPr>
          <w:rFonts w:ascii="Arial" w:cs="Arial" w:eastAsia="Arial" w:hAnsi="Arial"/>
          <w:color w:val="1A1A2E"/>
          <w:sz w:val="22"/>
          <w:szCs w:val="22"/>
        </w:rPr>
        <w:t xml:space="preserve">Epochs fully isolated — no cross-epoch subsidy ever</w:t>
      </w:r>
    </w:p>
    <w:p>
      <w:pPr>
        <w:pStyle w:val="ListParagraph"/>
        <w:numPr>
          <w:ilvl w:val="0"/>
          <w:numId w:val="2"/>
        </w:numPr>
        <w:spacing w:before="60" w:after="60"/>
      </w:pPr>
      <w:r>
        <w:rPr>
          <w:rFonts w:ascii="Arial" w:cs="Arial" w:eastAsia="Arial" w:hAnsi="Arial"/>
          <w:color w:val="1A1A2E"/>
          <w:sz w:val="22"/>
          <w:szCs w:val="22"/>
        </w:rPr>
        <w:t xml:space="preserve">Friction pool capital segregated from AUM at all times</w:t>
      </w:r>
    </w:p>
    <w:p>
      <w:pPr>
        <w:pStyle w:val="ListParagraph"/>
        <w:numPr>
          <w:ilvl w:val="0"/>
          <w:numId w:val="2"/>
        </w:numPr>
        <w:spacing w:before="60" w:after="60"/>
      </w:pPr>
      <w:r>
        <w:rPr>
          <w:rFonts w:ascii="Arial" w:cs="Arial" w:eastAsia="Arial" w:hAnsi="Arial"/>
          <w:color w:val="1A1A2E"/>
          <w:sz w:val="22"/>
          <w:szCs w:val="22"/>
        </w:rPr>
        <w:t xml:space="preserve">Friction debt is non-waivable and fully visible</w:t>
      </w:r>
    </w:p>
    <w:p>
      <w:pPr>
        <w:pStyle w:val="ListParagraph"/>
        <w:numPr>
          <w:ilvl w:val="0"/>
          <w:numId w:val="2"/>
        </w:numPr>
        <w:spacing w:before="60" w:after="60"/>
      </w:pPr>
      <w:r>
        <w:rPr>
          <w:rFonts w:ascii="Arial" w:cs="Arial" w:eastAsia="Arial" w:hAnsi="Arial"/>
          <w:color w:val="1A1A2E"/>
          <w:sz w:val="22"/>
          <w:szCs w:val="22"/>
        </w:rPr>
        <w:t xml:space="preserve">No leverage — never borrows against deposited assets</w:t>
      </w:r>
    </w:p>
    <w:p>
      <w:r>
        <w:br w:type="page"/>
      </w:r>
    </w:p>
    <w:p>
      <w:pPr>
        <w:pStyle w:val="Heading1"/>
        <w:spacing w:before="400" w:after="160"/>
      </w:pPr>
      <w:r>
        <w:rPr>
          <w:rFonts w:ascii="Arial" w:cs="Arial" w:eastAsia="Arial" w:hAnsi="Arial"/>
          <w:b/>
          <w:bCs/>
          <w:color w:val="1A3A5C"/>
          <w:sz w:val="36"/>
          <w:szCs w:val="36"/>
        </w:rPr>
        <w:t xml:space="preserve">1  Vision &amp; Design Philosophy</w:t>
      </w:r>
    </w:p>
    <w:p>
      <w:pPr>
        <w:pBdr>
          <w:bottom w:val="single" w:color="2E7D9F" w:sz="4" w:space="1"/>
        </w:pBdr>
        <w:spacing w:before="160" w:after="160"/>
      </w:pPr>
    </w:p>
    <w:p>
      <w:pPr>
        <w:pStyle w:val="Heading2"/>
        <w:spacing w:before="280" w:after="120"/>
      </w:pPr>
      <w:r>
        <w:rPr>
          <w:rFonts w:ascii="Arial" w:cs="Arial" w:eastAsia="Arial" w:hAnsi="Arial"/>
          <w:b/>
          <w:bCs/>
          <w:color w:val="2E7D9F"/>
          <w:sz w:val="28"/>
          <w:szCs w:val="28"/>
        </w:rPr>
        <w:t xml:space="preserve">1.1  Problem Statement</w:t>
      </w:r>
    </w:p>
    <w:p>
      <w:pPr>
        <w:spacing w:before="80" w:after="80"/>
      </w:pPr>
      <w:r>
        <w:rPr>
          <w:rFonts w:ascii="Arial" w:cs="Arial" w:eastAsia="Arial" w:hAnsi="Arial"/>
          <w:b w:val="false"/>
          <w:bCs w:val="false"/>
          <w:i w:val="false"/>
          <w:iCs w:val="false"/>
          <w:color w:val="1A1A2E"/>
          <w:sz w:val="22"/>
          <w:szCs w:val="22"/>
        </w:rPr>
        <w:t xml:space="preserve">DeFi has repeatedly failed users through inflationary models, blended liabilities, opaque treasuries, and unsustainable yield. A second failure class — operational fragility — is less discussed but just as damaging: systems that work mathematically but break practically because users run out of gas, miss redemption windows, or have passive income claims fail silently. YieldLoop solves both classes of failure.</w:t>
      </w:r>
    </w:p>
    <w:p>
      <w:pPr>
        <w:spacing w:before="80" w:after="80"/>
      </w:pPr>
      <w:r>
        <w:rPr>
          <w:rFonts w:ascii="Arial" w:cs="Arial" w:eastAsia="Arial" w:hAnsi="Arial"/>
          <w:b w:val="false"/>
          <w:bCs w:val="false"/>
          <w:i w:val="false"/>
          <w:iCs w:val="false"/>
          <w:color w:val="1A1A2E"/>
          <w:sz w:val="22"/>
          <w:szCs w:val="22"/>
        </w:rPr>
        <w:t xml:space="preserve">A third problem is accessibility. The most disciplined DeFi protocols have historically been single-chain, requiring users to bridge manually, manage gas on unfamiliar chains, and reconcile cross-chain accounting themselves. YieldLoop v2.0 eliminates this barrier by handling all cross-chain complexity at the protocol layer.</w:t>
      </w:r>
    </w:p>
    <w:p>
      <w:pPr>
        <w:spacing w:before="80" w:after="0"/>
      </w:pPr>
    </w:p>
    <w:p>
      <w:pPr>
        <w:pStyle w:val="Heading2"/>
        <w:spacing w:before="280" w:after="120"/>
      </w:pPr>
      <w:r>
        <w:rPr>
          <w:rFonts w:ascii="Arial" w:cs="Arial" w:eastAsia="Arial" w:hAnsi="Arial"/>
          <w:b/>
          <w:bCs/>
          <w:color w:val="2E7D9F"/>
          <w:sz w:val="28"/>
          <w:szCs w:val="28"/>
        </w:rPr>
        <w:t xml:space="preserve">1.2  Core Vision</w:t>
      </w:r>
    </w:p>
    <w:p>
      <w:pPr>
        <w:spacing w:before="80" w:after="80"/>
      </w:pPr>
      <w:r>
        <w:rPr>
          <w:rFonts w:ascii="Arial" w:cs="Arial" w:eastAsia="Arial" w:hAnsi="Arial"/>
          <w:b w:val="false"/>
          <w:bCs w:val="false"/>
          <w:i w:val="false"/>
          <w:iCs w:val="false"/>
          <w:color w:val="1A1A2E"/>
          <w:sz w:val="22"/>
          <w:szCs w:val="22"/>
        </w:rPr>
        <w:t xml:space="preserve">YieldLoop is a structured, epoch-based profit engine accessible from any major EVM chain. It generates income through four disciplined sources, mints LOOP only from realized profit, isolates liabilities by calendar epoch, uses a tiered micro-tick ratchet, enforces tiered holding with structured early exit, and maintains a self-healing friction pool that keeps vaults running without user intervention.</w:t>
      </w:r>
    </w:p>
    <w:p>
      <w:pPr>
        <w:spacing w:before="80" w:after="0"/>
      </w:pPr>
    </w:p>
    <w:p>
      <w:pPr>
        <w:pStyle w:val="Heading2"/>
        <w:spacing w:before="280" w:after="120"/>
      </w:pPr>
      <w:r>
        <w:rPr>
          <w:rFonts w:ascii="Arial" w:cs="Arial" w:eastAsia="Arial" w:hAnsi="Arial"/>
          <w:b/>
          <w:bCs/>
          <w:color w:val="2E7D9F"/>
          <w:sz w:val="28"/>
          <w:szCs w:val="28"/>
        </w:rPr>
        <w:t xml:space="preserve">1.3  Foundational Principles</w:t>
      </w:r>
    </w:p>
    <w:p>
      <w:pPr>
        <w:pStyle w:val="Heading3"/>
        <w:spacing w:before="200" w:after="100"/>
      </w:pPr>
      <w:r>
        <w:rPr>
          <w:rFonts w:ascii="Arial" w:cs="Arial" w:eastAsia="Arial" w:hAnsi="Arial"/>
          <w:b/>
          <w:bCs/>
          <w:color w:val="1A1A2E"/>
          <w:sz w:val="24"/>
          <w:szCs w:val="24"/>
        </w:rPr>
        <w:t xml:space="preserve">1. Deterministic Accounting</w:t>
      </w:r>
    </w:p>
    <w:p>
      <w:pPr>
        <w:spacing w:before="80" w:after="80"/>
      </w:pPr>
      <w:r>
        <w:rPr>
          <w:rFonts w:ascii="Arial" w:cs="Arial" w:eastAsia="Arial" w:hAnsi="Arial"/>
          <w:b w:val="false"/>
          <w:bCs w:val="false"/>
          <w:i w:val="false"/>
          <w:iCs w:val="false"/>
          <w:color w:val="1A1A2E"/>
          <w:sz w:val="22"/>
          <w:szCs w:val="22"/>
        </w:rPr>
        <w:t xml:space="preserve">All LOOP minted represents closed, realized, on-chain income. No forward yield. No emissions. No speculative inflation.</w:t>
      </w:r>
    </w:p>
    <w:p>
      <w:pPr>
        <w:pStyle w:val="Heading3"/>
        <w:spacing w:before="200" w:after="100"/>
      </w:pPr>
      <w:r>
        <w:rPr>
          <w:rFonts w:ascii="Arial" w:cs="Arial" w:eastAsia="Arial" w:hAnsi="Arial"/>
          <w:b/>
          <w:bCs/>
          <w:color w:val="1A1A2E"/>
          <w:sz w:val="24"/>
          <w:szCs w:val="24"/>
        </w:rPr>
        <w:t xml:space="preserve">2. Epoch Isolation</w:t>
      </w:r>
    </w:p>
    <w:p>
      <w:pPr>
        <w:spacing w:before="80" w:after="80"/>
      </w:pPr>
      <w:r>
        <w:rPr>
          <w:rFonts w:ascii="Arial" w:cs="Arial" w:eastAsia="Arial" w:hAnsi="Arial"/>
          <w:b w:val="false"/>
          <w:bCs w:val="false"/>
          <w:i w:val="false"/>
          <w:iCs w:val="false"/>
          <w:color w:val="1A1A2E"/>
          <w:sz w:val="22"/>
          <w:szCs w:val="22"/>
        </w:rPr>
        <w:t xml:space="preserve">Each month is a separate liability bucket. No cross-subsidization. No blending. Each epoch stands on its own math.</w:t>
      </w:r>
    </w:p>
    <w:p>
      <w:pPr>
        <w:pStyle w:val="Heading3"/>
        <w:spacing w:before="200" w:after="100"/>
      </w:pPr>
      <w:r>
        <w:rPr>
          <w:rFonts w:ascii="Arial" w:cs="Arial" w:eastAsia="Arial" w:hAnsi="Arial"/>
          <w:b/>
          <w:bCs/>
          <w:color w:val="1A1A2E"/>
          <w:sz w:val="24"/>
          <w:szCs w:val="24"/>
        </w:rPr>
        <w:t xml:space="preserve">3. Coverage Before Growth</w:t>
      </w:r>
    </w:p>
    <w:p>
      <w:pPr>
        <w:spacing w:before="80" w:after="80"/>
      </w:pPr>
      <w:r>
        <w:rPr>
          <w:rFonts w:ascii="Arial" w:cs="Arial" w:eastAsia="Arial" w:hAnsi="Arial"/>
          <w:b w:val="false"/>
          <w:bCs w:val="false"/>
          <w:i w:val="false"/>
          <w:iCs w:val="false"/>
          <w:color w:val="1A1A2E"/>
          <w:sz w:val="22"/>
          <w:szCs w:val="22"/>
        </w:rPr>
        <w:t xml:space="preserve">Redemption coverage must always be maintained. Ratchet tiers activate only when surplus supports them.</w:t>
      </w:r>
    </w:p>
    <w:p>
      <w:pPr>
        <w:pStyle w:val="Heading3"/>
        <w:spacing w:before="200" w:after="100"/>
      </w:pPr>
      <w:r>
        <w:rPr>
          <w:rFonts w:ascii="Arial" w:cs="Arial" w:eastAsia="Arial" w:hAnsi="Arial"/>
          <w:b/>
          <w:bCs/>
          <w:color w:val="1A1A2E"/>
          <w:sz w:val="24"/>
          <w:szCs w:val="24"/>
        </w:rPr>
        <w:t xml:space="preserve">4. Four-Source Income Discipline</w:t>
      </w:r>
    </w:p>
    <w:p>
      <w:pPr>
        <w:spacing w:before="80" w:after="80"/>
      </w:pPr>
      <w:r>
        <w:rPr>
          <w:rFonts w:ascii="Arial" w:cs="Arial" w:eastAsia="Arial" w:hAnsi="Arial"/>
          <w:b w:val="false"/>
          <w:bCs w:val="false"/>
          <w:i w:val="false"/>
          <w:iCs w:val="false"/>
          <w:color w:val="1A1A2E"/>
          <w:sz w:val="22"/>
          <w:szCs w:val="22"/>
        </w:rPr>
        <w:t xml:space="preserve">All four income sources governed by the same conservative rules. No leverage. No unaudited platforms. No speculative positions.</w:t>
      </w:r>
    </w:p>
    <w:p>
      <w:pPr>
        <w:pStyle w:val="Heading3"/>
        <w:spacing w:before="200" w:after="100"/>
      </w:pPr>
      <w:r>
        <w:rPr>
          <w:rFonts w:ascii="Arial" w:cs="Arial" w:eastAsia="Arial" w:hAnsi="Arial"/>
          <w:b/>
          <w:bCs/>
          <w:color w:val="1A1A2E"/>
          <w:sz w:val="24"/>
          <w:szCs w:val="24"/>
        </w:rPr>
        <w:t xml:space="preserve">5. Operational Self-Sufficiency</w:t>
      </w:r>
    </w:p>
    <w:p>
      <w:pPr>
        <w:spacing w:before="80" w:after="80"/>
      </w:pPr>
      <w:r>
        <w:rPr>
          <w:rFonts w:ascii="Arial" w:cs="Arial" w:eastAsia="Arial" w:hAnsi="Arial"/>
          <w:b w:val="false"/>
          <w:bCs w:val="false"/>
          <w:i w:val="false"/>
          <w:iCs w:val="false"/>
          <w:color w:val="1A1A2E"/>
          <w:sz w:val="22"/>
          <w:szCs w:val="22"/>
        </w:rPr>
        <w:t xml:space="preserve">A vault should never stop working because of a gas or bridge fee problem. The Friction Pool ensures uninterrupted operation through adaptive sizing, idle yield, intelligent borrowing, and automatic debt servicing.</w:t>
      </w:r>
    </w:p>
    <w:p>
      <w:pPr>
        <w:pStyle w:val="Heading3"/>
        <w:spacing w:before="200" w:after="100"/>
      </w:pPr>
      <w:r>
        <w:rPr>
          <w:rFonts w:ascii="Arial" w:cs="Arial" w:eastAsia="Arial" w:hAnsi="Arial"/>
          <w:b/>
          <w:bCs/>
          <w:color w:val="1A1A2E"/>
          <w:sz w:val="24"/>
          <w:szCs w:val="24"/>
        </w:rPr>
        <w:t xml:space="preserve">6. Chain Agnosticism</w:t>
      </w:r>
    </w:p>
    <w:p>
      <w:pPr>
        <w:spacing w:before="80" w:after="80"/>
      </w:pPr>
      <w:r>
        <w:rPr>
          <w:rFonts w:ascii="Arial" w:cs="Arial" w:eastAsia="Arial" w:hAnsi="Arial"/>
          <w:b w:val="false"/>
          <w:bCs w:val="false"/>
          <w:i w:val="false"/>
          <w:iCs w:val="false"/>
          <w:color w:val="1A1A2E"/>
          <w:sz w:val="22"/>
          <w:szCs w:val="22"/>
        </w:rPr>
        <w:t xml:space="preserve">Users should be able to deposit from, and receive rewards on, any major EVM chain. Cross-chain complexity is a protocol responsibility, not a user responsibility.</w:t>
      </w:r>
    </w:p>
    <w:p>
      <w:pPr>
        <w:pStyle w:val="Heading3"/>
        <w:spacing w:before="200" w:after="100"/>
      </w:pPr>
      <w:r>
        <w:rPr>
          <w:rFonts w:ascii="Arial" w:cs="Arial" w:eastAsia="Arial" w:hAnsi="Arial"/>
          <w:b/>
          <w:bCs/>
          <w:color w:val="1A1A2E"/>
          <w:sz w:val="24"/>
          <w:szCs w:val="24"/>
        </w:rPr>
        <w:t xml:space="preserve">7. Fail-Closed Safety</w:t>
      </w:r>
    </w:p>
    <w:p>
      <w:pPr>
        <w:spacing w:before="80" w:after="80"/>
      </w:pPr>
      <w:r>
        <w:rPr>
          <w:rFonts w:ascii="Arial" w:cs="Arial" w:eastAsia="Arial" w:hAnsi="Arial"/>
          <w:b w:val="false"/>
          <w:bCs w:val="false"/>
          <w:i w:val="false"/>
          <w:iCs w:val="false"/>
          <w:color w:val="1A1A2E"/>
          <w:sz w:val="22"/>
          <w:szCs w:val="22"/>
        </w:rPr>
        <w:t xml:space="preserve">If invariants are threatened, all affected modules pause. The system halts before insolvency is possible.</w:t>
      </w:r>
    </w:p>
    <w:p>
      <w:r>
        <w:br w:type="page"/>
      </w:r>
    </w:p>
    <w:p>
      <w:pPr>
        <w:pStyle w:val="Heading1"/>
        <w:spacing w:before="400" w:after="160"/>
      </w:pPr>
      <w:r>
        <w:rPr>
          <w:rFonts w:ascii="Arial" w:cs="Arial" w:eastAsia="Arial" w:hAnsi="Arial"/>
          <w:b/>
          <w:bCs/>
          <w:color w:val="1A3A5C"/>
          <w:sz w:val="36"/>
          <w:szCs w:val="36"/>
        </w:rPr>
        <w:t xml:space="preserve">2  Multi-Chain Architecture</w:t>
      </w:r>
    </w:p>
    <w:p>
      <w:pPr>
        <w:pBdr>
          <w:bottom w:val="single" w:color="2E7D9F" w:sz="4" w:space="1"/>
        </w:pBdr>
        <w:spacing w:before="160" w:after="160"/>
      </w:pPr>
    </w:p>
    <w:p>
      <w:pPr>
        <w:pStyle w:val="Heading2"/>
        <w:spacing w:before="280" w:after="120"/>
      </w:pPr>
      <w:r>
        <w:rPr>
          <w:rFonts w:ascii="Arial" w:cs="Arial" w:eastAsia="Arial" w:hAnsi="Arial"/>
          <w:b/>
          <w:bCs/>
          <w:color w:val="2E7D9F"/>
          <w:sz w:val="28"/>
          <w:szCs w:val="28"/>
        </w:rPr>
        <w:t xml:space="preserve">2.1  Hub-and-Spoke Model</w:t>
      </w:r>
    </w:p>
    <w:p>
      <w:pPr>
        <w:spacing w:before="80" w:after="80"/>
      </w:pPr>
      <w:r>
        <w:rPr>
          <w:rFonts w:ascii="Arial" w:cs="Arial" w:eastAsia="Arial" w:hAnsi="Arial"/>
          <w:b w:val="false"/>
          <w:bCs w:val="false"/>
          <w:i w:val="false"/>
          <w:iCs w:val="false"/>
          <w:color w:val="1A1A2E"/>
          <w:sz w:val="22"/>
          <w:szCs w:val="22"/>
        </w:rPr>
        <w:t xml:space="preserve">YieldLoop uses a hub-and-spoke architecture. BSC is the hub — all strategy execution, vault accounting, LOOP minting, ratchet logic, coverage ratios, and epoch accounting live exclusively on BSC. This preserves invariant integrity: there is exactly one source of truth for every financial calculation.</w:t>
      </w:r>
    </w:p>
    <w:p>
      <w:pPr>
        <w:spacing w:before="80" w:after="80"/>
      </w:pPr>
      <w:r>
        <w:rPr>
          <w:rFonts w:ascii="Arial" w:cs="Arial" w:eastAsia="Arial" w:hAnsi="Arial"/>
          <w:b w:val="false"/>
          <w:bCs w:val="false"/>
          <w:i w:val="false"/>
          <w:iCs w:val="false"/>
          <w:color w:val="1A1A2E"/>
          <w:sz w:val="22"/>
          <w:szCs w:val="22"/>
        </w:rPr>
        <w:t xml:space="preserve">Base, Arbitrum, Polygon, and Ethereum are spokes. Each spoke hosts a lightweight SpokeGateway contract that accepts deposits, bridges them to BSC via Stargate, and handles withdrawal routing back to the user's chain.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A" w:val="clear"/>
            <w:tcMar>
              <w:top w:type="dxa" w:w="160"/>
              <w:left w:type="dxa" w:w="240"/>
              <w:bottom w:type="dxa" w:w="160"/>
              <w:right w:type="dxa" w:w="240"/>
            </w:tcMar>
          </w:tcPr>
          <w:p>
            <w:pPr>
              <w:spacing w:before="60" w:after="60"/>
            </w:pPr>
            <w:r>
              <w:rPr>
                <w:rFonts w:ascii="Arial" w:cs="Arial" w:eastAsia="Arial" w:hAnsi="Arial"/>
                <w:b/>
                <w:bCs/>
                <w:color w:val="1A3A5C"/>
                <w:sz w:val="20"/>
                <w:szCs w:val="20"/>
              </w:rPr>
              <w:t xml:space="preserve">■  Hub (BSC): Vault accounting, LOOP minting, ratchet, coverage, epoch isolation, strategy execution</w:t>
            </w:r>
          </w:p>
          <w:p>
            <w:pPr>
              <w:spacing w:before="60" w:after="60"/>
            </w:pPr>
            <w:r>
              <w:rPr>
                <w:rFonts w:ascii="Arial" w:cs="Arial" w:eastAsia="Arial" w:hAnsi="Arial"/>
                <w:b/>
                <w:bCs/>
                <w:color w:val="1A3A5C"/>
                <w:sz w:val="20"/>
                <w:szCs w:val="20"/>
              </w:rPr>
              <w:t xml:space="preserve">■  Spokes (Base, Arbitrum, Polygon, ETH): Deposit ingress, withdrawal egress, bridge interface only</w:t>
            </w:r>
          </w:p>
          <w:p>
            <w:pPr>
              <w:spacing w:before="60" w:after="60"/>
            </w:pPr>
            <w:r>
              <w:rPr>
                <w:rFonts w:ascii="Arial" w:cs="Arial" w:eastAsia="Arial" w:hAnsi="Arial"/>
                <w:b/>
                <w:bCs/>
                <w:color w:val="1A3A5C"/>
                <w:sz w:val="20"/>
                <w:szCs w:val="20"/>
              </w:rPr>
              <w:t xml:space="preserve">■  Bridge Layer: Stargate (LayerZero) — native USDT transfers, battle-tested, no wrapped intermediaries</w:t>
            </w:r>
          </w:p>
          <w:p>
            <w:pPr>
              <w:spacing w:before="60" w:after="60"/>
            </w:pPr>
            <w:r>
              <w:rPr>
                <w:rFonts w:ascii="Arial" w:cs="Arial" w:eastAsia="Arial" w:hAnsi="Arial"/>
                <w:b/>
                <w:bCs/>
                <w:color w:val="1A3A5C"/>
                <w:sz w:val="20"/>
                <w:szCs w:val="20"/>
              </w:rPr>
              <w:t xml:space="preserve">■  LOOP: Canonical on BSC. wLOOP available on spokes via bridge wrapper for users who prefer another chain</w:t>
            </w:r>
          </w:p>
        </w:tc>
      </w:tr>
    </w:tbl>
    <w:p>
      <w:pPr>
        <w:spacing w:before="80" w:after="0"/>
      </w:pPr>
    </w:p>
    <w:p>
      <w:pPr>
        <w:pStyle w:val="Heading2"/>
        <w:spacing w:before="280" w:after="120"/>
      </w:pPr>
      <w:r>
        <w:rPr>
          <w:rFonts w:ascii="Arial" w:cs="Arial" w:eastAsia="Arial" w:hAnsi="Arial"/>
          <w:b/>
          <w:bCs/>
          <w:color w:val="2E7D9F"/>
          <w:sz w:val="28"/>
          <w:szCs w:val="28"/>
        </w:rPr>
        <w:t xml:space="preserve">2.2  Supported Chains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1860"/>
        <w:gridCol w:w="170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Chain</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Native Gas Token</w:t>
            </w:r>
          </w:p>
        </w:tc>
        <w:tc>
          <w:tcPr>
            <w:tcW w:type="dxa" w:w="1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USDT Standard</w:t>
            </w:r>
          </w:p>
        </w:tc>
        <w:tc>
          <w:tcPr>
            <w:tcW w:type="dxa" w:w="1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BNB Chain (BSC)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Hub — all strategy execution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BNB</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BSC USDT (BEP-20)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Spoke — deposit/withdrawal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ETH</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USDT (ERC-20)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Arbitrum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Spoke — deposit/withdrawal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ETH</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USDT (ERC-20)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Polygon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Spoke — deposit/withdrawal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MATIC/POL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USDT (ERC-20)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Ethereum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Spoke — deposit/withdrawal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ETH</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USDT (ERC-20)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Live</w:t>
            </w:r>
          </w:p>
        </w:tc>
      </w:tr>
    </w:tbl>
    <w:p>
      <w:pPr>
        <w:spacing w:before="80" w:after="0"/>
      </w:pPr>
    </w:p>
    <w:p>
      <w:pPr>
        <w:pStyle w:val="Heading2"/>
        <w:spacing w:before="280" w:after="120"/>
      </w:pPr>
      <w:r>
        <w:rPr>
          <w:rFonts w:ascii="Arial" w:cs="Arial" w:eastAsia="Arial" w:hAnsi="Arial"/>
          <w:b/>
          <w:bCs/>
          <w:color w:val="2E7D9F"/>
          <w:sz w:val="28"/>
          <w:szCs w:val="28"/>
        </w:rPr>
        <w:t xml:space="preserve">2.3  SpokeGateway Contract</w:t>
      </w:r>
    </w:p>
    <w:p>
      <w:pPr>
        <w:spacing w:before="80" w:after="80"/>
      </w:pPr>
      <w:r>
        <w:rPr>
          <w:rFonts w:ascii="Arial" w:cs="Arial" w:eastAsia="Arial" w:hAnsi="Arial"/>
          <w:b w:val="false"/>
          <w:bCs w:val="false"/>
          <w:i w:val="false"/>
          <w:iCs w:val="false"/>
          <w:color w:val="1A1A2E"/>
          <w:sz w:val="22"/>
          <w:szCs w:val="22"/>
        </w:rPr>
        <w:t xml:space="preserve">Each spoke chain hosts a SpokeGateway contract. Its responsibilities are minimal by design:</w:t>
      </w:r>
    </w:p>
    <w:p>
      <w:pPr>
        <w:pStyle w:val="ListParagraph"/>
        <w:numPr>
          <w:ilvl w:val="0"/>
          <w:numId w:val="2"/>
        </w:numPr>
        <w:spacing w:before="60" w:after="60"/>
      </w:pPr>
      <w:r>
        <w:rPr>
          <w:rFonts w:ascii="Arial" w:cs="Arial" w:eastAsia="Arial" w:hAnsi="Arial"/>
          <w:color w:val="1A1A2E"/>
          <w:sz w:val="22"/>
          <w:szCs w:val="22"/>
        </w:rPr>
        <w:t xml:space="preserve">Accept USDT deposits from users on that chain</w:t>
      </w:r>
    </w:p>
    <w:p>
      <w:pPr>
        <w:pStyle w:val="ListParagraph"/>
        <w:numPr>
          <w:ilvl w:val="0"/>
          <w:numId w:val="2"/>
        </w:numPr>
        <w:spacing w:before="60" w:after="60"/>
      </w:pPr>
      <w:r>
        <w:rPr>
          <w:rFonts w:ascii="Arial" w:cs="Arial" w:eastAsia="Arial" w:hAnsi="Arial"/>
          <w:color w:val="1A1A2E"/>
          <w:sz w:val="22"/>
          <w:szCs w:val="22"/>
        </w:rPr>
        <w:t xml:space="preserve">Call Stargate router to bridge USDT to BSC Hub Vault</w:t>
      </w:r>
    </w:p>
    <w:p>
      <w:pPr>
        <w:pStyle w:val="ListParagraph"/>
        <w:numPr>
          <w:ilvl w:val="0"/>
          <w:numId w:val="2"/>
        </w:numPr>
        <w:spacing w:before="60" w:after="60"/>
      </w:pPr>
      <w:r>
        <w:rPr>
          <w:rFonts w:ascii="Arial" w:cs="Arial" w:eastAsia="Arial" w:hAnsi="Arial"/>
          <w:color w:val="1A1A2E"/>
          <w:sz w:val="22"/>
          <w:szCs w:val="22"/>
        </w:rPr>
        <w:t xml:space="preserve">Pass referral data and vault configuration through the bridge message</w:t>
      </w:r>
    </w:p>
    <w:p>
      <w:pPr>
        <w:pStyle w:val="ListParagraph"/>
        <w:numPr>
          <w:ilvl w:val="0"/>
          <w:numId w:val="2"/>
        </w:numPr>
        <w:spacing w:before="60" w:after="60"/>
      </w:pPr>
      <w:r>
        <w:rPr>
          <w:rFonts w:ascii="Arial" w:cs="Arial" w:eastAsia="Arial" w:hAnsi="Arial"/>
          <w:color w:val="1A1A2E"/>
          <w:sz w:val="22"/>
          <w:szCs w:val="22"/>
        </w:rPr>
        <w:t xml:space="preserve">Receive withdrawal signals from BSC and execute the outbound transfer</w:t>
      </w:r>
    </w:p>
    <w:p>
      <w:pPr>
        <w:pStyle w:val="ListParagraph"/>
        <w:numPr>
          <w:ilvl w:val="0"/>
          <w:numId w:val="2"/>
        </w:numPr>
        <w:spacing w:before="60" w:after="60"/>
      </w:pPr>
      <w:r>
        <w:rPr>
          <w:rFonts w:ascii="Arial" w:cs="Arial" w:eastAsia="Arial" w:hAnsi="Arial"/>
          <w:color w:val="1A1A2E"/>
          <w:sz w:val="22"/>
          <w:szCs w:val="22"/>
        </w:rPr>
        <w:t xml:space="preserve">Register referral relationships (passed to BSC for on-chain enforcement)</w:t>
      </w:r>
    </w:p>
    <w:p>
      <w:pPr>
        <w:spacing w:before="80" w:after="80"/>
      </w:pPr>
      <w:r>
        <w:rPr>
          <w:rFonts w:ascii="Arial" w:cs="Arial" w:eastAsia="Arial" w:hAnsi="Arial"/>
          <w:b w:val="false"/>
          <w:bCs w:val="false"/>
          <w:i w:val="false"/>
          <w:iCs w:val="false"/>
          <w:color w:val="1A1A2E"/>
          <w:sz w:val="22"/>
          <w:szCs w:val="22"/>
        </w:rPr>
        <w:t xml:space="preserve">The SpokeGateway holds no vault accounting, no LOOP balances, and no epoch state. It is a bridge interface, not a financial system.</w:t>
      </w:r>
    </w:p>
    <w:p>
      <w:pPr>
        <w:spacing w:before="80" w:after="0"/>
      </w:pPr>
    </w:p>
    <w:p>
      <w:pPr>
        <w:pStyle w:val="Heading2"/>
        <w:spacing w:before="280" w:after="120"/>
      </w:pPr>
      <w:r>
        <w:rPr>
          <w:rFonts w:ascii="Arial" w:cs="Arial" w:eastAsia="Arial" w:hAnsi="Arial"/>
          <w:b/>
          <w:bCs/>
          <w:color w:val="2E7D9F"/>
          <w:sz w:val="28"/>
          <w:szCs w:val="28"/>
        </w:rPr>
        <w:t xml:space="preserve">2.4  Cross-Chain Deposit Flow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A" w:val="clear"/>
            <w:tcMar>
              <w:top w:type="dxa" w:w="160"/>
              <w:left w:type="dxa" w:w="240"/>
              <w:bottom w:type="dxa" w:w="160"/>
              <w:right w:type="dxa" w:w="240"/>
            </w:tcMar>
          </w:tcPr>
          <w:p>
            <w:pPr>
              <w:spacing w:before="60" w:after="60"/>
            </w:pPr>
            <w:r>
              <w:rPr>
                <w:rFonts w:ascii="Arial" w:cs="Arial" w:eastAsia="Arial" w:hAnsi="Arial"/>
                <w:b/>
                <w:bCs/>
                <w:color w:val="1A3A5C"/>
                <w:sz w:val="20"/>
                <w:szCs w:val="20"/>
              </w:rPr>
              <w:t xml:space="preserve">Step 1: User approves USDT on their chain (Base, Arb, Polygon, or ETH)</w:t>
            </w:r>
          </w:p>
          <w:p>
            <w:pPr>
              <w:spacing w:before="60" w:after="60"/>
            </w:pPr>
            <w:r>
              <w:rPr>
                <w:rFonts w:ascii="Arial" w:cs="Arial" w:eastAsia="Arial" w:hAnsi="Arial"/>
                <w:b/>
                <w:bCs/>
                <w:color w:val="1A3A5C"/>
                <w:sz w:val="20"/>
                <w:szCs w:val="20"/>
              </w:rPr>
              <w:t xml:space="preserve">Step 2: User calls SpokeGateway.depositToVault(amount, vaultId, referrer)</w:t>
            </w:r>
          </w:p>
          <w:p>
            <w:pPr>
              <w:spacing w:before="60" w:after="60"/>
            </w:pPr>
            <w:r>
              <w:rPr>
                <w:rFonts w:ascii="Arial" w:cs="Arial" w:eastAsia="Arial" w:hAnsi="Arial"/>
                <w:b/>
                <w:bCs/>
                <w:color w:val="1A3A5C"/>
                <w:sz w:val="20"/>
                <w:szCs w:val="20"/>
              </w:rPr>
              <w:t xml:space="preserve">Step 3: SpokeGateway calls Stargate router — USDT bridges to BSC</w:t>
            </w:r>
          </w:p>
          <w:p>
            <w:pPr>
              <w:spacing w:before="60" w:after="60"/>
            </w:pPr>
            <w:r>
              <w:rPr>
                <w:rFonts w:ascii="Arial" w:cs="Arial" w:eastAsia="Arial" w:hAnsi="Arial"/>
                <w:b/>
                <w:bCs/>
                <w:color w:val="1A3A5C"/>
                <w:sz w:val="20"/>
                <w:szCs w:val="20"/>
              </w:rPr>
              <w:t xml:space="preserve">Step 4: BSC HubVault receives bridged USDT, registers vault position</w:t>
            </w:r>
          </w:p>
          <w:p>
            <w:pPr>
              <w:spacing w:before="60" w:after="60"/>
            </w:pPr>
            <w:r>
              <w:rPr>
                <w:rFonts w:ascii="Arial" w:cs="Arial" w:eastAsia="Arial" w:hAnsi="Arial"/>
                <w:b/>
                <w:bCs/>
                <w:color w:val="1A3A5C"/>
                <w:sz w:val="20"/>
                <w:szCs w:val="20"/>
              </w:rPr>
              <w:t xml:space="preserve">Step 5: Vault confirmation appears in user dashboard across all chains</w:t>
            </w:r>
          </w:p>
          <w:p>
            <w:pPr>
              <w:spacing w:before="60" w:after="60"/>
            </w:pPr>
            <w:r>
              <w:rPr>
                <w:rFonts w:ascii="Arial" w:cs="Arial" w:eastAsia="Arial" w:hAnsi="Arial"/>
                <w:b w:val="false"/>
                <w:bCs w:val="false"/>
                <w:color w:val="1A3A5C"/>
                <w:sz w:val="20"/>
                <w:szCs w:val="20"/>
              </w:rPr>
              <w:t xml:space="preserve"/>
            </w:r>
          </w:p>
          <w:p>
            <w:pPr>
              <w:spacing w:before="60" w:after="60"/>
            </w:pPr>
            <w:r>
              <w:rPr>
                <w:rFonts w:ascii="Arial" w:cs="Arial" w:eastAsia="Arial" w:hAnsi="Arial"/>
                <w:b/>
                <w:bCs/>
                <w:color w:val="1A3A5C"/>
                <w:sz w:val="20"/>
                <w:szCs w:val="20"/>
              </w:rPr>
              <w:t xml:space="preserve">Bridge fee source: Friction Pool (classified as operational cost)</w:t>
            </w:r>
          </w:p>
          <w:p>
            <w:pPr>
              <w:spacing w:before="60" w:after="60"/>
            </w:pPr>
            <w:r>
              <w:rPr>
                <w:rFonts w:ascii="Arial" w:cs="Arial" w:eastAsia="Arial" w:hAnsi="Arial"/>
                <w:b/>
                <w:bCs/>
                <w:color w:val="1A3A5C"/>
                <w:sz w:val="20"/>
                <w:szCs w:val="20"/>
              </w:rPr>
              <w:t xml:space="preserve">Bridge settlement: typically 1–5 minutes via Stargate/LayerZero</w:t>
            </w:r>
          </w:p>
        </w:tc>
      </w:tr>
    </w:tbl>
    <w:p>
      <w:pPr>
        <w:spacing w:before="80" w:after="0"/>
      </w:pPr>
    </w:p>
    <w:p>
      <w:pPr>
        <w:pStyle w:val="Heading2"/>
        <w:spacing w:before="280" w:after="120"/>
      </w:pPr>
      <w:r>
        <w:rPr>
          <w:rFonts w:ascii="Arial" w:cs="Arial" w:eastAsia="Arial" w:hAnsi="Arial"/>
          <w:b/>
          <w:bCs/>
          <w:color w:val="2E7D9F"/>
          <w:sz w:val="28"/>
          <w:szCs w:val="28"/>
        </w:rPr>
        <w:t xml:space="preserve">2.5  Cross-Chain Withdrawal &amp; Reward Delivery</w:t>
      </w:r>
    </w:p>
    <w:p>
      <w:pPr>
        <w:spacing w:before="80" w:after="80"/>
      </w:pPr>
      <w:r>
        <w:rPr>
          <w:rFonts w:ascii="Arial" w:cs="Arial" w:eastAsia="Arial" w:hAnsi="Arial"/>
          <w:b w:val="false"/>
          <w:bCs w:val="false"/>
          <w:i w:val="false"/>
          <w:iCs w:val="false"/>
          <w:color w:val="1A1A2E"/>
          <w:sz w:val="22"/>
          <w:szCs w:val="22"/>
        </w:rPr>
        <w:t xml:space="preserve">At cycle close, users select their reward format (USDT or LOOP) and their delivery chain. The BSC hub processes the distribution and routes accordingly: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User Preference</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USDT on 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BSC vault releases USDT → Stargate bridges to Base → delivered as native USDT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USDT on Arbitrum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Same flow, Arbitrum destination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USDT on Ethereum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Same flow, Ethereum destination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LOOP on BSC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Minted on BSC, stays on BSC — no bridge needed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wLOOP on Base/Arb/Poly/ETH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Minted on BSC → bridged as wLOOP → delivered on destination chain</w:t>
            </w:r>
          </w:p>
        </w:tc>
      </w:tr>
    </w:tbl>
    <w:p>
      <w:pPr>
        <w:spacing w:before="80" w:after="0"/>
      </w:pPr>
    </w:p>
    <w:p>
      <w:pPr>
        <w:pStyle w:val="Heading2"/>
        <w:spacing w:before="280" w:after="120"/>
      </w:pPr>
      <w:r>
        <w:rPr>
          <w:rFonts w:ascii="Arial" w:cs="Arial" w:eastAsia="Arial" w:hAnsi="Arial"/>
          <w:b/>
          <w:bCs/>
          <w:color w:val="2E7D9F"/>
          <w:sz w:val="28"/>
          <w:szCs w:val="28"/>
        </w:rPr>
        <w:t xml:space="preserve">2.6  LOOP Token: Canonical Chain Model</w:t>
      </w:r>
    </w:p>
    <w:p>
      <w:pPr>
        <w:spacing w:before="80" w:after="80"/>
      </w:pPr>
      <w:r>
        <w:rPr>
          <w:rFonts w:ascii="Arial" w:cs="Arial" w:eastAsia="Arial" w:hAnsi="Arial"/>
          <w:b w:val="false"/>
          <w:bCs w:val="false"/>
          <w:i w:val="false"/>
          <w:iCs w:val="false"/>
          <w:color w:val="1A1A2E"/>
          <w:sz w:val="22"/>
          <w:szCs w:val="22"/>
        </w:rPr>
        <w:t xml:space="preserve">LOOP is canonical on BSC. This is a non-negotiable architectural decision. LOOP's floor price is tied to a non-decreasing invariant backed by real vault surplus. Replicating native LOOP across five chains would create five independent accounting systems that must stay synchronized — a coordination problem that breaks under stress and creates attack surface.</w:t>
      </w:r>
    </w:p>
    <w:p>
      <w:pPr>
        <w:spacing w:before="80" w:after="80"/>
      </w:pPr>
      <w:r>
        <w:rPr>
          <w:rFonts w:ascii="Arial" w:cs="Arial" w:eastAsia="Arial" w:hAnsi="Arial"/>
          <w:b w:val="false"/>
          <w:bCs w:val="false"/>
          <w:i w:val="false"/>
          <w:iCs w:val="false"/>
          <w:color w:val="1A1A2E"/>
          <w:sz w:val="22"/>
          <w:szCs w:val="22"/>
        </w:rPr>
        <w:t xml:space="preserve">Users on other chains who hold LOOP receive wLOOP (wrapped LOOP): a 1:1 bridge-backed representation redeemable on BSC at any time. The user interface displays a unified 'LOOP balance' regardless of chain — the wrapping is invisible to the end user.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A" w:val="clear"/>
            <w:tcMar>
              <w:top w:type="dxa" w:w="160"/>
              <w:left w:type="dxa" w:w="240"/>
              <w:bottom w:type="dxa" w:w="160"/>
              <w:right w:type="dxa" w:w="240"/>
            </w:tcMar>
          </w:tcPr>
          <w:p>
            <w:pPr>
              <w:spacing w:before="60" w:after="60"/>
            </w:pPr>
            <w:r>
              <w:rPr>
                <w:rFonts w:ascii="Arial" w:cs="Arial" w:eastAsia="Arial" w:hAnsi="Arial"/>
                <w:b/>
                <w:bCs/>
                <w:color w:val="1A3A5C"/>
                <w:sz w:val="20"/>
                <w:szCs w:val="20"/>
              </w:rPr>
              <w:t xml:space="preserve">■  LOOP minted: BSC only — always</w:t>
            </w:r>
          </w:p>
          <w:p>
            <w:pPr>
              <w:spacing w:before="60" w:after="60"/>
            </w:pPr>
            <w:r>
              <w:rPr>
                <w:rFonts w:ascii="Arial" w:cs="Arial" w:eastAsia="Arial" w:hAnsi="Arial"/>
                <w:b/>
                <w:bCs/>
                <w:color w:val="1A3A5C"/>
                <w:sz w:val="20"/>
                <w:szCs w:val="20"/>
              </w:rPr>
              <w:t xml:space="preserve">■  LOOP redeemed: BSC only — always</w:t>
            </w:r>
          </w:p>
          <w:p>
            <w:pPr>
              <w:spacing w:before="60" w:after="60"/>
            </w:pPr>
            <w:r>
              <w:rPr>
                <w:rFonts w:ascii="Arial" w:cs="Arial" w:eastAsia="Arial" w:hAnsi="Arial"/>
                <w:b/>
                <w:bCs/>
                <w:color w:val="1A3A5C"/>
                <w:sz w:val="20"/>
                <w:szCs w:val="20"/>
              </w:rPr>
              <w:t xml:space="preserve">■  Floor price tracked: BSC only — single source of truth</w:t>
            </w:r>
          </w:p>
          <w:p>
            <w:pPr>
              <w:spacing w:before="60" w:after="60"/>
            </w:pPr>
            <w:r>
              <w:rPr>
                <w:rFonts w:ascii="Arial" w:cs="Arial" w:eastAsia="Arial" w:hAnsi="Arial"/>
                <w:b/>
                <w:bCs/>
                <w:color w:val="1A3A5C"/>
                <w:sz w:val="20"/>
                <w:szCs w:val="20"/>
              </w:rPr>
              <w:t xml:space="preserve">■  wLOOP on other chains: bridge-backed 1:1 IOU, redeemable on BSC</w:t>
            </w:r>
          </w:p>
          <w:p>
            <w:pPr>
              <w:spacing w:before="60" w:after="60"/>
            </w:pPr>
            <w:r>
              <w:rPr>
                <w:rFonts w:ascii="Arial" w:cs="Arial" w:eastAsia="Arial" w:hAnsi="Arial"/>
                <w:b/>
                <w:bCs/>
                <w:color w:val="1A3A5C"/>
                <w:sz w:val="20"/>
                <w:szCs w:val="20"/>
              </w:rPr>
              <w:t xml:space="preserve">■  Invariant integrity: preserved — no multi-chain floor desync risk</w:t>
            </w:r>
          </w:p>
        </w:tc>
      </w:tr>
    </w:tbl>
    <w:p>
      <w:pPr>
        <w:spacing w:before="80" w:after="0"/>
      </w:pPr>
    </w:p>
    <w:p>
      <w:pPr>
        <w:pStyle w:val="Heading2"/>
        <w:spacing w:before="280" w:after="120"/>
      </w:pPr>
      <w:r>
        <w:rPr>
          <w:rFonts w:ascii="Arial" w:cs="Arial" w:eastAsia="Arial" w:hAnsi="Arial"/>
          <w:b/>
          <w:bCs/>
          <w:color w:val="2E7D9F"/>
          <w:sz w:val="28"/>
          <w:szCs w:val="28"/>
        </w:rPr>
        <w:t xml:space="preserve">2.7  Bridge Risk &amp; Operational Cost Classification</w:t>
      </w:r>
    </w:p>
    <w:p>
      <w:pPr>
        <w:spacing w:before="80" w:after="80"/>
      </w:pPr>
      <w:r>
        <w:rPr>
          <w:rFonts w:ascii="Arial" w:cs="Arial" w:eastAsia="Arial" w:hAnsi="Arial"/>
          <w:b w:val="false"/>
          <w:bCs w:val="false"/>
          <w:i w:val="false"/>
          <w:iCs w:val="false"/>
          <w:color w:val="1A1A2E"/>
          <w:sz w:val="22"/>
          <w:szCs w:val="22"/>
        </w:rPr>
        <w:t xml:space="preserve">Cross-chain bridging introduces third-party protocol risk. Stargate/LayerZero has its own smart contract risk, relayer risk, and oracle assumptions. These are disclosed in the Legal &amp; Governance document. Users acknowledge bridge risk as part of multi-chain participation.</w:t>
      </w:r>
    </w:p>
    <w:p>
      <w:pPr>
        <w:spacing w:before="80" w:after="80"/>
      </w:pPr>
      <w:r>
        <w:rPr>
          <w:rFonts w:ascii="Arial" w:cs="Arial" w:eastAsia="Arial" w:hAnsi="Arial"/>
          <w:b w:val="false"/>
          <w:bCs w:val="false"/>
          <w:i w:val="false"/>
          <w:iCs w:val="false"/>
          <w:color w:val="1A1A2E"/>
          <w:sz w:val="22"/>
          <w:szCs w:val="22"/>
        </w:rPr>
        <w:t xml:space="preserve">Bridge fees are classified as operational costs and funded by the Friction Pool — the same classification as gas fees, DEX swap fees, and AI compute. This keeps AUM accounting clean and ensures bridge costs never appear as a surprise deduction from user principal.</w:t>
      </w:r>
    </w:p>
    <w:p>
      <w:r>
        <w:br w:type="page"/>
      </w:r>
    </w:p>
    <w:p>
      <w:pPr>
        <w:pStyle w:val="Heading1"/>
        <w:spacing w:before="400" w:after="160"/>
      </w:pPr>
      <w:r>
        <w:rPr>
          <w:rFonts w:ascii="Arial" w:cs="Arial" w:eastAsia="Arial" w:hAnsi="Arial"/>
          <w:b/>
          <w:bCs/>
          <w:color w:val="1A3A5C"/>
          <w:sz w:val="36"/>
          <w:szCs w:val="36"/>
        </w:rPr>
        <w:t xml:space="preserve">3  System Architecture Overview</w:t>
      </w:r>
    </w:p>
    <w:p>
      <w:pPr>
        <w:pBdr>
          <w:bottom w:val="single" w:color="2E7D9F" w:sz="4" w:space="1"/>
        </w:pBdr>
        <w:spacing w:before="160" w:after="160"/>
      </w:pPr>
    </w:p>
    <w:p>
      <w:pPr>
        <w:pStyle w:val="Heading2"/>
        <w:spacing w:before="280" w:after="120"/>
      </w:pPr>
      <w:r>
        <w:rPr>
          <w:rFonts w:ascii="Arial" w:cs="Arial" w:eastAsia="Arial" w:hAnsi="Arial"/>
          <w:b/>
          <w:bCs/>
          <w:color w:val="2E7D9F"/>
          <w:sz w:val="28"/>
          <w:szCs w:val="28"/>
        </w:rPr>
        <w:t xml:space="preserve">3.1  Module Stack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Multi-Chain Access Layer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SpokeGateway contracts on Base, Arb, Polygon, ETH + Stargate bridge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Wallet &amp; Access Layer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Web3, Privy (embedded wallets), Transak (fiat on-ramp)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Vault Layer (BSC Hub)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Capital allocation, cycle participation, epoch accounting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Friction Pool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Per-vault operational reserve — segregated from AUM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Active Trading Engine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Cross-DEX arbitrage + spot (PancakeSwap ↔ BiSwap)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Passive Income Layer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LP + Stablecoin Vaults + BNB Staking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Epoch Mint Engine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LOOP minting from realized profit only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Tiered Ratchet &amp; Redemption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Coverage-gated micro-tick floor appreciation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Claim &amp; Redemption Portal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Per-epoch portal with penalty preview and debt display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NFT Program Layer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Fee reduction and governance weight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AI Governance Layer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Bounded optimization — cannot override invariants</w:t>
            </w:r>
          </w:p>
        </w:tc>
      </w:tr>
    </w:tbl>
    <w:p>
      <w:pPr>
        <w:spacing w:before="80" w:after="0"/>
      </w:pPr>
    </w:p>
    <w:p>
      <w:pPr>
        <w:pStyle w:val="Heading2"/>
        <w:spacing w:before="280" w:after="120"/>
      </w:pPr>
      <w:r>
        <w:rPr>
          <w:rFonts w:ascii="Arial" w:cs="Arial" w:eastAsia="Arial" w:hAnsi="Arial"/>
          <w:b/>
          <w:bCs/>
          <w:color w:val="2E7D9F"/>
          <w:sz w:val="28"/>
          <w:szCs w:val="28"/>
        </w:rPr>
        <w:t xml:space="preserve">3.2  Vault Layer</w:t>
      </w:r>
    </w:p>
    <w:p>
      <w:pPr>
        <w:spacing w:before="80" w:after="80"/>
      </w:pPr>
      <w:r>
        <w:rPr>
          <w:rFonts w:ascii="Arial" w:cs="Arial" w:eastAsia="Arial" w:hAnsi="Arial"/>
          <w:b w:val="false"/>
          <w:bCs w:val="false"/>
          <w:i w:val="false"/>
          <w:iCs w:val="false"/>
          <w:color w:val="1A1A2E"/>
          <w:sz w:val="22"/>
          <w:szCs w:val="22"/>
        </w:rPr>
        <w:t xml:space="preserve">Minimum 500 USDT to create a vault; 250 USDT for subsequent deposits. Deposits arriving via SpokeGateway from other chains are treated identically to direct BSC deposits — they are registered at the BSC Hub vault with the same rules. At vault creation and each top-up, the user is prompted to fund the Friction Pool before finalizing the deposit. Vault AUM and Friction Pool are fully segregated — friction pool capital is never counted as AUM.</w:t>
      </w:r>
    </w:p>
    <w:p>
      <w:pPr>
        <w:spacing w:before="80" w:after="0"/>
      </w:pPr>
    </w:p>
    <w:p>
      <w:pPr>
        <w:pStyle w:val="Heading2"/>
        <w:spacing w:before="280" w:after="120"/>
      </w:pPr>
      <w:r>
        <w:rPr>
          <w:rFonts w:ascii="Arial" w:cs="Arial" w:eastAsia="Arial" w:hAnsi="Arial"/>
          <w:b/>
          <w:bCs/>
          <w:color w:val="2E7D9F"/>
          <w:sz w:val="28"/>
          <w:szCs w:val="28"/>
        </w:rPr>
        <w:t xml:space="preserve">3.3  Passive Income Layer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Platform(s)</w:t>
            </w:r>
          </w:p>
        </w:tc>
        <w:tc>
          <w:tcPr>
            <w:tcW w:type="dxa" w:w="4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Income 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Liquidity Provision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PancakeSwap v3, Thena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DEX trading fees (net of 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Stablecoin Yield Vaults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Beefy Finance, Alpaca Finance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Auto-compounding vault APY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BNB Liquid Staking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Ankr aBNBc, pStake stkBNB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BNB staking rewards — liquid</w:t>
            </w:r>
          </w:p>
        </w:tc>
      </w:tr>
    </w:tbl>
    <w:p>
      <w:r>
        <w:br w:type="page"/>
      </w:r>
    </w:p>
    <w:p>
      <w:pPr>
        <w:pStyle w:val="Heading1"/>
        <w:spacing w:before="400" w:after="160"/>
      </w:pPr>
      <w:r>
        <w:rPr>
          <w:rFonts w:ascii="Arial" w:cs="Arial" w:eastAsia="Arial" w:hAnsi="Arial"/>
          <w:b/>
          <w:bCs/>
          <w:color w:val="1A3A5C"/>
          <w:sz w:val="36"/>
          <w:szCs w:val="36"/>
        </w:rPr>
        <w:t xml:space="preserve">4  Monthly Execution Engine</w:t>
      </w:r>
    </w:p>
    <w:p>
      <w:pPr>
        <w:pBdr>
          <w:bottom w:val="single" w:color="2E7D9F" w:sz="4" w:space="1"/>
        </w:pBdr>
        <w:spacing w:before="160" w:after="160"/>
      </w:pPr>
    </w:p>
    <w:p>
      <w:pPr>
        <w:pStyle w:val="Heading2"/>
        <w:spacing w:before="280" w:after="120"/>
      </w:pPr>
      <w:r>
        <w:rPr>
          <w:rFonts w:ascii="Arial" w:cs="Arial" w:eastAsia="Arial" w:hAnsi="Arial"/>
          <w:b/>
          <w:bCs/>
          <w:color w:val="2E7D9F"/>
          <w:sz w:val="28"/>
          <w:szCs w:val="28"/>
        </w:rPr>
        <w:t xml:space="preserve">4.1  Five-Phase Cycle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5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 — Deposit &amp; Strategy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Before 1st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Vault setup, friction pool top-up prompt, AI config, strategy lock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 — Active Window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1st – last day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Trading + all passive sources + friction pool idle deployment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3 — Cycle Close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Last day 23:59 UTC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Positions closed, fees claimed, friction pool yield handled separately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4 — Mint &amp; Ratchet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1st of next month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Friction debt serviced first, LOOP minted, tiered ratchet runs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5 — Redemption Window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1st of month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Standard (window) + early redemption (anytime after 30 days)</w:t>
            </w:r>
          </w:p>
        </w:tc>
      </w:tr>
    </w:tbl>
    <w:p>
      <w:pPr>
        <w:spacing w:before="80" w:after="0"/>
      </w:pPr>
    </w:p>
    <w:p>
      <w:pPr>
        <w:pStyle w:val="Heading2"/>
        <w:spacing w:before="280" w:after="120"/>
      </w:pPr>
      <w:r>
        <w:rPr>
          <w:rFonts w:ascii="Arial" w:cs="Arial" w:eastAsia="Arial" w:hAnsi="Arial"/>
          <w:b/>
          <w:bCs/>
          <w:color w:val="2E7D9F"/>
          <w:sz w:val="28"/>
          <w:szCs w:val="28"/>
        </w:rPr>
        <w:t xml:space="preserve">4.2  Profit Calculation Formula</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A" w:val="clear"/>
            <w:tcMar>
              <w:top w:type="dxa" w:w="160"/>
              <w:left w:type="dxa" w:w="240"/>
              <w:bottom w:type="dxa" w:w="160"/>
              <w:right w:type="dxa" w:w="240"/>
            </w:tcMar>
          </w:tcPr>
          <w:p>
            <w:pPr>
              <w:spacing w:before="60" w:after="60"/>
            </w:pPr>
            <w:r>
              <w:rPr>
                <w:rFonts w:ascii="Arial" w:cs="Arial" w:eastAsia="Arial" w:hAnsi="Arial"/>
                <w:b w:val="false"/>
                <w:bCs w:val="false"/>
                <w:color w:val="1A3A5C"/>
                <w:sz w:val="20"/>
                <w:szCs w:val="20"/>
              </w:rPr>
              <w:t xml:space="preserve">Realized_Profit_E  =</w:t>
            </w:r>
          </w:p>
          <w:p>
            <w:pPr>
              <w:spacing w:before="60" w:after="60"/>
            </w:pPr>
            <w:r>
              <w:rPr>
                <w:rFonts w:ascii="Arial" w:cs="Arial" w:eastAsia="Arial" w:hAnsi="Arial"/>
                <w:b w:val="false"/>
                <w:bCs w:val="false"/>
                <w:color w:val="1A3A5C"/>
                <w:sz w:val="20"/>
                <w:szCs w:val="20"/>
              </w:rPr>
              <w:t xml:space="preserve">    Trading_Profit_E</w:t>
            </w:r>
          </w:p>
          <w:p>
            <w:pPr>
              <w:spacing w:before="60" w:after="60"/>
            </w:pPr>
            <w:r>
              <w:rPr>
                <w:rFonts w:ascii="Arial" w:cs="Arial" w:eastAsia="Arial" w:hAnsi="Arial"/>
                <w:b w:val="false"/>
                <w:bCs w:val="false"/>
                <w:color w:val="1A3A5C"/>
                <w:sz w:val="20"/>
                <w:szCs w:val="20"/>
              </w:rPr>
              <w:t xml:space="preserve">  + (LP_Fees_E − Impermanent_Loss_E)</w:t>
            </w:r>
          </w:p>
          <w:p>
            <w:pPr>
              <w:spacing w:before="60" w:after="60"/>
            </w:pPr>
            <w:r>
              <w:rPr>
                <w:rFonts w:ascii="Arial" w:cs="Arial" w:eastAsia="Arial" w:hAnsi="Arial"/>
                <w:b w:val="false"/>
                <w:bCs w:val="false"/>
                <w:color w:val="1A3A5C"/>
                <w:sz w:val="20"/>
                <w:szCs w:val="20"/>
              </w:rPr>
              <w:t xml:space="preserve">  + Stablecoin_Vault_Yield_E  [vault AUM portion only]</w:t>
            </w:r>
          </w:p>
          <w:p>
            <w:pPr>
              <w:spacing w:before="60" w:after="60"/>
            </w:pPr>
            <w:r>
              <w:rPr>
                <w:rFonts w:ascii="Arial" w:cs="Arial" w:eastAsia="Arial" w:hAnsi="Arial"/>
                <w:b w:val="false"/>
                <w:bCs w:val="false"/>
                <w:color w:val="1A3A5C"/>
                <w:sz w:val="20"/>
                <w:szCs w:val="20"/>
              </w:rPr>
              <w:t xml:space="preserve">  + BNB_Staking_Rewards_E  [vault AUM portion only]</w:t>
            </w:r>
          </w:p>
          <w:p>
            <w:pPr>
              <w:spacing w:before="60" w:after="60"/>
            </w:pPr>
            <w:r>
              <w:rPr>
                <w:rFonts w:ascii="Arial" w:cs="Arial" w:eastAsia="Arial" w:hAnsi="Arial"/>
                <w:b w:val="false"/>
                <w:bCs w:val="false"/>
                <w:color w:val="1A3A5C"/>
                <w:sz w:val="20"/>
                <w:szCs w:val="20"/>
              </w:rPr>
              <w:t xml:space="preserve"/>
            </w:r>
          </w:p>
          <w:p>
            <w:pPr>
              <w:spacing w:before="60" w:after="60"/>
            </w:pPr>
            <w:r>
              <w:rPr>
                <w:rFonts w:ascii="Arial" w:cs="Arial" w:eastAsia="Arial" w:hAnsi="Arial"/>
                <w:b w:val="false"/>
                <w:bCs w:val="false"/>
                <w:color w:val="1A3A5C"/>
                <w:sz w:val="20"/>
                <w:szCs w:val="20"/>
              </w:rPr>
              <w:t xml:space="preserve">Friction_Pool_Yield_E  →  excluded from above</w:t>
            </w:r>
          </w:p>
          <w:p>
            <w:pPr>
              <w:spacing w:before="60" w:after="60"/>
            </w:pPr>
            <w:r>
              <w:rPr>
                <w:rFonts w:ascii="Arial" w:cs="Arial" w:eastAsia="Arial" w:hAnsi="Arial"/>
                <w:b w:val="false"/>
                <w:bCs w:val="false"/>
                <w:color w:val="1A3A5C"/>
                <w:sz w:val="20"/>
                <w:szCs w:val="20"/>
              </w:rPr>
              <w:t xml:space="preserve">  → Reduces friction pool minimum target, then credits to user as USDT</w:t>
            </w:r>
          </w:p>
        </w:tc>
      </w:tr>
    </w:tbl>
    <w:p>
      <w:pPr>
        <w:spacing w:before="80" w:after="0"/>
      </w:pPr>
    </w:p>
    <w:p>
      <w:pPr>
        <w:pStyle w:val="Heading2"/>
        <w:spacing w:before="280" w:after="120"/>
      </w:pPr>
      <w:r>
        <w:rPr>
          <w:rFonts w:ascii="Arial" w:cs="Arial" w:eastAsia="Arial" w:hAnsi="Arial"/>
          <w:b/>
          <w:bCs/>
          <w:color w:val="2E7D9F"/>
          <w:sz w:val="28"/>
          <w:szCs w:val="28"/>
        </w:rPr>
        <w:t xml:space="preserve">4.3  Phase 4 — Debt Service Before LOOP Mint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A" w:val="clear"/>
            <w:tcMar>
              <w:top w:type="dxa" w:w="160"/>
              <w:left w:type="dxa" w:w="240"/>
              <w:bottom w:type="dxa" w:w="160"/>
              <w:right w:type="dxa" w:w="240"/>
            </w:tcMar>
          </w:tcPr>
          <w:p>
            <w:pPr>
              <w:spacing w:before="60" w:after="60"/>
            </w:pPr>
            <w:r>
              <w:rPr>
                <w:rFonts w:ascii="Arial" w:cs="Arial" w:eastAsia="Arial" w:hAnsi="Arial"/>
                <w:b/>
                <w:bCs/>
                <w:color w:val="1A3A5C"/>
                <w:sz w:val="20"/>
                <w:szCs w:val="20"/>
              </w:rPr>
              <w:t xml:space="preserve">If Friction_Debt &gt; 0:</w:t>
            </w:r>
          </w:p>
          <w:p>
            <w:pPr>
              <w:spacing w:before="60" w:after="60"/>
            </w:pPr>
            <w:r>
              <w:rPr>
                <w:rFonts w:ascii="Arial" w:cs="Arial" w:eastAsia="Arial" w:hAnsi="Arial"/>
                <w:b w:val="false"/>
                <w:bCs w:val="false"/>
                <w:color w:val="1A3A5C"/>
                <w:sz w:val="20"/>
                <w:szCs w:val="20"/>
              </w:rPr>
              <w:t xml:space="preserve">  Interest = Friction_Debt × 0.005</w:t>
            </w:r>
          </w:p>
          <w:p>
            <w:pPr>
              <w:spacing w:before="60" w:after="60"/>
            </w:pPr>
            <w:r>
              <w:rPr>
                <w:rFonts w:ascii="Arial" w:cs="Arial" w:eastAsia="Arial" w:hAnsi="Arial"/>
                <w:b w:val="false"/>
                <w:bCs w:val="false"/>
                <w:color w:val="1A3A5C"/>
                <w:sz w:val="20"/>
                <w:szCs w:val="20"/>
              </w:rPr>
              <w:t xml:space="preserve">  Total_owed = Friction_Debt + Interest</w:t>
            </w:r>
          </w:p>
          <w:p>
            <w:pPr>
              <w:spacing w:before="60" w:after="60"/>
            </w:pPr>
            <w:r>
              <w:rPr>
                <w:rFonts w:ascii="Arial" w:cs="Arial" w:eastAsia="Arial" w:hAnsi="Arial"/>
                <w:b w:val="false"/>
                <w:bCs w:val="false"/>
                <w:color w:val="1A3A5C"/>
                <w:sz w:val="20"/>
                <w:szCs w:val="20"/>
              </w:rPr>
              <w:t xml:space="preserve">  Confiscated = min(Total_owed, User_Net_Profit_E)</w:t>
            </w:r>
          </w:p>
          <w:p>
            <w:pPr>
              <w:spacing w:before="60" w:after="60"/>
            </w:pPr>
            <w:r>
              <w:rPr>
                <w:rFonts w:ascii="Arial" w:cs="Arial" w:eastAsia="Arial" w:hAnsi="Arial"/>
                <w:b w:val="false"/>
                <w:bCs w:val="false"/>
                <w:color w:val="1A3A5C"/>
                <w:sz w:val="20"/>
                <w:szCs w:val="20"/>
              </w:rPr>
              <w:t xml:space="preserve">  Route confiscated amount to friction pool + lending source</w:t>
            </w:r>
          </w:p>
          <w:p>
            <w:pPr>
              <w:spacing w:before="60" w:after="60"/>
            </w:pPr>
            <w:r>
              <w:rPr>
                <w:rFonts w:ascii="Arial" w:cs="Arial" w:eastAsia="Arial" w:hAnsi="Arial"/>
                <w:b w:val="false"/>
                <w:bCs w:val="false"/>
                <w:color w:val="1A3A5C"/>
                <w:sz w:val="20"/>
                <w:szCs w:val="20"/>
              </w:rPr>
              <w:t xml:space="preserve">  Remaining profit proceeds to LOOP mint or USDT claim</w:t>
            </w:r>
          </w:p>
          <w:p>
            <w:pPr>
              <w:spacing w:before="60" w:after="60"/>
            </w:pPr>
            <w:r>
              <w:rPr>
                <w:rFonts w:ascii="Arial" w:cs="Arial" w:eastAsia="Arial" w:hAnsi="Arial"/>
                <w:b w:val="false"/>
                <w:bCs w:val="false"/>
                <w:color w:val="1A3A5C"/>
                <w:sz w:val="20"/>
                <w:szCs w:val="20"/>
              </w:rPr>
              <w:t xml:space="preserve">  Unserviced debt carries to next cycle</w:t>
            </w:r>
          </w:p>
        </w:tc>
      </w:tr>
    </w:tbl>
    <w:p>
      <w:r>
        <w:br w:type="page"/>
      </w:r>
    </w:p>
    <w:p>
      <w:pPr>
        <w:pStyle w:val="Heading1"/>
        <w:spacing w:before="400" w:after="160"/>
      </w:pPr>
      <w:r>
        <w:rPr>
          <w:rFonts w:ascii="Arial" w:cs="Arial" w:eastAsia="Arial" w:hAnsi="Arial"/>
          <w:b/>
          <w:bCs/>
          <w:color w:val="1A3A5C"/>
          <w:sz w:val="36"/>
          <w:szCs w:val="36"/>
        </w:rPr>
        <w:t xml:space="preserve">5  LOOP Epoch Liability Model</w:t>
      </w:r>
    </w:p>
    <w:p>
      <w:pPr>
        <w:pBdr>
          <w:bottom w:val="single" w:color="2E7D9F" w:sz="4" w:space="1"/>
        </w:pBdr>
        <w:spacing w:before="160" w:after="160"/>
      </w:pPr>
    </w:p>
    <w:p>
      <w:pPr>
        <w:pStyle w:val="Heading2"/>
        <w:spacing w:before="280" w:after="120"/>
      </w:pPr>
      <w:r>
        <w:rPr>
          <w:rFonts w:ascii="Arial" w:cs="Arial" w:eastAsia="Arial" w:hAnsi="Arial"/>
          <w:b/>
          <w:bCs/>
          <w:color w:val="2E7D9F"/>
          <w:sz w:val="28"/>
          <w:szCs w:val="28"/>
        </w:rPr>
        <w:t xml:space="preserve">5.1  Epoch State Variables</w:t>
      </w:r>
    </w:p>
    <w:p>
      <w:pPr>
        <w:spacing w:before="80" w:after="80"/>
      </w:pPr>
      <w:r>
        <w:rPr>
          <w:rFonts w:ascii="Arial" w:cs="Arial" w:eastAsia="Arial" w:hAnsi="Arial"/>
          <w:b w:val="false"/>
          <w:bCs w:val="false"/>
          <w:i w:val="false"/>
          <w:iCs w:val="false"/>
          <w:color w:val="1A1A2E"/>
          <w:sz w:val="22"/>
          <w:szCs w:val="22"/>
        </w:rPr>
        <w:t xml:space="preserve">Each calendar month is an isolated Epoch (E) recording: LOOP_supply_E, Redemption_pool_E, Ratchet_pool_E, Redemption_price_E, Coverage_ratio_E. No values shared across epochs. Friction pool state tracked per vault, not per epoch.</w:t>
      </w:r>
    </w:p>
    <w:p>
      <w:pPr>
        <w:spacing w:before="80" w:after="0"/>
      </w:pPr>
    </w:p>
    <w:p>
      <w:pPr>
        <w:pStyle w:val="Heading2"/>
        <w:spacing w:before="280" w:after="120"/>
      </w:pPr>
      <w:r>
        <w:rPr>
          <w:rFonts w:ascii="Arial" w:cs="Arial" w:eastAsia="Arial" w:hAnsi="Arial"/>
          <w:b/>
          <w:bCs/>
          <w:color w:val="2E7D9F"/>
          <w:sz w:val="28"/>
          <w:szCs w:val="28"/>
        </w:rPr>
        <w:t xml:space="preserve">5.2  LOOP Minting Rule</w:t>
      </w:r>
    </w:p>
    <w:p>
      <w:pPr>
        <w:spacing w:before="80" w:after="80"/>
      </w:pPr>
      <w:r>
        <w:rPr>
          <w:rFonts w:ascii="Arial" w:cs="Arial" w:eastAsia="Arial" w:hAnsi="Arial"/>
          <w:b w:val="false"/>
          <w:bCs w:val="false"/>
          <w:i w:val="false"/>
          <w:iCs w:val="false"/>
          <w:color w:val="1A1A2E"/>
          <w:sz w:val="22"/>
          <w:szCs w:val="22"/>
        </w:rPr>
        <w:t xml:space="preserve">LOOP mints only when Realized_Profit_E &gt; 0, from the four investment income sources only. Friction pool yield is explicitly excluded. Minting is 1:1 with net profit after fee. No emission schedule. No speculative minting. All minting occurs on BSC regardless of which chain the user deposited from.</w:t>
      </w:r>
    </w:p>
    <w:p>
      <w:pPr>
        <w:spacing w:before="80" w:after="0"/>
      </w:pPr>
    </w:p>
    <w:p>
      <w:pPr>
        <w:pStyle w:val="Heading2"/>
        <w:spacing w:before="280" w:after="120"/>
      </w:pPr>
      <w:r>
        <w:rPr>
          <w:rFonts w:ascii="Arial" w:cs="Arial" w:eastAsia="Arial" w:hAnsi="Arial"/>
          <w:b/>
          <w:bCs/>
          <w:color w:val="2E7D9F"/>
          <w:sz w:val="28"/>
          <w:szCs w:val="28"/>
        </w:rPr>
        <w:t xml:space="preserve">5.3  Coverage Invariant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A" w:val="clear"/>
            <w:tcMar>
              <w:top w:type="dxa" w:w="160"/>
              <w:left w:type="dxa" w:w="240"/>
              <w:bottom w:type="dxa" w:w="160"/>
              <w:right w:type="dxa" w:w="240"/>
            </w:tcMar>
          </w:tcPr>
          <w:p>
            <w:pPr>
              <w:spacing w:before="60" w:after="60"/>
            </w:pPr>
            <w:r>
              <w:rPr>
                <w:rFonts w:ascii="Arial" w:cs="Arial" w:eastAsia="Arial" w:hAnsi="Arial"/>
                <w:b w:val="false"/>
                <w:bCs w:val="false"/>
                <w:color w:val="1A3A5C"/>
                <w:sz w:val="20"/>
                <w:szCs w:val="20"/>
              </w:rPr>
              <w:t xml:space="preserve">Coverage_ratio_E = Redemption_pool_E ÷ (LOOP_supply_E × Redemption_price_E)</w:t>
            </w:r>
          </w:p>
          <w:p>
            <w:pPr>
              <w:spacing w:before="60" w:after="60"/>
            </w:pPr>
            <w:r>
              <w:rPr>
                <w:rFonts w:ascii="Arial" w:cs="Arial" w:eastAsia="Arial" w:hAnsi="Arial"/>
                <w:b w:val="false"/>
                <w:bCs w:val="false"/>
                <w:color w:val="1A3A5C"/>
                <w:sz w:val="20"/>
                <w:szCs w:val="20"/>
              </w:rPr>
              <w:t xml:space="preserve"/>
            </w:r>
          </w:p>
          <w:p>
            <w:pPr>
              <w:spacing w:before="60" w:after="60"/>
            </w:pPr>
            <w:r>
              <w:rPr>
                <w:rFonts w:ascii="Arial" w:cs="Arial" w:eastAsia="Arial" w:hAnsi="Arial"/>
                <w:b/>
                <w:bCs/>
                <w:color w:val="1A3A5C"/>
                <w:sz w:val="20"/>
                <w:szCs w:val="20"/>
              </w:rPr>
              <w:t xml:space="preserve">Invariant: Coverage_ratio_E ≥ 1.0 at all times</w:t>
            </w:r>
          </w:p>
          <w:p>
            <w:pPr>
              <w:spacing w:before="60" w:after="60"/>
            </w:pPr>
            <w:r>
              <w:rPr>
                <w:rFonts w:ascii="Arial" w:cs="Arial" w:eastAsia="Arial" w:hAnsi="Arial"/>
                <w:b w:val="false"/>
                <w:bCs w:val="false"/>
                <w:color w:val="1A3A5C"/>
                <w:sz w:val="20"/>
                <w:szCs w:val="20"/>
              </w:rPr>
              <w:t xml:space="preserve">Redemption fails if post-execution Coverage_ratio_E &lt; 1.0</w:t>
            </w:r>
          </w:p>
        </w:tc>
      </w:tr>
    </w:tbl>
    <w:p>
      <w:pPr>
        <w:spacing w:before="80" w:after="0"/>
      </w:pPr>
    </w:p>
    <w:p>
      <w:pPr>
        <w:pStyle w:val="Heading2"/>
        <w:spacing w:before="280" w:after="120"/>
      </w:pPr>
      <w:r>
        <w:rPr>
          <w:rFonts w:ascii="Arial" w:cs="Arial" w:eastAsia="Arial" w:hAnsi="Arial"/>
          <w:b/>
          <w:bCs/>
          <w:color w:val="2E7D9F"/>
          <w:sz w:val="28"/>
          <w:szCs w:val="28"/>
        </w:rPr>
        <w:t xml:space="preserve">5.4  Friction Pool Segregation Invariant</w:t>
      </w:r>
    </w:p>
    <w:p>
      <w:pPr>
        <w:spacing w:before="80" w:after="80"/>
      </w:pPr>
      <w:r>
        <w:rPr>
          <w:rFonts w:ascii="Arial" w:cs="Arial" w:eastAsia="Arial" w:hAnsi="Arial"/>
          <w:b w:val="false"/>
          <w:bCs w:val="false"/>
          <w:i w:val="false"/>
          <w:iCs w:val="false"/>
          <w:color w:val="1A1A2E"/>
          <w:sz w:val="22"/>
          <w:szCs w:val="22"/>
        </w:rPr>
        <w:t xml:space="preserve">Friction Pool capital is fully segregated from vault AUM at all times. Never counted in vault value, never in Realized_Profit_E, never in coverage ratio calculations. Friction pool yield does not flow through the performance fee.</w:t>
      </w:r>
    </w:p>
    <w:p>
      <w:r>
        <w:br w:type="page"/>
      </w:r>
    </w:p>
    <w:p>
      <w:pPr>
        <w:pStyle w:val="Heading1"/>
        <w:spacing w:before="400" w:after="160"/>
      </w:pPr>
      <w:r>
        <w:rPr>
          <w:rFonts w:ascii="Arial" w:cs="Arial" w:eastAsia="Arial" w:hAnsi="Arial"/>
          <w:b/>
          <w:bCs/>
          <w:color w:val="1A3A5C"/>
          <w:sz w:val="36"/>
          <w:szCs w:val="36"/>
        </w:rPr>
        <w:t xml:space="preserve">6  Tiered Ratchet Growth Mechanism</w:t>
      </w:r>
    </w:p>
    <w:p>
      <w:pPr>
        <w:pBdr>
          <w:bottom w:val="single" w:color="2E7D9F" w:sz="4" w:space="1"/>
        </w:pBdr>
        <w:spacing w:before="160" w:after="160"/>
      </w:pPr>
    </w:p>
    <w:p>
      <w:pPr>
        <w:pStyle w:val="Heading2"/>
        <w:spacing w:before="280" w:after="120"/>
      </w:pPr>
      <w:r>
        <w:rPr>
          <w:rFonts w:ascii="Arial" w:cs="Arial" w:eastAsia="Arial" w:hAnsi="Arial"/>
          <w:b/>
          <w:bCs/>
          <w:color w:val="2E7D9F"/>
          <w:sz w:val="28"/>
          <w:szCs w:val="28"/>
        </w:rPr>
        <w:t xml:space="preserve">6.1  Micro-Tick Architecture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A" w:val="clear"/>
            <w:tcMar>
              <w:top w:type="dxa" w:w="160"/>
              <w:left w:type="dxa" w:w="240"/>
              <w:bottom w:type="dxa" w:w="160"/>
              <w:right w:type="dxa" w:w="240"/>
            </w:tcMar>
          </w:tcPr>
          <w:p>
            <w:pPr>
              <w:spacing w:before="60" w:after="60"/>
            </w:pPr>
            <w:r>
              <w:rPr>
                <w:rFonts w:ascii="Arial" w:cs="Arial" w:eastAsia="Arial" w:hAnsi="Arial"/>
                <w:b w:val="false"/>
                <w:bCs w:val="false"/>
                <w:color w:val="1A3A5C"/>
                <w:sz w:val="20"/>
                <w:szCs w:val="20"/>
              </w:rPr>
              <w:t xml:space="preserve">Micro_tick = 0.000025 USDT</w:t>
            </w:r>
          </w:p>
          <w:p>
            <w:pPr>
              <w:spacing w:before="60" w:after="60"/>
            </w:pPr>
            <w:r>
              <w:rPr>
                <w:rFonts w:ascii="Arial" w:cs="Arial" w:eastAsia="Arial" w:hAnsi="Arial"/>
                <w:b w:val="false"/>
                <w:bCs w:val="false"/>
                <w:color w:val="1A3A5C"/>
                <w:sz w:val="20"/>
                <w:szCs w:val="20"/>
              </w:rPr>
              <w:t xml:space="preserve">Redemption_price_E displayed at 6 decimal places</w:t>
            </w:r>
          </w:p>
          <w:p>
            <w:pPr>
              <w:spacing w:before="60" w:after="60"/>
            </w:pPr>
            <w:r>
              <w:rPr>
                <w:rFonts w:ascii="Arial" w:cs="Arial" w:eastAsia="Arial" w:hAnsi="Arial"/>
                <w:b w:val="false"/>
                <w:bCs w:val="false"/>
                <w:color w:val="1A3A5C"/>
                <w:sz w:val="20"/>
                <w:szCs w:val="20"/>
              </w:rPr>
              <w:t xml:space="preserve">Example progression: 1.000000 → 1.000025 → 1.000050 → ...</w:t>
            </w:r>
          </w:p>
          <w:p>
            <w:pPr>
              <w:spacing w:before="60" w:after="60"/>
            </w:pPr>
            <w:r>
              <w:rPr>
                <w:rFonts w:ascii="Arial" w:cs="Arial" w:eastAsia="Arial" w:hAnsi="Arial"/>
                <w:b/>
                <w:bCs/>
                <w:color w:val="1A3A5C"/>
                <w:sz w:val="20"/>
                <w:szCs w:val="20"/>
              </w:rPr>
              <w:t xml:space="preserve">1,000 LOOP: each micro-tick = +$0.025 redeemable value</w:t>
            </w:r>
          </w:p>
          <w:p>
            <w:pPr>
              <w:spacing w:before="60" w:after="60"/>
            </w:pPr>
            <w:r>
              <w:rPr>
                <w:rFonts w:ascii="Arial" w:cs="Arial" w:eastAsia="Arial" w:hAnsi="Arial"/>
                <w:b/>
                <w:bCs/>
                <w:color w:val="1A3A5C"/>
                <w:sz w:val="20"/>
                <w:szCs w:val="20"/>
              </w:rPr>
              <w:t xml:space="preserve">10,000 LOOP: each micro-tick = +$0.250 redeemable value</w:t>
            </w:r>
          </w:p>
        </w:tc>
      </w:tr>
    </w:tbl>
    <w:p>
      <w:pPr>
        <w:spacing w:before="80" w:after="0"/>
      </w:pPr>
    </w:p>
    <w:p>
      <w:pPr>
        <w:pStyle w:val="Heading2"/>
        <w:spacing w:before="280" w:after="120"/>
      </w:pPr>
      <w:r>
        <w:rPr>
          <w:rFonts w:ascii="Arial" w:cs="Arial" w:eastAsia="Arial" w:hAnsi="Arial"/>
          <w:b/>
          <w:bCs/>
          <w:color w:val="2E7D9F"/>
          <w:sz w:val="28"/>
          <w:szCs w:val="28"/>
        </w:rPr>
        <w:t xml:space="preserve">6.2  Three Surplus Tiers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Coverage Ratio</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Ticks / Evaluation</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USDT Increment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Below threshold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&lt; 1.02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0 (ratchet pauses)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 movement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Tier 1 — Micro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1.02 – 1.04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 tick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0.000025 USDT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Tier 2 — Standard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1.05 – 1.09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4 ticks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0.000100 USDT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Tier 3 — Accelerated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1.10 and above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10 ticks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0.000250 USDT</w:t>
            </w:r>
          </w:p>
        </w:tc>
      </w:tr>
    </w:tbl>
    <w:p>
      <w:pPr>
        <w:spacing w:before="80" w:after="0"/>
      </w:pPr>
    </w:p>
    <w:p>
      <w:pPr>
        <w:pStyle w:val="Heading2"/>
        <w:spacing w:before="280" w:after="120"/>
      </w:pPr>
      <w:r>
        <w:rPr>
          <w:rFonts w:ascii="Arial" w:cs="Arial" w:eastAsia="Arial" w:hAnsi="Arial"/>
          <w:b/>
          <w:bCs/>
          <w:color w:val="2E7D9F"/>
          <w:sz w:val="28"/>
          <w:szCs w:val="28"/>
        </w:rPr>
        <w:t xml:space="preserve">6.3  Non-Decreasing Guarantee</w:t>
      </w:r>
    </w:p>
    <w:p>
      <w:pPr>
        <w:spacing w:before="80" w:after="80"/>
      </w:pPr>
      <w:r>
        <w:rPr>
          <w:rFonts w:ascii="Arial" w:cs="Arial" w:eastAsia="Arial" w:hAnsi="Arial"/>
          <w:b w:val="false"/>
          <w:bCs w:val="false"/>
          <w:i w:val="false"/>
          <w:iCs w:val="false"/>
          <w:color w:val="1A1A2E"/>
          <w:sz w:val="22"/>
          <w:szCs w:val="22"/>
        </w:rPr>
        <w:t xml:space="preserve">Redemption_price_E may only increase or remain constant. It may never decrease under any condition — not in a bad month, not during a drawdown, not by governance vote. Enforced at the contract invariant level.</w:t>
      </w:r>
    </w:p>
    <w:p>
      <w:r>
        <w:br w:type="page"/>
      </w:r>
    </w:p>
    <w:p>
      <w:pPr>
        <w:pStyle w:val="Heading1"/>
        <w:spacing w:before="400" w:after="160"/>
      </w:pPr>
      <w:r>
        <w:rPr>
          <w:rFonts w:ascii="Arial" w:cs="Arial" w:eastAsia="Arial" w:hAnsi="Arial"/>
          <w:b/>
          <w:bCs/>
          <w:color w:val="1A3A5C"/>
          <w:sz w:val="36"/>
          <w:szCs w:val="36"/>
        </w:rPr>
        <w:t xml:space="preserve">7  Friction Pool Architecture</w:t>
      </w:r>
    </w:p>
    <w:p>
      <w:pPr>
        <w:pBdr>
          <w:bottom w:val="single" w:color="2E7D9F" w:sz="4" w:space="1"/>
        </w:pBdr>
        <w:spacing w:before="160" w:after="160"/>
      </w:pPr>
    </w:p>
    <w:p>
      <w:pPr>
        <w:spacing w:before="80" w:after="80"/>
      </w:pPr>
      <w:r>
        <w:rPr>
          <w:rFonts w:ascii="Arial" w:cs="Arial" w:eastAsia="Arial" w:hAnsi="Arial"/>
          <w:b w:val="false"/>
          <w:bCs w:val="false"/>
          <w:i w:val="false"/>
          <w:iCs w:val="false"/>
          <w:color w:val="1A1A2E"/>
          <w:sz w:val="22"/>
          <w:szCs w:val="22"/>
        </w:rPr>
        <w:t xml:space="preserve">The Friction Pool is a per-vault operational reserve that funds all protocol interaction costs, maintains itself through idle yield generation, and self-heals through a structured borrow-and-service mechanism when depleted. In v2.0, the Friction Pool also covers cross-chain bridge fees for spoke deposits and withdrawals.</w:t>
      </w:r>
    </w:p>
    <w:p>
      <w:pPr>
        <w:spacing w:before="80" w:after="0"/>
      </w:pPr>
    </w:p>
    <w:p>
      <w:pPr>
        <w:pStyle w:val="Heading2"/>
        <w:spacing w:before="280" w:after="120"/>
      </w:pPr>
      <w:r>
        <w:rPr>
          <w:rFonts w:ascii="Arial" w:cs="Arial" w:eastAsia="Arial" w:hAnsi="Arial"/>
          <w:b/>
          <w:bCs/>
          <w:color w:val="2E7D9F"/>
          <w:sz w:val="28"/>
          <w:szCs w:val="28"/>
        </w:rPr>
        <w:t xml:space="preserve">7.1  What the Friction Pool Covers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Cost Category</w:t>
            </w:r>
          </w:p>
        </w:tc>
        <w:tc>
          <w:tcPr>
            <w:tcW w:type="dxa" w:w="6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Transaction gas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BNB gas for all on-chain interactions on BSC Hub</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Cross-chain bridge fees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Stargate/LayerZero fees for spoke deposits and withdrawals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DEX swap fees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Entry and exit costs for passive income position management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Protocol interaction fees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Fees on Beefy, Alpaca, Ankr, pStake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LP rebalancing costs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Gas for range management at cycle boundaries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Emergency unwinding costs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Gas and slippage for emergency position closures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AI compute costs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GPT-4o-mini API usage for strategy optimization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Ratchet evaluation gas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Gas for monthly computation and on-chain price update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Redemption window gas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Gas for redemption execution on behalf of user</w:t>
            </w:r>
          </w:p>
        </w:tc>
      </w:tr>
    </w:tbl>
    <w:p>
      <w:pPr>
        <w:spacing w:before="80" w:after="0"/>
      </w:pPr>
    </w:p>
    <w:p>
      <w:pPr>
        <w:pStyle w:val="Heading2"/>
        <w:spacing w:before="280" w:after="120"/>
      </w:pPr>
      <w:r>
        <w:rPr>
          <w:rFonts w:ascii="Arial" w:cs="Arial" w:eastAsia="Arial" w:hAnsi="Arial"/>
          <w:b/>
          <w:bCs/>
          <w:color w:val="2E7D9F"/>
          <w:sz w:val="28"/>
          <w:szCs w:val="28"/>
        </w:rPr>
        <w:t xml:space="preserve">7.2  Adaptive Sizing Model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A" w:val="clear"/>
            <w:tcMar>
              <w:top w:type="dxa" w:w="160"/>
              <w:left w:type="dxa" w:w="240"/>
              <w:bottom w:type="dxa" w:w="160"/>
              <w:right w:type="dxa" w:w="240"/>
            </w:tcMar>
          </w:tcPr>
          <w:p>
            <w:pPr>
              <w:spacing w:before="60" w:after="60"/>
            </w:pPr>
            <w:r>
              <w:rPr>
                <w:rFonts w:ascii="Arial" w:cs="Arial" w:eastAsia="Arial" w:hAnsi="Arial"/>
                <w:b w:val="false"/>
                <w:bCs w:val="false"/>
                <w:color w:val="1A3A5C"/>
                <w:sz w:val="20"/>
                <w:szCs w:val="20"/>
              </w:rPr>
              <w:t xml:space="preserve">Target_balance = max(AUM_band_minimum, Avg_monthly_friction_spend × 2.0)</w:t>
            </w:r>
          </w:p>
          <w:p>
            <w:pPr>
              <w:spacing w:before="60" w:after="60"/>
            </w:pPr>
            <w:r>
              <w:rPr>
                <w:rFonts w:ascii="Arial" w:cs="Arial" w:eastAsia="Arial" w:hAnsi="Arial"/>
                <w:b w:val="false"/>
                <w:bCs w:val="false"/>
                <w:color w:val="1A3A5C"/>
                <w:sz w:val="20"/>
                <w:szCs w:val="20"/>
              </w:rPr>
              <w:t xml:space="preserve"/>
            </w:r>
          </w:p>
          <w:p>
            <w:pPr>
              <w:spacing w:before="60" w:after="60"/>
            </w:pPr>
            <w:r>
              <w:rPr>
                <w:rFonts w:ascii="Arial" w:cs="Arial" w:eastAsia="Arial" w:hAnsi="Arial"/>
                <w:b/>
                <w:bCs/>
                <w:color w:val="1A3A5C"/>
                <w:sz w:val="20"/>
                <w:szCs w:val="20"/>
              </w:rPr>
              <w:t xml:space="preserve">AUM Band Minimums (used until 3 cycles of history):</w:t>
            </w:r>
          </w:p>
          <w:p>
            <w:pPr>
              <w:spacing w:before="60" w:after="60"/>
            </w:pPr>
            <w:r>
              <w:rPr>
                <w:rFonts w:ascii="Arial" w:cs="Arial" w:eastAsia="Arial" w:hAnsi="Arial"/>
                <w:b/>
                <w:bCs/>
                <w:color w:val="1A3A5C"/>
                <w:sz w:val="20"/>
                <w:szCs w:val="20"/>
              </w:rPr>
              <w:t xml:space="preserve">  AUM &lt; $1,000:              $10 USDT</w:t>
            </w:r>
          </w:p>
          <w:p>
            <w:pPr>
              <w:spacing w:before="60" w:after="60"/>
            </w:pPr>
            <w:r>
              <w:rPr>
                <w:rFonts w:ascii="Arial" w:cs="Arial" w:eastAsia="Arial" w:hAnsi="Arial"/>
                <w:b/>
                <w:bCs/>
                <w:color w:val="1A3A5C"/>
                <w:sz w:val="20"/>
                <w:szCs w:val="20"/>
              </w:rPr>
              <w:t xml:space="preserve">  AUM $1,000 – $5,000:       $15 USDT</w:t>
            </w:r>
          </w:p>
          <w:p>
            <w:pPr>
              <w:spacing w:before="60" w:after="60"/>
            </w:pPr>
            <w:r>
              <w:rPr>
                <w:rFonts w:ascii="Arial" w:cs="Arial" w:eastAsia="Arial" w:hAnsi="Arial"/>
                <w:b/>
                <w:bCs/>
                <w:color w:val="1A3A5C"/>
                <w:sz w:val="20"/>
                <w:szCs w:val="20"/>
              </w:rPr>
              <w:t xml:space="preserve">  AUM $5,000 – $20,000:      $25 USDT</w:t>
            </w:r>
          </w:p>
          <w:p>
            <w:pPr>
              <w:spacing w:before="60" w:after="60"/>
            </w:pPr>
            <w:r>
              <w:rPr>
                <w:rFonts w:ascii="Arial" w:cs="Arial" w:eastAsia="Arial" w:hAnsi="Arial"/>
                <w:b/>
                <w:bCs/>
                <w:color w:val="1A3A5C"/>
                <w:sz w:val="20"/>
                <w:szCs w:val="20"/>
              </w:rPr>
              <w:t xml:space="preserve">  AUM $20,000 – $100,000:    $50 USDT</w:t>
            </w:r>
          </w:p>
          <w:p>
            <w:pPr>
              <w:spacing w:before="60" w:after="60"/>
            </w:pPr>
            <w:r>
              <w:rPr>
                <w:rFonts w:ascii="Arial" w:cs="Arial" w:eastAsia="Arial" w:hAnsi="Arial"/>
                <w:b/>
                <w:bCs/>
                <w:color w:val="1A3A5C"/>
                <w:sz w:val="20"/>
                <w:szCs w:val="20"/>
              </w:rPr>
              <w:t xml:space="preserve">  AUM &gt; $100,000:            $100 USDT + $10 per additional $50k AUM</w:t>
            </w:r>
          </w:p>
          <w:p>
            <w:pPr>
              <w:spacing w:before="60" w:after="60"/>
            </w:pPr>
            <w:r>
              <w:rPr>
                <w:rFonts w:ascii="Arial" w:cs="Arial" w:eastAsia="Arial" w:hAnsi="Arial"/>
                <w:b w:val="false"/>
                <w:bCs w:val="false"/>
                <w:color w:val="1A3A5C"/>
                <w:sz w:val="20"/>
                <w:szCs w:val="20"/>
              </w:rPr>
              <w:t xml:space="preserve"/>
            </w:r>
          </w:p>
          <w:p>
            <w:pPr>
              <w:spacing w:before="60" w:after="60"/>
            </w:pPr>
            <w:r>
              <w:rPr>
                <w:rFonts w:ascii="Arial" w:cs="Arial" w:eastAsia="Arial" w:hAnsi="Arial"/>
                <w:b/>
                <w:bCs/>
                <w:color w:val="1A3A5C"/>
                <w:sz w:val="20"/>
                <w:szCs w:val="20"/>
              </w:rPr>
              <w:t xml:space="preserve">After 3 cycles: Target = max(AUM_band_minimum, Avg_monthly_spend × 2.0)</w:t>
            </w:r>
          </w:p>
          <w:p>
            <w:pPr>
              <w:spacing w:before="60" w:after="60"/>
            </w:pPr>
            <w:r>
              <w:rPr>
                <w:rFonts w:ascii="Arial" w:cs="Arial" w:eastAsia="Arial" w:hAnsi="Arial"/>
                <w:b w:val="false"/>
                <w:bCs w:val="false"/>
                <w:color w:val="1A3A5C"/>
                <w:sz w:val="20"/>
                <w:szCs w:val="20"/>
              </w:rPr>
              <w:t xml:space="preserve">System never holds materially more than 60 days of projected spend</w:t>
            </w:r>
          </w:p>
        </w:tc>
      </w:tr>
    </w:tbl>
    <w:p>
      <w:pPr>
        <w:spacing w:before="80" w:after="0"/>
      </w:pPr>
    </w:p>
    <w:p>
      <w:pPr>
        <w:pStyle w:val="Heading2"/>
        <w:spacing w:before="280" w:after="120"/>
      </w:pPr>
      <w:r>
        <w:rPr>
          <w:rFonts w:ascii="Arial" w:cs="Arial" w:eastAsia="Arial" w:hAnsi="Arial"/>
          <w:b/>
          <w:bCs/>
          <w:color w:val="2E7D9F"/>
          <w:sz w:val="28"/>
          <w:szCs w:val="28"/>
        </w:rPr>
        <w:t xml:space="preserve">7.3  Borrow Priority Order</w:t>
      </w:r>
    </w:p>
    <w:p>
      <w:pPr>
        <w:spacing w:before="80" w:after="80"/>
      </w:pPr>
      <w:r>
        <w:rPr>
          <w:rFonts w:ascii="Arial" w:cs="Arial" w:eastAsia="Arial" w:hAnsi="Arial"/>
          <w:b w:val="false"/>
          <w:bCs w:val="false"/>
          <w:i w:val="false"/>
          <w:iCs w:val="false"/>
          <w:color w:val="1A1A2E"/>
          <w:sz w:val="22"/>
          <w:szCs w:val="22"/>
        </w:rPr>
        <w:t xml:space="preserve">When the liquid buffer is insufficient to cover an operational cost, the system borrows automatically in this order:</w:t>
      </w:r>
    </w:p>
    <w:p>
      <w:pPr>
        <w:pStyle w:val="ListParagraph"/>
        <w:numPr>
          <w:ilvl w:val="0"/>
          <w:numId w:val="2"/>
        </w:numPr>
        <w:spacing w:before="60" w:after="60"/>
      </w:pPr>
      <w:r>
        <w:rPr>
          <w:rFonts w:ascii="Arial" w:cs="Arial" w:eastAsia="Arial" w:hAnsi="Arial"/>
          <w:color w:val="1A1A2E"/>
          <w:sz w:val="22"/>
          <w:szCs w:val="22"/>
        </w:rPr>
        <w:t xml:space="preserve">Source 1: User's unrealized USDT claim balance</w:t>
      </w:r>
    </w:p>
    <w:p>
      <w:pPr>
        <w:pStyle w:val="ListParagraph"/>
        <w:numPr>
          <w:ilvl w:val="0"/>
          <w:numId w:val="2"/>
        </w:numPr>
        <w:spacing w:before="60" w:after="60"/>
      </w:pPr>
      <w:r>
        <w:rPr>
          <w:rFonts w:ascii="Arial" w:cs="Arial" w:eastAsia="Arial" w:hAnsi="Arial"/>
          <w:color w:val="1A1A2E"/>
          <w:sz w:val="22"/>
          <w:szCs w:val="22"/>
        </w:rPr>
        <w:t xml:space="preserve">Source 2: User's Ratchet_pool_E share (up to 20% of user's share)</w:t>
      </w:r>
    </w:p>
    <w:p>
      <w:pPr>
        <w:pStyle w:val="ListParagraph"/>
        <w:numPr>
          <w:ilvl w:val="0"/>
          <w:numId w:val="2"/>
        </w:numPr>
        <w:spacing w:before="60" w:after="60"/>
      </w:pPr>
      <w:r>
        <w:rPr>
          <w:rFonts w:ascii="Arial" w:cs="Arial" w:eastAsia="Arial" w:hAnsi="Arial"/>
          <w:color w:val="1A1A2E"/>
          <w:sz w:val="22"/>
          <w:szCs w:val="22"/>
        </w:rPr>
        <w:t xml:space="preserve">Source 3: Protocol credit line (System Vault funded)</w:t>
      </w:r>
    </w:p>
    <w:p>
      <w:pPr>
        <w:pStyle w:val="ListParagraph"/>
        <w:numPr>
          <w:ilvl w:val="0"/>
          <w:numId w:val="2"/>
        </w:numPr>
        <w:spacing w:before="60" w:after="60"/>
      </w:pPr>
      <w:r>
        <w:rPr>
          <w:rFonts w:ascii="Arial" w:cs="Arial" w:eastAsia="Arial" w:hAnsi="Arial"/>
          <w:color w:val="1A1A2E"/>
          <w:sz w:val="22"/>
          <w:szCs w:val="22"/>
        </w:rPr>
        <w:t xml:space="preserve">If all insufficient: vault pauses, user must top up manually</w:t>
      </w:r>
    </w:p>
    <w:p>
      <w:pPr>
        <w:spacing w:before="80" w:after="80"/>
      </w:pPr>
      <w:r>
        <w:rPr>
          <w:rFonts w:ascii="Arial" w:cs="Arial" w:eastAsia="Arial" w:hAnsi="Arial"/>
          <w:b w:val="false"/>
          <w:bCs w:val="false"/>
          <w:i w:val="false"/>
          <w:iCs w:val="false"/>
          <w:color w:val="1A1A2E"/>
          <w:sz w:val="22"/>
          <w:szCs w:val="22"/>
        </w:rPr>
        <w:t xml:space="preserve">Hard cap: Total_Friction_Debt ≤ 5% of Vault_AUM at all times. Exceeding cap: vault pauses immediately.</w:t>
      </w:r>
    </w:p>
    <w:p>
      <w:pPr>
        <w:spacing w:before="80" w:after="0"/>
      </w:pPr>
    </w:p>
    <w:p>
      <w:pPr>
        <w:pStyle w:val="Heading2"/>
        <w:spacing w:before="280" w:after="120"/>
      </w:pPr>
      <w:r>
        <w:rPr>
          <w:rFonts w:ascii="Arial" w:cs="Arial" w:eastAsia="Arial" w:hAnsi="Arial"/>
          <w:b/>
          <w:bCs/>
          <w:color w:val="2E7D9F"/>
          <w:sz w:val="28"/>
          <w:szCs w:val="28"/>
        </w:rPr>
        <w:t xml:space="preserve">7.4  Debt Servicing Mechanisms</w:t>
      </w:r>
    </w:p>
    <w:p>
      <w:pPr>
        <w:spacing w:before="80" w:after="80"/>
      </w:pPr>
      <w:r>
        <w:rPr>
          <w:rFonts w:ascii="Arial" w:cs="Arial" w:eastAsia="Arial" w:hAnsi="Arial"/>
          <w:b w:val="false"/>
          <w:bCs w:val="false"/>
          <w:i w:val="false"/>
          <w:iCs w:val="false"/>
          <w:color w:val="1A1A2E"/>
          <w:sz w:val="22"/>
          <w:szCs w:val="22"/>
        </w:rPr>
        <w:t xml:space="preserve">Three mechanisms exist in order of precedence: (1) Automatic profit confiscation at cycle close — outstanding debt plus interest is deducted before any LOOP is minted or USDT credited. (2) Voluntary repayment — user may top up and earmark excess as debt repayment at any time. (3) Withdrawal intercept — if a withdrawal is requested before debt is cleared, the outstanding amount is deducted from proceeds before release.</w:t>
      </w:r>
    </w:p>
    <w:p>
      <w:pPr>
        <w:spacing w:before="80" w:after="80"/>
      </w:pPr>
      <w:r>
        <w:rPr>
          <w:rFonts w:ascii="Arial" w:cs="Arial" w:eastAsia="Arial" w:hAnsi="Arial"/>
          <w:b w:val="false"/>
          <w:bCs w:val="false"/>
          <w:i w:val="false"/>
          <w:iCs w:val="false"/>
          <w:color w:val="1A1A2E"/>
          <w:sz w:val="22"/>
          <w:szCs w:val="22"/>
        </w:rPr>
        <w:t xml:space="preserve">Friction debt is a protocol obligation. It cannot be waived by governance vote, AI decision, admin action, or user request. This is a hard invariant.</w:t>
      </w:r>
    </w:p>
    <w:p>
      <w:r>
        <w:br w:type="page"/>
      </w:r>
    </w:p>
    <w:p>
      <w:pPr>
        <w:pStyle w:val="Heading1"/>
        <w:spacing w:before="400" w:after="160"/>
      </w:pPr>
      <w:r>
        <w:rPr>
          <w:rFonts w:ascii="Arial" w:cs="Arial" w:eastAsia="Arial" w:hAnsi="Arial"/>
          <w:b/>
          <w:bCs/>
          <w:color w:val="1A3A5C"/>
          <w:sz w:val="36"/>
          <w:szCs w:val="36"/>
        </w:rPr>
        <w:t xml:space="preserve">8  Performance Fee Allocation &amp; Treasury Policy</w:t>
      </w:r>
    </w:p>
    <w:p>
      <w:pPr>
        <w:pBdr>
          <w:bottom w:val="single" w:color="2E7D9F" w:sz="4" w:space="1"/>
        </w:pBdr>
        <w:spacing w:before="160" w:after="16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A" w:val="clear"/>
            <w:tcMar>
              <w:top w:type="dxa" w:w="160"/>
              <w:left w:type="dxa" w:w="240"/>
              <w:bottom w:type="dxa" w:w="160"/>
              <w:right w:type="dxa" w:w="240"/>
            </w:tcMar>
          </w:tcPr>
          <w:p>
            <w:pPr>
              <w:spacing w:before="60" w:after="60"/>
            </w:pPr>
            <w:r>
              <w:rPr>
                <w:rFonts w:ascii="Arial" w:cs="Arial" w:eastAsia="Arial" w:hAnsi="Arial"/>
                <w:b w:val="false"/>
                <w:bCs w:val="false"/>
                <w:color w:val="1A3A5C"/>
                <w:sz w:val="20"/>
                <w:szCs w:val="20"/>
              </w:rPr>
              <w:t xml:space="preserve">Performance_Fee_E = Realized_Profit_E × 0.10</w:t>
            </w:r>
          </w:p>
          <w:p>
            <w:pPr>
              <w:spacing w:before="60" w:after="60"/>
            </w:pPr>
            <w:r>
              <w:rPr>
                <w:rFonts w:ascii="Arial" w:cs="Arial" w:eastAsia="Arial" w:hAnsi="Arial"/>
                <w:b w:val="false"/>
                <w:bCs w:val="false"/>
                <w:color w:val="1A3A5C"/>
                <w:sz w:val="20"/>
                <w:szCs w:val="20"/>
              </w:rPr>
              <w:t xml:space="preserve"/>
            </w:r>
          </w:p>
          <w:p>
            <w:pPr>
              <w:spacing w:before="60" w:after="60"/>
            </w:pPr>
            <w:r>
              <w:rPr>
                <w:rFonts w:ascii="Arial" w:cs="Arial" w:eastAsia="Arial" w:hAnsi="Arial"/>
                <w:b/>
                <w:bCs/>
                <w:color w:val="1A3A5C"/>
                <w:sz w:val="20"/>
                <w:szCs w:val="20"/>
              </w:rPr>
              <w:t xml:space="preserve">Applies to: Trading + LP (net) + Stablecoin Vaults + BNB Staking</w:t>
            </w:r>
          </w:p>
          <w:p>
            <w:pPr>
              <w:spacing w:before="60" w:after="60"/>
            </w:pPr>
            <w:r>
              <w:rPr>
                <w:rFonts w:ascii="Arial" w:cs="Arial" w:eastAsia="Arial" w:hAnsi="Arial"/>
                <w:b/>
                <w:bCs/>
                <w:color w:val="1A3A5C"/>
                <w:sz w:val="20"/>
                <w:szCs w:val="20"/>
              </w:rPr>
              <w:t xml:space="preserve">Excluded: Friction Pool yield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c>
          <w:tcPr>
            <w:tcW w:type="dxa" w:w="4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Ratchet_pool_E (epoch-specific)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60%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Isolated per epoch — funds floor appreciation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Operations &amp; Development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Protocol maintenance, engineering, infrastructure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Marketing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Includes Referral Pool (40% of marketing allocation)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LoopLab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Real-world impact funded from real surplus — not emissions</w:t>
            </w:r>
          </w:p>
        </w:tc>
      </w:tr>
    </w:tbl>
    <w:p>
      <w:r>
        <w:br w:type="page"/>
      </w:r>
    </w:p>
    <w:p>
      <w:pPr>
        <w:pStyle w:val="Heading1"/>
        <w:spacing w:before="400" w:after="160"/>
      </w:pPr>
      <w:r>
        <w:rPr>
          <w:rFonts w:ascii="Arial" w:cs="Arial" w:eastAsia="Arial" w:hAnsi="Arial"/>
          <w:b/>
          <w:bCs/>
          <w:color w:val="1A3A5C"/>
          <w:sz w:val="36"/>
          <w:szCs w:val="36"/>
        </w:rPr>
        <w:t xml:space="preserve">9  Tiered Holding Periods &amp; Early Redemption</w:t>
      </w:r>
    </w:p>
    <w:p>
      <w:pPr>
        <w:pBdr>
          <w:bottom w:val="single" w:color="2E7D9F" w:sz="4" w:space="1"/>
        </w:pBdr>
        <w:spacing w:before="160" w:after="160"/>
      </w:pPr>
    </w:p>
    <w:p>
      <w:pPr>
        <w:pStyle w:val="Heading2"/>
        <w:spacing w:before="280" w:after="120"/>
      </w:pPr>
      <w:r>
        <w:rPr>
          <w:rFonts w:ascii="Arial" w:cs="Arial" w:eastAsia="Arial" w:hAnsi="Arial"/>
          <w:b/>
          <w:bCs/>
          <w:color w:val="2E7D9F"/>
          <w:sz w:val="28"/>
          <w:szCs w:val="28"/>
        </w:rPr>
        <w:t xml:space="preserve">9.1  Standard Holding Tiers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LOOP Balance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Hold Period</w:t>
            </w:r>
          </w:p>
        </w:tc>
        <w:tc>
          <w:tcPr>
            <w:tcW w:type="dxa" w:w="3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Micro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&lt; 500 LOOP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45 days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Retail accessible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Standard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500 – 4,999 LOOP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75 days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Balanced flexibility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Extended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5,000 – 24,999 LOOP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90 days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Original 3-month discipline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Institutional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25,000+ LOOP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120 days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Material liability impact</w:t>
            </w:r>
          </w:p>
        </w:tc>
      </w:tr>
    </w:tbl>
    <w:p>
      <w:pPr>
        <w:spacing w:before="80" w:after="0"/>
      </w:pPr>
    </w:p>
    <w:p>
      <w:pPr>
        <w:pStyle w:val="Heading2"/>
        <w:spacing w:before="280" w:after="120"/>
      </w:pPr>
      <w:r>
        <w:rPr>
          <w:rFonts w:ascii="Arial" w:cs="Arial" w:eastAsia="Arial" w:hAnsi="Arial"/>
          <w:b/>
          <w:bCs/>
          <w:color w:val="2E7D9F"/>
          <w:sz w:val="28"/>
          <w:szCs w:val="28"/>
        </w:rPr>
        <w:t xml:space="preserve">9.2  Early Redemption — Penalty Structure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00"/>
        <w:gridCol w:w="31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Days Remaining</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Penalty Rate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 (price = $1.05)</w:t>
            </w:r>
          </w:p>
        </w:tc>
        <w:tc>
          <w:tcPr>
            <w:tcW w:type="dxa" w:w="3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Routes To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61+ days early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User receives $0.8925 / LOOP</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Ratchet_pool_E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31–60 days early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User receives $0.9450 / LOOP</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Ratchet_pool_E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11–30 days early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User receives $0.9975 / LOOP</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Ratchet_pool_E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1–10 days early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User receives $1.0290 / LOOP</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Ratchet_pool_E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0 days (eligible)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User receives $1.0500 / LOOP</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N/A</w:t>
            </w:r>
          </w:p>
        </w:tc>
      </w:tr>
    </w:tbl>
    <w:p>
      <w:pPr>
        <w:spacing w:before="80" w:after="0"/>
      </w:pPr>
    </w:p>
    <w:p>
      <w:pPr>
        <w:spacing w:before="80" w:after="80"/>
      </w:pPr>
      <w:r>
        <w:rPr>
          <w:rFonts w:ascii="Arial" w:cs="Arial" w:eastAsia="Arial" w:hAnsi="Arial"/>
          <w:b w:val="false"/>
          <w:bCs w:val="false"/>
          <w:i w:val="false"/>
          <w:iCs w:val="false"/>
          <w:color w:val="1A1A2E"/>
          <w:sz w:val="22"/>
          <w:szCs w:val="22"/>
        </w:rPr>
        <w:t xml:space="preserve">Early exit penalties route 100% to Ratchet_pool_E. This is structurally positive for remaining holders: ratchet pool grows, LOOP supply shrinks, future ticks become cheaper. Early exits strengthen remaining positions.</w:t>
      </w:r>
    </w:p>
    <w:p>
      <w:r>
        <w:br w:type="page"/>
      </w:r>
    </w:p>
    <w:p>
      <w:pPr>
        <w:pStyle w:val="Heading1"/>
        <w:spacing w:before="400" w:after="160"/>
      </w:pPr>
      <w:r>
        <w:rPr>
          <w:rFonts w:ascii="Arial" w:cs="Arial" w:eastAsia="Arial" w:hAnsi="Arial"/>
          <w:b/>
          <w:bCs/>
          <w:color w:val="1A3A5C"/>
          <w:sz w:val="36"/>
          <w:szCs w:val="36"/>
        </w:rPr>
        <w:t xml:space="preserve">10  AI Governance &amp; Control Boundaries</w:t>
      </w:r>
    </w:p>
    <w:p>
      <w:pPr>
        <w:pBdr>
          <w:bottom w:val="single" w:color="2E7D9F" w:sz="4" w:space="1"/>
        </w:pBdr>
        <w:spacing w:before="160" w:after="160"/>
      </w:pPr>
    </w:p>
    <w:p>
      <w:pPr>
        <w:pStyle w:val="Heading2"/>
        <w:spacing w:before="280" w:after="120"/>
      </w:pPr>
      <w:r>
        <w:rPr>
          <w:rFonts w:ascii="Arial" w:cs="Arial" w:eastAsia="Arial" w:hAnsi="Arial"/>
          <w:b/>
          <w:bCs/>
          <w:color w:val="2E7D9F"/>
          <w:sz w:val="28"/>
          <w:szCs w:val="28"/>
        </w:rPr>
        <w:t xml:space="preserve">10.1  AI May</w:t>
      </w:r>
    </w:p>
    <w:p>
      <w:pPr>
        <w:pStyle w:val="ListParagraph"/>
        <w:numPr>
          <w:ilvl w:val="0"/>
          <w:numId w:val="2"/>
        </w:numPr>
        <w:spacing w:before="60" w:after="60"/>
      </w:pPr>
      <w:r>
        <w:rPr>
          <w:rFonts w:ascii="Arial" w:cs="Arial" w:eastAsia="Arial" w:hAnsi="Arial"/>
          <w:color w:val="1A1A2E"/>
          <w:sz w:val="22"/>
          <w:szCs w:val="22"/>
        </w:rPr>
        <w:t xml:space="preserve">Propose and adjust trade parameters, LP ranges, vault allocations, BNB staking split within approved bounds</w:t>
      </w:r>
    </w:p>
    <w:p>
      <w:pPr>
        <w:pStyle w:val="ListParagraph"/>
        <w:numPr>
          <w:ilvl w:val="0"/>
          <w:numId w:val="2"/>
        </w:numPr>
        <w:spacing w:before="60" w:after="60"/>
      </w:pPr>
      <w:r>
        <w:rPr>
          <w:rFonts w:ascii="Arial" w:cs="Arial" w:eastAsia="Arial" w:hAnsi="Arial"/>
          <w:color w:val="1A1A2E"/>
          <w:sz w:val="22"/>
          <w:szCs w:val="22"/>
        </w:rPr>
        <w:t xml:space="preserve">Propose friction pool idle deployment allocation (stablecoin vault vs BNB staking)</w:t>
      </w:r>
    </w:p>
    <w:p>
      <w:pPr>
        <w:pStyle w:val="ListParagraph"/>
        <w:numPr>
          <w:ilvl w:val="0"/>
          <w:numId w:val="2"/>
        </w:numPr>
        <w:spacing w:before="60" w:after="60"/>
      </w:pPr>
      <w:r>
        <w:rPr>
          <w:rFonts w:ascii="Arial" w:cs="Arial" w:eastAsia="Arial" w:hAnsi="Arial"/>
          <w:color w:val="1A1A2E"/>
          <w:sz w:val="22"/>
          <w:szCs w:val="22"/>
        </w:rPr>
        <w:t xml:space="preserve">Flag underperforming positions, out-of-range LP, anomalies across all sources</w:t>
      </w:r>
    </w:p>
    <w:p>
      <w:pPr>
        <w:pStyle w:val="ListParagraph"/>
        <w:numPr>
          <w:ilvl w:val="0"/>
          <w:numId w:val="2"/>
        </w:numPr>
        <w:spacing w:before="60" w:after="60"/>
      </w:pPr>
      <w:r>
        <w:rPr>
          <w:rFonts w:ascii="Arial" w:cs="Arial" w:eastAsia="Arial" w:hAnsi="Arial"/>
          <w:color w:val="1A1A2E"/>
          <w:sz w:val="22"/>
          <w:szCs w:val="22"/>
        </w:rPr>
        <w:t xml:space="preserve">Recommend pauses under abnormal conditions</w:t>
      </w:r>
    </w:p>
    <w:p>
      <w:pPr>
        <w:pStyle w:val="ListParagraph"/>
        <w:numPr>
          <w:ilvl w:val="0"/>
          <w:numId w:val="2"/>
        </w:numPr>
        <w:spacing w:before="60" w:after="60"/>
      </w:pPr>
      <w:r>
        <w:rPr>
          <w:rFonts w:ascii="Arial" w:cs="Arial" w:eastAsia="Arial" w:hAnsi="Arial"/>
          <w:color w:val="1A1A2E"/>
          <w:sz w:val="22"/>
          <w:szCs w:val="22"/>
        </w:rPr>
        <w:t xml:space="preserve">Receive structured JSON inputs — vault AUM, volatility metrics, LP APR, IL estimates, stablecoin APY, friction pool balance</w:t>
      </w:r>
    </w:p>
    <w:p>
      <w:pPr>
        <w:spacing w:before="80" w:after="0"/>
      </w:pPr>
    </w:p>
    <w:p>
      <w:pPr>
        <w:pStyle w:val="Heading2"/>
        <w:spacing w:before="280" w:after="120"/>
      </w:pPr>
      <w:r>
        <w:rPr>
          <w:rFonts w:ascii="Arial" w:cs="Arial" w:eastAsia="Arial" w:hAnsi="Arial"/>
          <w:b/>
          <w:bCs/>
          <w:color w:val="2E7D9F"/>
          <w:sz w:val="28"/>
          <w:szCs w:val="28"/>
        </w:rPr>
        <w:t xml:space="preserve">10.2  AI May Not</w:t>
      </w:r>
    </w:p>
    <w:p>
      <w:pPr>
        <w:pStyle w:val="ListParagraph"/>
        <w:numPr>
          <w:ilvl w:val="0"/>
          <w:numId w:val="2"/>
        </w:numPr>
        <w:spacing w:before="60" w:after="60"/>
      </w:pPr>
      <w:r>
        <w:rPr>
          <w:rFonts w:ascii="Arial" w:cs="Arial" w:eastAsia="Arial" w:hAnsi="Arial"/>
          <w:color w:val="1A1A2E"/>
          <w:sz w:val="22"/>
          <w:szCs w:val="22"/>
        </w:rPr>
        <w:t xml:space="preserve">Mint LOOP, change fees, modify redemption formulas, cross-subsidize epochs</w:t>
      </w:r>
    </w:p>
    <w:p>
      <w:pPr>
        <w:pStyle w:val="ListParagraph"/>
        <w:numPr>
          <w:ilvl w:val="0"/>
          <w:numId w:val="2"/>
        </w:numPr>
        <w:spacing w:before="60" w:after="60"/>
      </w:pPr>
      <w:r>
        <w:rPr>
          <w:rFonts w:ascii="Arial" w:cs="Arial" w:eastAsia="Arial" w:hAnsi="Arial"/>
          <w:color w:val="1A1A2E"/>
          <w:sz w:val="22"/>
          <w:szCs w:val="22"/>
        </w:rPr>
        <w:t xml:space="preserve">Override coverage invariants or the non-decreasing ratchet guarantee</w:t>
      </w:r>
    </w:p>
    <w:p>
      <w:pPr>
        <w:pStyle w:val="ListParagraph"/>
        <w:numPr>
          <w:ilvl w:val="0"/>
          <w:numId w:val="2"/>
        </w:numPr>
        <w:spacing w:before="60" w:after="60"/>
      </w:pPr>
      <w:r>
        <w:rPr>
          <w:rFonts w:ascii="Arial" w:cs="Arial" w:eastAsia="Arial" w:hAnsi="Arial"/>
          <w:color w:val="1A1A2E"/>
          <w:sz w:val="22"/>
          <w:szCs w:val="22"/>
        </w:rPr>
        <w:t xml:space="preserve">Use leverage in any deployment including friction pool</w:t>
      </w:r>
    </w:p>
    <w:p>
      <w:pPr>
        <w:pStyle w:val="ListParagraph"/>
        <w:numPr>
          <w:ilvl w:val="0"/>
          <w:numId w:val="2"/>
        </w:numPr>
        <w:spacing w:before="60" w:after="60"/>
      </w:pPr>
      <w:r>
        <w:rPr>
          <w:rFonts w:ascii="Arial" w:cs="Arial" w:eastAsia="Arial" w:hAnsi="Arial"/>
          <w:color w:val="1A1A2E"/>
          <w:sz w:val="22"/>
          <w:szCs w:val="22"/>
        </w:rPr>
        <w:t xml:space="preserve">Deposit to unapproved platforms or execute mid-cycle reallocation</w:t>
      </w:r>
    </w:p>
    <w:p>
      <w:pPr>
        <w:pStyle w:val="ListParagraph"/>
        <w:numPr>
          <w:ilvl w:val="0"/>
          <w:numId w:val="2"/>
        </w:numPr>
        <w:spacing w:before="60" w:after="60"/>
      </w:pPr>
      <w:r>
        <w:rPr>
          <w:rFonts w:ascii="Arial" w:cs="Arial" w:eastAsia="Arial" w:hAnsi="Arial"/>
          <w:color w:val="1A1A2E"/>
          <w:sz w:val="22"/>
          <w:szCs w:val="22"/>
        </w:rPr>
        <w:t xml:space="preserve">Authorize friction pool borrowing beyond defined limits or waive friction debt terms</w:t>
      </w:r>
    </w:p>
    <w:p>
      <w:pPr>
        <w:pStyle w:val="ListParagraph"/>
        <w:numPr>
          <w:ilvl w:val="0"/>
          <w:numId w:val="2"/>
        </w:numPr>
        <w:spacing w:before="60" w:after="60"/>
      </w:pPr>
      <w:r>
        <w:rPr>
          <w:rFonts w:ascii="Arial" w:cs="Arial" w:eastAsia="Arial" w:hAnsi="Arial"/>
          <w:color w:val="1A1A2E"/>
          <w:sz w:val="22"/>
          <w:szCs w:val="22"/>
        </w:rPr>
        <w:t xml:space="preserve">Override any hard-coded invariant regardless of instruction source</w:t>
      </w:r>
    </w:p>
    <w:p>
      <w:pPr>
        <w:spacing w:before="80" w:after="0"/>
      </w:pPr>
    </w:p>
    <w:p>
      <w:pPr>
        <w:pStyle w:val="Heading2"/>
        <w:spacing w:before="280" w:after="120"/>
      </w:pPr>
      <w:r>
        <w:rPr>
          <w:rFonts w:ascii="Arial" w:cs="Arial" w:eastAsia="Arial" w:hAnsi="Arial"/>
          <w:b/>
          <w:bCs/>
          <w:color w:val="2E7D9F"/>
          <w:sz w:val="28"/>
          <w:szCs w:val="28"/>
        </w:rPr>
        <w:t xml:space="preserve">10.3  Governance Hierarchy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800"/>
        <w:gridCol w:w="2160"/>
      </w:tblGrid>
      <w:t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Authority</w:t>
            </w:r>
          </w:p>
        </w:tc>
        <w:tc>
          <w:tcPr>
            <w:tcW w:type="dxa" w:w="4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Overrideable?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Hard-coded invariants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Coverage, isolation, non-decreasing price, profit-only minting, friction pool segregation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Smart contract enforcement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All invariants at contract level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Governance bounds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Risk caps, ratchet thresholds, friction pool parameters (within guardrails)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NFT holders only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AI optimization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Trade params, LP ranges, vault selection, friction pool idle deployment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Within Level 3 only</w:t>
            </w:r>
          </w:p>
        </w:tc>
      </w:tr>
    </w:tbl>
    <w:p>
      <w:pPr>
        <w:spacing w:before="80" w:after="0"/>
      </w:pPr>
    </w:p>
    <w:p>
      <w:pPr>
        <w:pStyle w:val="Heading2"/>
        <w:spacing w:before="280" w:after="120"/>
      </w:pPr>
      <w:r>
        <w:rPr>
          <w:rFonts w:ascii="Arial" w:cs="Arial" w:eastAsia="Arial" w:hAnsi="Arial"/>
          <w:b/>
          <w:bCs/>
          <w:color w:val="2E7D9F"/>
          <w:sz w:val="28"/>
          <w:szCs w:val="28"/>
        </w:rPr>
        <w:t xml:space="preserve">10.4  AI Model</w:t>
      </w:r>
    </w:p>
    <w:p>
      <w:pPr>
        <w:spacing w:before="80" w:after="80"/>
      </w:pPr>
      <w:r>
        <w:rPr>
          <w:rFonts w:ascii="Arial" w:cs="Arial" w:eastAsia="Arial" w:hAnsi="Arial"/>
          <w:b w:val="false"/>
          <w:bCs w:val="false"/>
          <w:i w:val="false"/>
          <w:iCs w:val="false"/>
          <w:color w:val="1A1A2E"/>
          <w:sz w:val="22"/>
          <w:szCs w:val="22"/>
        </w:rPr>
        <w:t xml:space="preserve">Primary: OpenAI GPT-4o-mini. Fallback: same model, separate API key. Final fallback: deterministic safe preset rules engine. AI cost funded by Friction Pool. Estimated monthly AI cost per vault: under $1 under normal operation.</w:t>
      </w:r>
    </w:p>
    <w:p>
      <w:r>
        <w:br w:type="page"/>
      </w:r>
    </w:p>
    <w:p>
      <w:pPr>
        <w:pStyle w:val="Heading1"/>
        <w:spacing w:before="400" w:after="160"/>
      </w:pPr>
      <w:r>
        <w:rPr>
          <w:rFonts w:ascii="Arial" w:cs="Arial" w:eastAsia="Arial" w:hAnsi="Arial"/>
          <w:b/>
          <w:bCs/>
          <w:color w:val="1A3A5C"/>
          <w:sz w:val="36"/>
          <w:szCs w:val="36"/>
        </w:rPr>
        <w:t xml:space="preserve">11  Complete System Invariants</w:t>
      </w:r>
    </w:p>
    <w:p>
      <w:pPr>
        <w:pBdr>
          <w:bottom w:val="single" w:color="2E7D9F" w:sz="4" w:space="1"/>
        </w:pBdr>
        <w:spacing w:before="160" w:after="16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6960"/>
      </w:tblGrid>
      <w:tr>
        <w:tc>
          <w:tcPr>
            <w:tcW w:type="dxa" w:w="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Invariant</w:t>
            </w:r>
          </w:p>
        </w:tc>
        <w:tc>
          <w:tcPr>
            <w:tcW w:type="dxa" w:w="6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LOOP minting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From realized investment profit only — never from friction pool yield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Redemption price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Non-decreasing, never reversible under any condition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Coverage ratio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Coverage_ratio_E ≥ 1.0 at all times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Redemption execution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May not violate coverage invariant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Ratchet 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Requires Coverage_ratio_E ≥ 1.02 minimum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Ratchet post-check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Post-transfer Coverage_ratio_E must remain ≥ 1.02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Epoch isolation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 cross-epoch subsidy of any kind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LOOP transferability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Non-transferable, epoch-tagged, canonical on BSC</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Holding tiers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Tiered minimum hold period governs standard redemption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Early redemption penalty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Routes 100% to Ratchet_pool_E of that epoch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 leverage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 borrowing against deposited assets — ever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Platform whitelist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Approved list only; audit criteria enforced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Mid-cycle reallocation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Not permitted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Friction pool segregation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Never counted as AUM, never in coverage calculations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Friction pool yield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Not subject to performance fee; returns to pool or user directly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Friction debt cap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Max 5% of vault AUM; beyond this vault pauses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Friction debt visibility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Visible on dashboard immediately upon borrow</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Friction debt servicing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Serviced before LOOP mint, USDT credit, or withdrawal release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Friction debt interest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0.5%/month; routes to lending pool that provided credit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Friction pool no-LP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Friction pool capital never deployed to LP positions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Friction debt non-waivable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Cannot be waived by governance, AI, admin, or user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AI bounds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Cannot override any invariant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Fail-closed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System halts before insolvency risk emerges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LOOP canonical chain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LOOP minted and redeemed on BSC only — single source of truth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Bridge fee classification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Cross-chain bridge fees funded by Friction Pool, not AUM</w:t>
            </w:r>
          </w:p>
        </w:tc>
      </w:tr>
    </w:tbl>
    <w:p>
      <w:r>
        <w:br w:type="page"/>
      </w:r>
    </w:p>
    <w:p>
      <w:pPr>
        <w:pStyle w:val="Heading1"/>
        <w:spacing w:before="400" w:after="160"/>
      </w:pPr>
      <w:r>
        <w:rPr>
          <w:rFonts w:ascii="Arial" w:cs="Arial" w:eastAsia="Arial" w:hAnsi="Arial"/>
          <w:b/>
          <w:bCs/>
          <w:color w:val="1A3A5C"/>
          <w:sz w:val="36"/>
          <w:szCs w:val="36"/>
        </w:rPr>
        <w:t xml:space="preserve">12  Sustainability &amp; Coverage Model</w:t>
      </w:r>
    </w:p>
    <w:p>
      <w:pPr>
        <w:pBdr>
          <w:bottom w:val="single" w:color="2E7D9F" w:sz="4" w:space="1"/>
        </w:pBdr>
        <w:spacing w:before="160" w:after="160"/>
      </w:pPr>
    </w:p>
    <w:p>
      <w:pPr>
        <w:pStyle w:val="Heading2"/>
        <w:spacing w:before="280" w:after="120"/>
      </w:pPr>
      <w:r>
        <w:rPr>
          <w:rFonts w:ascii="Arial" w:cs="Arial" w:eastAsia="Arial" w:hAnsi="Arial"/>
          <w:b/>
          <w:bCs/>
          <w:color w:val="2E7D9F"/>
          <w:sz w:val="28"/>
          <w:szCs w:val="28"/>
        </w:rPr>
        <w:t xml:space="preserve">12.1  Four-Source Income Redundancy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80"/>
        <w:gridCol w:w="1580"/>
        <w:gridCol w:w="420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Trading</w:t>
            </w:r>
          </w:p>
        </w:tc>
        <w:tc>
          <w:tcPr>
            <w:tcW w:type="dxa" w:w="1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LP + Vaults</w:t>
            </w:r>
          </w:p>
        </w:tc>
        <w:tc>
          <w:tcPr>
            <w:tcW w:type="dxa" w:w="4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BNB Staking / Net Outcome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Normal market</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Active</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Active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All four generating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Low volatility</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Reduced</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Vaults active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Vaults + staking provide floor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High volatility</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May pause</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LP may gap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Staking + vault APY continues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Bear market</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Reduced</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Fees lower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Stablecoin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All sources flat</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Zero</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Zero</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True zero-profit month — floor pauses, nothing breaks</w:t>
            </w:r>
          </w:p>
        </w:tc>
      </w:tr>
    </w:tbl>
    <w:p>
      <w:pPr>
        <w:spacing w:before="80" w:after="0"/>
      </w:pPr>
    </w:p>
    <w:p>
      <w:pPr>
        <w:pStyle w:val="Heading2"/>
        <w:spacing w:before="280" w:after="120"/>
      </w:pPr>
      <w:r>
        <w:rPr>
          <w:rFonts w:ascii="Arial" w:cs="Arial" w:eastAsia="Arial" w:hAnsi="Arial"/>
          <w:b/>
          <w:bCs/>
          <w:color w:val="2E7D9F"/>
          <w:sz w:val="28"/>
          <w:szCs w:val="28"/>
        </w:rPr>
        <w:t xml:space="preserve">12.2  No Reflexive Spiral</w:t>
      </w:r>
    </w:p>
    <w:p>
      <w:pPr>
        <w:spacing w:before="80" w:after="80"/>
      </w:pPr>
      <w:r>
        <w:rPr>
          <w:rFonts w:ascii="Arial" w:cs="Arial" w:eastAsia="Arial" w:hAnsi="Arial"/>
          <w:b w:val="false"/>
          <w:bCs w:val="false"/>
          <w:i w:val="false"/>
          <w:iCs w:val="false"/>
          <w:color w:val="1A1A2E"/>
          <w:sz w:val="22"/>
          <w:szCs w:val="22"/>
        </w:rPr>
        <w:t xml:space="preserve">LOOP is non-transferable (no panic market). No rebasing. No emissions. No cross-epoch blending. Friction debt capped at 5% of AUM. Liability expansion tied only to realized investment profit. Multi-chain access does not change these properties — the hub-and-spoke model ensures all accounting remains on BSC under unified rules.</w:t>
      </w:r>
    </w:p>
    <w:p>
      <w:pPr>
        <w:spacing w:before="80" w:after="0"/>
      </w:pPr>
    </w:p>
    <w:p>
      <w:pPr>
        <w:pStyle w:val="Heading2"/>
        <w:spacing w:before="280" w:after="120"/>
      </w:pPr>
      <w:r>
        <w:rPr>
          <w:rFonts w:ascii="Arial" w:cs="Arial" w:eastAsia="Arial" w:hAnsi="Arial"/>
          <w:b/>
          <w:bCs/>
          <w:color w:val="2E7D9F"/>
          <w:sz w:val="28"/>
          <w:szCs w:val="28"/>
        </w:rPr>
        <w:t xml:space="preserve">12.3  LoopLab</w:t>
      </w:r>
    </w:p>
    <w:p>
      <w:pPr>
        <w:spacing w:before="80" w:after="80"/>
      </w:pPr>
      <w:r>
        <w:rPr>
          <w:rFonts w:ascii="Arial" w:cs="Arial" w:eastAsia="Arial" w:hAnsi="Arial"/>
          <w:b w:val="false"/>
          <w:bCs w:val="false"/>
          <w:i w:val="false"/>
          <w:iCs w:val="false"/>
          <w:color w:val="1A1A2E"/>
          <w:sz w:val="22"/>
          <w:szCs w:val="22"/>
        </w:rPr>
        <w:t xml:space="preserve">LoopLab is the proof-of-impact component of YieldLoop. A portion of real profit — 10% of the performance fee — funds real-world initiatives. Not from token printing. Not from emissions. Only from actual earned surplus. If YieldLoop grows responsibly, LoopLab grows responsibly.</w:t>
      </w:r>
    </w:p>
    <w:p>
      <w:r>
        <w:br w:type="page"/>
      </w:r>
    </w:p>
    <w:p>
      <w:pPr>
        <w:pStyle w:val="Heading1"/>
        <w:spacing w:before="400" w:after="160"/>
      </w:pPr>
      <w:r>
        <w:rPr>
          <w:rFonts w:ascii="Arial" w:cs="Arial" w:eastAsia="Arial" w:hAnsi="Arial"/>
          <w:b/>
          <w:bCs/>
          <w:color w:val="1A3A5C"/>
          <w:sz w:val="36"/>
          <w:szCs w:val="36"/>
        </w:rPr>
        <w:t xml:space="preserve">13  Design Philosophy — Closing Statement</w:t>
      </w:r>
    </w:p>
    <w:p>
      <w:pPr>
        <w:pBdr>
          <w:bottom w:val="single" w:color="2E7D9F" w:sz="4" w:space="1"/>
        </w:pBdr>
        <w:spacing w:before="160" w:after="160"/>
      </w:pPr>
    </w:p>
    <w:p>
      <w:pPr>
        <w:spacing w:before="80" w:after="80"/>
      </w:pPr>
      <w:r>
        <w:rPr>
          <w:rFonts w:ascii="Arial" w:cs="Arial" w:eastAsia="Arial" w:hAnsi="Arial"/>
          <w:b w:val="false"/>
          <w:bCs w:val="false"/>
          <w:i w:val="false"/>
          <w:iCs w:val="false"/>
          <w:color w:val="1A1A2E"/>
          <w:sz w:val="22"/>
          <w:szCs w:val="22"/>
        </w:rPr>
        <w:t xml:space="preserve">YieldLoop v2.0 adds one significant new dimension to the architecture: universal accessibility. Previous versions established the financial model — epoch isolation, surplus-backed ratchets, realized-profit-only minting, passive income from four sources, and the self-healing Friction Pool. Version 2.0 establishes that the system should be accessible from any major EVM chain without compromising any of those properties.</w:t>
      </w:r>
    </w:p>
    <w:p>
      <w:pPr>
        <w:spacing w:before="80" w:after="0"/>
      </w:pPr>
    </w:p>
    <w:p>
      <w:pPr>
        <w:spacing w:before="80" w:after="80"/>
      </w:pPr>
      <w:r>
        <w:rPr>
          <w:rFonts w:ascii="Arial" w:cs="Arial" w:eastAsia="Arial" w:hAnsi="Arial"/>
          <w:b w:val="false"/>
          <w:bCs w:val="false"/>
          <w:i w:val="false"/>
          <w:iCs w:val="false"/>
          <w:color w:val="1A1A2E"/>
          <w:sz w:val="22"/>
          <w:szCs w:val="22"/>
        </w:rPr>
        <w:t xml:space="preserve">The hub-and-spoke model is not a shortcut — it is the only architecturally sound path. A single BSC hub with LOOP canonical on one chain means exactly one source of truth for every financial invariant. Users on Base, Arbitrum, Polygon, or Ethereum participate in the same system, under the same rules, with the same protections.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A" w:val="clear"/>
            <w:tcMar>
              <w:top w:type="dxa" w:w="160"/>
              <w:left w:type="dxa" w:w="240"/>
              <w:bottom w:type="dxa" w:w="160"/>
              <w:right w:type="dxa" w:w="240"/>
            </w:tcMar>
          </w:tcPr>
          <w:p>
            <w:pPr>
              <w:spacing w:before="60" w:after="60"/>
            </w:pPr>
            <w:r>
              <w:rPr>
                <w:rFonts w:ascii="Arial" w:cs="Arial" w:eastAsia="Arial" w:hAnsi="Arial"/>
                <w:b/>
                <w:bCs/>
                <w:color w:val="1A3A5C"/>
                <w:sz w:val="20"/>
                <w:szCs w:val="20"/>
              </w:rPr>
              <w:t xml:space="preserve">What has changed in v2.0:</w:t>
            </w:r>
          </w:p>
          <w:p>
            <w:pPr>
              <w:spacing w:before="60" w:after="60"/>
            </w:pPr>
            <w:r>
              <w:rPr>
                <w:rFonts w:ascii="Arial" w:cs="Arial" w:eastAsia="Arial" w:hAnsi="Arial"/>
                <w:b w:val="false"/>
                <w:bCs w:val="false"/>
                <w:color w:val="1A3A5C"/>
                <w:sz w:val="20"/>
                <w:szCs w:val="20"/>
              </w:rPr>
              <w:t xml:space="preserve">  → Multi-chain deposit and withdrawal via Stargate hub-and-spoke</w:t>
            </w:r>
          </w:p>
          <w:p>
            <w:pPr>
              <w:spacing w:before="60" w:after="60"/>
            </w:pPr>
            <w:r>
              <w:rPr>
                <w:rFonts w:ascii="Arial" w:cs="Arial" w:eastAsia="Arial" w:hAnsi="Arial"/>
                <w:b w:val="false"/>
                <w:bCs w:val="false"/>
                <w:color w:val="1A3A5C"/>
                <w:sz w:val="20"/>
                <w:szCs w:val="20"/>
              </w:rPr>
              <w:t xml:space="preserve">  → SpokeGateway contracts on Base, Arbitrum, Polygon, Ethereum</w:t>
            </w:r>
          </w:p>
          <w:p>
            <w:pPr>
              <w:spacing w:before="60" w:after="60"/>
            </w:pPr>
            <w:r>
              <w:rPr>
                <w:rFonts w:ascii="Arial" w:cs="Arial" w:eastAsia="Arial" w:hAnsi="Arial"/>
                <w:b w:val="false"/>
                <w:bCs w:val="false"/>
                <w:color w:val="1A3A5C"/>
                <w:sz w:val="20"/>
                <w:szCs w:val="20"/>
              </w:rPr>
              <w:t xml:space="preserve">  → wLOOP bridge wrappers for users who prefer non-BSC reward delivery</w:t>
            </w:r>
          </w:p>
          <w:p>
            <w:pPr>
              <w:spacing w:before="60" w:after="60"/>
            </w:pPr>
            <w:r>
              <w:rPr>
                <w:rFonts w:ascii="Arial" w:cs="Arial" w:eastAsia="Arial" w:hAnsi="Arial"/>
                <w:b w:val="false"/>
                <w:bCs w:val="false"/>
                <w:color w:val="1A3A5C"/>
                <w:sz w:val="20"/>
                <w:szCs w:val="20"/>
              </w:rPr>
              <w:t xml:space="preserve">  → Bridge fees classified as Friction Pool operational costs</w:t>
            </w:r>
          </w:p>
          <w:p>
            <w:pPr>
              <w:spacing w:before="60" w:after="60"/>
            </w:pPr>
            <w:r>
              <w:rPr>
                <w:rFonts w:ascii="Arial" w:cs="Arial" w:eastAsia="Arial" w:hAnsi="Arial"/>
                <w:b w:val="false"/>
                <w:bCs w:val="false"/>
                <w:color w:val="1A3A5C"/>
                <w:sz w:val="20"/>
                <w:szCs w:val="20"/>
              </w:rPr>
              <w:t xml:space="preserve">  → Cross-chain risk disclosures added to governance framework</w:t>
            </w:r>
          </w:p>
          <w:p>
            <w:pPr>
              <w:spacing w:before="60" w:after="60"/>
            </w:pPr>
            <w:r>
              <w:rPr>
                <w:rFonts w:ascii="Arial" w:cs="Arial" w:eastAsia="Arial" w:hAnsi="Arial"/>
                <w:b w:val="false"/>
                <w:bCs w:val="false"/>
                <w:color w:val="1A3A5C"/>
                <w:sz w:val="20"/>
                <w:szCs w:val="20"/>
              </w:rPr>
              <w:t xml:space="preserve"/>
            </w:r>
          </w:p>
          <w:p>
            <w:pPr>
              <w:spacing w:before="60" w:after="60"/>
            </w:pPr>
            <w:r>
              <w:rPr>
                <w:rFonts w:ascii="Arial" w:cs="Arial" w:eastAsia="Arial" w:hAnsi="Arial"/>
                <w:b/>
                <w:bCs/>
                <w:color w:val="1A3A5C"/>
                <w:sz w:val="20"/>
                <w:szCs w:val="20"/>
              </w:rPr>
              <w:t xml:space="preserve">What has not changed:</w:t>
            </w:r>
          </w:p>
          <w:p>
            <w:pPr>
              <w:spacing w:before="60" w:after="60"/>
            </w:pPr>
            <w:r>
              <w:rPr>
                <w:rFonts w:ascii="Arial" w:cs="Arial" w:eastAsia="Arial" w:hAnsi="Arial"/>
                <w:b w:val="false"/>
                <w:bCs w:val="false"/>
                <w:color w:val="1A3A5C"/>
                <w:sz w:val="20"/>
                <w:szCs w:val="20"/>
              </w:rPr>
              <w:t xml:space="preserve">  → LOOP mints only from realized investment profit</w:t>
            </w:r>
          </w:p>
          <w:p>
            <w:pPr>
              <w:spacing w:before="60" w:after="60"/>
            </w:pPr>
            <w:r>
              <w:rPr>
                <w:rFonts w:ascii="Arial" w:cs="Arial" w:eastAsia="Arial" w:hAnsi="Arial"/>
                <w:b w:val="false"/>
                <w:bCs w:val="false"/>
                <w:color w:val="1A3A5C"/>
                <w:sz w:val="20"/>
                <w:szCs w:val="20"/>
              </w:rPr>
              <w:t xml:space="preserve">  → Coverage_ratio_E ≥ 1.0 at all times</w:t>
            </w:r>
          </w:p>
          <w:p>
            <w:pPr>
              <w:spacing w:before="60" w:after="60"/>
            </w:pPr>
            <w:r>
              <w:rPr>
                <w:rFonts w:ascii="Arial" w:cs="Arial" w:eastAsia="Arial" w:hAnsi="Arial"/>
                <w:b w:val="false"/>
                <w:bCs w:val="false"/>
                <w:color w:val="1A3A5C"/>
                <w:sz w:val="20"/>
                <w:szCs w:val="20"/>
              </w:rPr>
              <w:t xml:space="preserve">  → Epochs fully isolated — no cross-subsidy ever</w:t>
            </w:r>
          </w:p>
          <w:p>
            <w:pPr>
              <w:spacing w:before="60" w:after="60"/>
            </w:pPr>
            <w:r>
              <w:rPr>
                <w:rFonts w:ascii="Arial" w:cs="Arial" w:eastAsia="Arial" w:hAnsi="Arial"/>
                <w:b w:val="false"/>
                <w:bCs w:val="false"/>
                <w:color w:val="1A3A5C"/>
                <w:sz w:val="20"/>
                <w:szCs w:val="20"/>
              </w:rPr>
              <w:t xml:space="preserve">  → The ratchet floor never retreats</w:t>
            </w:r>
          </w:p>
          <w:p>
            <w:pPr>
              <w:spacing w:before="60" w:after="60"/>
            </w:pPr>
            <w:r>
              <w:rPr>
                <w:rFonts w:ascii="Arial" w:cs="Arial" w:eastAsia="Arial" w:hAnsi="Arial"/>
                <w:b w:val="false"/>
                <w:bCs w:val="false"/>
                <w:color w:val="1A3A5C"/>
                <w:sz w:val="20"/>
                <w:szCs w:val="20"/>
              </w:rPr>
              <w:t xml:space="preserve">  → The system fails closed before it fails insolvent</w:t>
            </w:r>
          </w:p>
          <w:p>
            <w:pPr>
              <w:spacing w:before="60" w:after="60"/>
            </w:pPr>
            <w:r>
              <w:rPr>
                <w:rFonts w:ascii="Arial" w:cs="Arial" w:eastAsia="Arial" w:hAnsi="Arial"/>
                <w:b w:val="false"/>
                <w:bCs w:val="false"/>
                <w:color w:val="1A3A5C"/>
                <w:sz w:val="20"/>
                <w:szCs w:val="20"/>
              </w:rPr>
              <w:t xml:space="preserve">  → Discipline is enforced by code</w:t>
            </w:r>
          </w:p>
        </w:tc>
      </w:tr>
    </w:tbl>
    <w:p>
      <w:pPr>
        <w:spacing w:before="160" w:after="0"/>
      </w:pPr>
    </w:p>
    <w:p>
      <w:pPr>
        <w:spacing w:before="160" w:after="80"/>
        <w:jc w:val="center"/>
      </w:pPr>
      <w:r>
        <w:rPr>
          <w:rFonts w:ascii="Arial" w:cs="Arial" w:eastAsia="Arial" w:hAnsi="Arial"/>
          <w:b/>
          <w:bCs/>
          <w:i/>
          <w:iCs/>
          <w:color w:val="1A3A5C"/>
          <w:sz w:val="28"/>
          <w:szCs w:val="28"/>
        </w:rPr>
        <w:t xml:space="preserve">Growth is a byproduct of discipline.</w:t>
      </w:r>
    </w:p>
    <w:p>
      <w:pPr>
        <w:spacing w:before="0" w:after="80"/>
        <w:jc w:val="center"/>
      </w:pPr>
      <w:r>
        <w:rPr>
          <w:rFonts w:ascii="Arial" w:cs="Arial" w:eastAsia="Arial" w:hAnsi="Arial"/>
          <w:i/>
          <w:iCs/>
          <w:color w:val="2E7D9F"/>
          <w:sz w:val="24"/>
          <w:szCs w:val="24"/>
        </w:rPr>
        <w:t xml:space="preserve">Stability is the primary objective.</w:t>
      </w:r>
    </w:p>
    <w:p>
      <w:pPr>
        <w:spacing w:before="0" w:after="160"/>
        <w:jc w:val="center"/>
      </w:pPr>
      <w:r>
        <w:rPr>
          <w:rFonts w:ascii="Arial" w:cs="Arial" w:eastAsia="Arial" w:hAnsi="Arial"/>
          <w:i/>
          <w:iCs/>
          <w:color w:val="666666"/>
          <w:sz w:val="24"/>
          <w:szCs w:val="24"/>
        </w:rPr>
        <w:t xml:space="preserve">Accessibility is the promise to every user, regardless of chain.</w:t>
      </w:r>
    </w:p>
    <w:p>
      <w:pPr>
        <w:pBdr>
          <w:bottom w:val="single" w:color="2E7D9F" w:sz="4" w:space="1"/>
        </w:pBdr>
        <w:spacing w:before="160" w:after="160"/>
      </w:pPr>
    </w:p>
    <w:p>
      <w:pPr>
        <w:spacing w:before="80" w:after="40"/>
        <w:jc w:val="center"/>
      </w:pPr>
      <w:r>
        <w:rPr>
          <w:rFonts w:ascii="Arial" w:cs="Arial" w:eastAsia="Arial" w:hAnsi="Arial"/>
          <w:b/>
          <w:bCs/>
          <w:color w:val="1A1A2E"/>
          <w:sz w:val="20"/>
          <w:szCs w:val="20"/>
        </w:rPr>
        <w:t xml:space="preserve">YieldLoop Whitepaper v2.0</w:t>
      </w:r>
    </w:p>
    <w:p>
      <w:pPr>
        <w:spacing w:before="0" w:after="40"/>
        <w:jc w:val="center"/>
      </w:pPr>
      <w:r>
        <w:rPr>
          <w:rFonts w:ascii="Arial" w:cs="Arial" w:eastAsia="Arial" w:hAnsi="Arial"/>
          <w:color w:val="666666"/>
          <w:sz w:val="18"/>
          <w:szCs w:val="18"/>
        </w:rPr>
        <w:t xml:space="preserve">Author: Todd Koletsky, HT1 (SW), USN (Ret.) — Systems Architect</w:t>
      </w:r>
    </w:p>
    <w:p>
      <w:pPr>
        <w:spacing w:before="0" w:after="40"/>
        <w:jc w:val="center"/>
      </w:pPr>
      <w:r>
        <w:rPr>
          <w:rFonts w:ascii="Arial" w:cs="Arial" w:eastAsia="Arial" w:hAnsi="Arial"/>
          <w:color w:val="666666"/>
          <w:sz w:val="18"/>
          <w:szCs w:val="18"/>
        </w:rPr>
        <w:t xml:space="preserve">BNB Chain Hub | Base | Arbitrum | Polygon | Ethereum | LOOP Token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9F" w:sz="4" w:space="4"/>
      </w:pBdr>
      <w:tabs>
        <w:tab w:val="right" w:pos="9360"/>
      </w:tabs>
      <w:spacing w:before="120" w:after="0"/>
    </w:pPr>
    <w:r>
      <w:rPr>
        <w:rFonts w:ascii="Arial" w:cs="Arial" w:eastAsia="Arial" w:hAnsi="Arial"/>
        <w:color w:val="666666"/>
        <w:sz w:val="18"/>
        <w:szCs w:val="18"/>
      </w:rPr>
      <w:t xml:space="preserve">Todd Koletsky, HT1 (SW), USN (Ret.) | Systems Architect</w:t>
    </w:r>
    <w:r>
      <w:rPr>
        <w:rFonts w:ascii="Arial" w:cs="Arial" w:eastAsia="Arial" w:hAnsi="Arial"/>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9F" w:sz="4" w:space="4"/>
      </w:pBdr>
      <w:spacing w:before="0" w:after="120"/>
    </w:pPr>
    <w:r>
      <w:rPr>
        <w:rFonts w:ascii="Arial" w:cs="Arial" w:eastAsia="Arial" w:hAnsi="Arial"/>
        <w:b/>
        <w:bCs/>
        <w:color w:val="1A3A5C"/>
        <w:sz w:val="20"/>
        <w:szCs w:val="20"/>
      </w:rPr>
      <w:t xml:space="preserve">YIELDLOOP</w:t>
    </w:r>
    <w:r>
      <w:rPr>
        <w:rFonts w:ascii="Arial" w:cs="Arial" w:eastAsia="Arial" w:hAnsi="Arial"/>
        <w:color w:val="666666"/>
        <w:sz w:val="18"/>
        <w:szCs w:val="18"/>
      </w:rPr>
      <w:t xml:space="preserve">  |  Whitepaper v2.0  |  Multi-Chain Structured Profit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D9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2026-02-23T17:24:30.978Z</dcterms:created>
  <dcterms:modified xsi:type="dcterms:W3CDTF">2026-02-23T17:24:30.979Z</dcterms:modified>
</cp:coreProperties>
</file>

<file path=docProps/custom.xml><?xml version="1.0" encoding="utf-8"?>
<Properties xmlns="http://schemas.openxmlformats.org/officeDocument/2006/custom-properties" xmlns:vt="http://schemas.openxmlformats.org/officeDocument/2006/docPropsVTypes"/>
</file>