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F6FF" w:themeColor="accent5"/>
  <w:body>
    <w:p w14:paraId="59E42168" w14:textId="77777777" w:rsidR="00F765FC" w:rsidRPr="00F765FC" w:rsidRDefault="00F765FC" w:rsidP="00F765FC">
      <w:pPr>
        <w:pStyle w:val="Graphicsanchor"/>
      </w:pPr>
      <w:r>
        <w:rPr>
          <w:noProof/>
        </w:rPr>
        <mc:AlternateContent>
          <mc:Choice Requires="wps">
            <w:drawing>
              <wp:anchor distT="0" distB="0" distL="114300" distR="114300" simplePos="0" relativeHeight="251659264" behindDoc="1" locked="1" layoutInCell="1" allowOverlap="1" wp14:anchorId="0F5E2E89" wp14:editId="02C2E22E">
                <wp:simplePos x="0" y="0"/>
                <wp:positionH relativeFrom="column">
                  <wp:posOffset>-928370</wp:posOffset>
                </wp:positionH>
                <wp:positionV relativeFrom="paragraph">
                  <wp:posOffset>-909955</wp:posOffset>
                </wp:positionV>
                <wp:extent cx="7772400" cy="2532380"/>
                <wp:effectExtent l="0" t="0" r="0" b="1270"/>
                <wp:wrapNone/>
                <wp:docPr id="11237545"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2400" cy="253238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BA4870" id="Rectangle 2" o:spid="_x0000_s1026" alt="&quot;&quot;" style="position:absolute;margin-left:-73.1pt;margin-top:-71.65pt;width:612pt;height:199.4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" fillcolor="white [3212]" stroked="f" strokeweight="1pt">
                <w10:anchorlock/>
              </v:rect>
            </w:pict>
          </mc:Fallback>
        </mc:AlternateContent>
      </w:r>
    </w:p>
    <w:p w14:paraId="1FE27BD5" w14:textId="7183802F" w:rsidR="006D7A6C" w:rsidRPr="006D7A6C" w:rsidRDefault="006D7A6C" w:rsidP="00011E30">
      <w:pPr>
        <w:pStyle w:val="Toprowtext"/>
      </w:pPr>
      <w:r w:rsidRPr="006D7A6C">
        <w:t xml:space="preserve">Prepared by </w:t>
      </w:r>
      <w:r w:rsidR="00D8445A">
        <w:t>Tetiana Korzhan</w:t>
      </w:r>
      <w:r w:rsidRPr="006D7A6C">
        <w:tab/>
      </w:r>
      <w:proofErr w:type="gramStart"/>
      <w:r w:rsidR="00D8445A">
        <w:t>March,</w:t>
      </w:r>
      <w:proofErr w:type="gramEnd"/>
      <w:r w:rsidR="00D8445A">
        <w:t xml:space="preserve"> 2026</w:t>
      </w:r>
    </w:p>
    <w:p w14:paraId="20443085" w14:textId="65F1B297" w:rsidR="006D7A6C" w:rsidRDefault="00D8445A" w:rsidP="003471E8">
      <w:pPr>
        <w:pStyle w:val="Title"/>
      </w:pPr>
      <w:r>
        <w:t>Recurring Revenue Performance</w:t>
      </w:r>
    </w:p>
    <w:p w14:paraId="4ECDBD69" w14:textId="0F2A3352" w:rsidR="006D7A6C" w:rsidRPr="003471E8" w:rsidRDefault="00D8445A" w:rsidP="00011E30">
      <w:pPr>
        <w:pStyle w:val="bottomrowtext"/>
        <w:spacing w:before="4440"/>
      </w:pPr>
      <w:r>
        <w:t>Prepared for EVERFIELD</w:t>
      </w:r>
    </w:p>
    <w:p w14:paraId="45E8565C" w14:textId="77777777" w:rsidR="001F3549" w:rsidRDefault="001F3549" w:rsidP="001F3549"/>
    <w:p w14:paraId="7D45F2DE" w14:textId="77777777" w:rsidR="001F3549" w:rsidRPr="001F3549" w:rsidRDefault="001F3549" w:rsidP="001F3549">
      <w:pPr>
        <w:sectPr w:rsidR="001F3549" w:rsidRPr="001F3549" w:rsidSect="000B2583">
          <w:pgSz w:w="12240" w:h="15840" w:code="1"/>
          <w:pgMar w:top="1440" w:right="1440" w:bottom="360" w:left="1440" w:header="720" w:footer="360" w:gutter="0"/>
          <w:cols w:space="720"/>
          <w:titlePg/>
          <w:docGrid w:linePitch="360"/>
        </w:sectPr>
      </w:pPr>
    </w:p>
    <w:p w14:paraId="7F831A9E" w14:textId="77777777" w:rsidR="00F34678" w:rsidRPr="001F3549" w:rsidRDefault="00F34678" w:rsidP="003471E8">
      <w:pPr>
        <w:pStyle w:val="Heading1"/>
      </w:pPr>
      <w:r w:rsidRPr="001F3549">
        <w:lastRenderedPageBreak/>
        <w:t>Executive summary</w:t>
      </w:r>
    </w:p>
    <w:p w14:paraId="7E0BAB20" w14:textId="77777777" w:rsidR="00D8445A" w:rsidRPr="00860B16" w:rsidRDefault="00D8445A" w:rsidP="00D8445A">
      <w:pPr>
        <w:rPr>
          <w:sz w:val="18"/>
          <w:szCs w:val="18"/>
        </w:rPr>
      </w:pPr>
      <w:r w:rsidRPr="00860B16">
        <w:rPr>
          <w:sz w:val="18"/>
          <w:szCs w:val="18"/>
        </w:rPr>
        <w:t>This report analyzes recurring revenue performance across categories, customers, and time periods to assess overall financial stability and growth sustainability. The analysis shows that recurring revenue remains structurally strong, supported primarily by the Opening Recurring Revenue base and positive contributions from “Back to Base” and new customer acquisition. Revenue growth peaked in 2023, followed by signs of moderation in 2024.</w:t>
      </w:r>
    </w:p>
    <w:p w14:paraId="20B0E4AF" w14:textId="77777777" w:rsidR="00D8445A" w:rsidRPr="00860B16" w:rsidRDefault="00D8445A" w:rsidP="00D8445A">
      <w:pPr>
        <w:rPr>
          <w:sz w:val="18"/>
          <w:szCs w:val="18"/>
        </w:rPr>
      </w:pPr>
      <w:r w:rsidRPr="00860B16">
        <w:rPr>
          <w:sz w:val="18"/>
          <w:szCs w:val="18"/>
        </w:rPr>
        <w:t xml:space="preserve">While the overall revenue position remains positive, performance is increasingly offset by negative drivers — </w:t>
      </w:r>
      <w:r w:rsidRPr="00860B16">
        <w:rPr>
          <w:b/>
          <w:bCs/>
          <w:sz w:val="18"/>
          <w:szCs w:val="18"/>
        </w:rPr>
        <w:t xml:space="preserve">particularly churn and </w:t>
      </w:r>
      <w:proofErr w:type="spellStart"/>
      <w:r w:rsidRPr="00860B16">
        <w:rPr>
          <w:b/>
          <w:bCs/>
          <w:sz w:val="18"/>
          <w:szCs w:val="18"/>
        </w:rPr>
        <w:t>downsell</w:t>
      </w:r>
      <w:proofErr w:type="spellEnd"/>
      <w:r w:rsidRPr="00860B16">
        <w:rPr>
          <w:b/>
          <w:bCs/>
          <w:sz w:val="18"/>
          <w:szCs w:val="18"/>
        </w:rPr>
        <w:t xml:space="preserve"> activity</w:t>
      </w:r>
      <w:r w:rsidRPr="00860B16">
        <w:rPr>
          <w:sz w:val="18"/>
          <w:szCs w:val="18"/>
        </w:rPr>
        <w:t>. These components represent the most significant recurring revenue risks and have a measurable impact on net performance. Although new customer additions contribute positively, they are not fully compensating for retention-related losses in certain periods.</w:t>
      </w:r>
    </w:p>
    <w:p w14:paraId="3D41E35E" w14:textId="77777777" w:rsidR="00D8445A" w:rsidRPr="00860B16" w:rsidRDefault="00D8445A" w:rsidP="00D8445A">
      <w:pPr>
        <w:rPr>
          <w:sz w:val="18"/>
          <w:szCs w:val="18"/>
        </w:rPr>
      </w:pPr>
      <w:r w:rsidRPr="00860B16">
        <w:rPr>
          <w:sz w:val="18"/>
          <w:szCs w:val="18"/>
        </w:rPr>
        <w:t>The key business risk identified is revenue erosion driven by customer attrition and contraction within the existing portfolio. This creates potential pressure on long-term organic growth if not proactively addressed. Revenue concentration within specific categories further emphasizes the importance of active portfolio management.</w:t>
      </w:r>
    </w:p>
    <w:p w14:paraId="23BC662A" w14:textId="77777777" w:rsidR="00D8445A" w:rsidRPr="00860B16" w:rsidRDefault="00D8445A" w:rsidP="00D8445A">
      <w:pPr>
        <w:rPr>
          <w:sz w:val="18"/>
          <w:szCs w:val="18"/>
        </w:rPr>
      </w:pPr>
      <w:r w:rsidRPr="00860B16">
        <w:rPr>
          <w:sz w:val="18"/>
          <w:szCs w:val="18"/>
        </w:rPr>
        <w:t xml:space="preserve">To strengthen recurring revenue resilience, leadership should prioritize customer retention strategies, implement early churn detection mechanisms, and reinforce </w:t>
      </w:r>
      <w:proofErr w:type="gramStart"/>
      <w:r w:rsidRPr="00860B16">
        <w:rPr>
          <w:sz w:val="18"/>
          <w:szCs w:val="18"/>
        </w:rPr>
        <w:t>upsell</w:t>
      </w:r>
      <w:proofErr w:type="gramEnd"/>
      <w:r w:rsidRPr="00860B16">
        <w:rPr>
          <w:sz w:val="18"/>
          <w:szCs w:val="18"/>
        </w:rPr>
        <w:t xml:space="preserve"> and expansion initiatives within the existing customer base. Regular monitoring of revenue drivers at a monthly level will enable earlier intervention and improved forecasting accuracy.</w:t>
      </w:r>
    </w:p>
    <w:p w14:paraId="63A115DC" w14:textId="36004528" w:rsidR="00F34678" w:rsidRPr="00DA6D43" w:rsidRDefault="00D8445A" w:rsidP="001F3549">
      <w:pPr>
        <w:rPr>
          <w:sz w:val="18"/>
          <w:szCs w:val="18"/>
        </w:rPr>
      </w:pPr>
      <w:r w:rsidRPr="00860B16">
        <w:rPr>
          <w:sz w:val="18"/>
          <w:szCs w:val="18"/>
        </w:rPr>
        <w:t>Overall, the recurring revenue structure remains fundamentally stable; however, proactive management of churn and retention dynamics will be critical to sustaining long-term value creation and portfolio performance.</w:t>
      </w:r>
    </w:p>
    <w:p w14:paraId="35D07981" w14:textId="0AE35950" w:rsidR="00F34678" w:rsidRDefault="00D8445A" w:rsidP="003471E8">
      <w:pPr>
        <w:pStyle w:val="Heading1"/>
      </w:pPr>
      <w:r>
        <w:t>Business objective</w:t>
      </w:r>
    </w:p>
    <w:p w14:paraId="19D228E0" w14:textId="72620002" w:rsidR="00F34678" w:rsidRPr="00DA6D43" w:rsidRDefault="0047707A" w:rsidP="001F3549">
      <w:pPr>
        <w:rPr>
          <w:sz w:val="18"/>
          <w:szCs w:val="18"/>
        </w:rPr>
      </w:pPr>
      <w:r w:rsidRPr="00DA6D43">
        <w:rPr>
          <w:sz w:val="18"/>
          <w:szCs w:val="18"/>
        </w:rPr>
        <w:t xml:space="preserve">The objective of this analysis is to evaluate recurring revenue performance from 21.0M to 21.3M, identify the primary drivers of growth (Back to base and New name) and decline (Churn and </w:t>
      </w:r>
      <w:proofErr w:type="spellStart"/>
      <w:r w:rsidRPr="00DA6D43">
        <w:rPr>
          <w:sz w:val="18"/>
          <w:szCs w:val="18"/>
        </w:rPr>
        <w:t>Downsell</w:t>
      </w:r>
      <w:proofErr w:type="spellEnd"/>
      <w:r w:rsidRPr="00DA6D43">
        <w:rPr>
          <w:sz w:val="18"/>
          <w:szCs w:val="18"/>
        </w:rPr>
        <w:t>), assess retention-related risks, and provide strategic recommendations to strengthen long-term recurring revenue stability and portfolio value creation.</w:t>
      </w:r>
    </w:p>
    <w:p w14:paraId="2E76D924" w14:textId="1768DEC3" w:rsidR="00F34678" w:rsidRDefault="00C97C27" w:rsidP="003471E8">
      <w:pPr>
        <w:pStyle w:val="Heading1"/>
      </w:pPr>
      <w:r>
        <w:t>Data Overview and methodology</w:t>
      </w:r>
    </w:p>
    <w:p w14:paraId="7B9CA9AB" w14:textId="77777777" w:rsidR="00C97C27" w:rsidRPr="00C97C27" w:rsidRDefault="00C97C27" w:rsidP="00C97C27">
      <w:pPr>
        <w:rPr>
          <w:sz w:val="18"/>
          <w:szCs w:val="18"/>
        </w:rPr>
      </w:pPr>
      <w:r w:rsidRPr="00C97C27">
        <w:rPr>
          <w:sz w:val="18"/>
          <w:szCs w:val="18"/>
        </w:rPr>
        <w:t>The analysis is based on a structured financial dataset provided as part of the case study in Excel format. The dataset contains historical recurring revenue information segmented by:</w:t>
      </w:r>
    </w:p>
    <w:p w14:paraId="4425EFAB" w14:textId="77777777" w:rsidR="00C97C27" w:rsidRPr="00C97C27" w:rsidRDefault="00C97C27" w:rsidP="00C97C27">
      <w:pPr>
        <w:numPr>
          <w:ilvl w:val="0"/>
          <w:numId w:val="1"/>
        </w:numPr>
        <w:rPr>
          <w:sz w:val="18"/>
          <w:szCs w:val="18"/>
        </w:rPr>
      </w:pPr>
      <w:r w:rsidRPr="00C97C27">
        <w:rPr>
          <w:sz w:val="18"/>
          <w:szCs w:val="18"/>
        </w:rPr>
        <w:t>Company</w:t>
      </w:r>
    </w:p>
    <w:p w14:paraId="7E685859" w14:textId="77777777" w:rsidR="00C97C27" w:rsidRPr="00C97C27" w:rsidRDefault="00C97C27" w:rsidP="00C97C27">
      <w:pPr>
        <w:numPr>
          <w:ilvl w:val="0"/>
          <w:numId w:val="1"/>
        </w:numPr>
        <w:rPr>
          <w:sz w:val="18"/>
          <w:szCs w:val="18"/>
        </w:rPr>
      </w:pPr>
      <w:r w:rsidRPr="00C97C27">
        <w:rPr>
          <w:sz w:val="18"/>
          <w:szCs w:val="18"/>
        </w:rPr>
        <w:t>Customer</w:t>
      </w:r>
    </w:p>
    <w:p w14:paraId="04123763" w14:textId="77777777" w:rsidR="00C97C27" w:rsidRPr="00C97C27" w:rsidRDefault="00C97C27" w:rsidP="00C97C27">
      <w:pPr>
        <w:numPr>
          <w:ilvl w:val="0"/>
          <w:numId w:val="1"/>
        </w:numPr>
        <w:rPr>
          <w:sz w:val="18"/>
          <w:szCs w:val="18"/>
        </w:rPr>
      </w:pPr>
      <w:r w:rsidRPr="00C97C27">
        <w:rPr>
          <w:sz w:val="18"/>
          <w:szCs w:val="18"/>
        </w:rPr>
        <w:t>Date (year and month)</w:t>
      </w:r>
    </w:p>
    <w:p w14:paraId="49E3778D" w14:textId="77777777" w:rsidR="00C97C27" w:rsidRPr="00C97C27" w:rsidRDefault="00C97C27" w:rsidP="00C97C27">
      <w:pPr>
        <w:numPr>
          <w:ilvl w:val="0"/>
          <w:numId w:val="1"/>
        </w:numPr>
        <w:rPr>
          <w:sz w:val="18"/>
          <w:szCs w:val="18"/>
        </w:rPr>
      </w:pPr>
      <w:r w:rsidRPr="00C97C27">
        <w:rPr>
          <w:sz w:val="18"/>
          <w:szCs w:val="18"/>
        </w:rPr>
        <w:t>Revenue category (e.g., New name, Back to base, Churn, Downsell)</w:t>
      </w:r>
    </w:p>
    <w:p w14:paraId="366E4AF8" w14:textId="77777777" w:rsidR="00C97C27" w:rsidRPr="00C97C27" w:rsidRDefault="00C97C27" w:rsidP="00C97C27">
      <w:pPr>
        <w:numPr>
          <w:ilvl w:val="0"/>
          <w:numId w:val="1"/>
        </w:numPr>
        <w:rPr>
          <w:sz w:val="18"/>
          <w:szCs w:val="18"/>
        </w:rPr>
      </w:pPr>
      <w:r w:rsidRPr="00C97C27">
        <w:rPr>
          <w:sz w:val="18"/>
          <w:szCs w:val="18"/>
        </w:rPr>
        <w:t>Revenue values</w:t>
      </w:r>
    </w:p>
    <w:p w14:paraId="0EE1DDF1" w14:textId="77777777" w:rsidR="004F177A" w:rsidRPr="004F177A" w:rsidRDefault="004F177A" w:rsidP="004F177A">
      <w:pPr>
        <w:rPr>
          <w:sz w:val="18"/>
          <w:szCs w:val="18"/>
        </w:rPr>
      </w:pPr>
      <w:r w:rsidRPr="004F177A">
        <w:rPr>
          <w:sz w:val="18"/>
          <w:szCs w:val="18"/>
        </w:rPr>
        <w:t>The data was structured into:</w:t>
      </w:r>
    </w:p>
    <w:p w14:paraId="0A0C1C6E" w14:textId="77777777" w:rsidR="004F177A" w:rsidRPr="004F177A" w:rsidRDefault="004F177A" w:rsidP="004F177A">
      <w:pPr>
        <w:numPr>
          <w:ilvl w:val="0"/>
          <w:numId w:val="2"/>
        </w:numPr>
        <w:rPr>
          <w:sz w:val="18"/>
          <w:szCs w:val="18"/>
        </w:rPr>
      </w:pPr>
      <w:r w:rsidRPr="004F177A">
        <w:rPr>
          <w:sz w:val="18"/>
          <w:szCs w:val="18"/>
        </w:rPr>
        <w:t>Fact tables containing revenue amounts and category movements</w:t>
      </w:r>
    </w:p>
    <w:p w14:paraId="0DAB4C14" w14:textId="77777777" w:rsidR="004F177A" w:rsidRPr="004F177A" w:rsidRDefault="004F177A" w:rsidP="004F177A">
      <w:pPr>
        <w:numPr>
          <w:ilvl w:val="0"/>
          <w:numId w:val="2"/>
        </w:numPr>
        <w:rPr>
          <w:sz w:val="18"/>
          <w:szCs w:val="18"/>
        </w:rPr>
      </w:pPr>
      <w:r w:rsidRPr="004F177A">
        <w:rPr>
          <w:sz w:val="18"/>
          <w:szCs w:val="18"/>
        </w:rPr>
        <w:t>Dimension tables including:</w:t>
      </w:r>
    </w:p>
    <w:p w14:paraId="7F9263DE" w14:textId="77777777" w:rsidR="004F177A" w:rsidRPr="004F177A" w:rsidRDefault="004F177A" w:rsidP="004F177A">
      <w:pPr>
        <w:numPr>
          <w:ilvl w:val="1"/>
          <w:numId w:val="2"/>
        </w:numPr>
        <w:rPr>
          <w:sz w:val="18"/>
          <w:szCs w:val="18"/>
        </w:rPr>
      </w:pPr>
      <w:r w:rsidRPr="004F177A">
        <w:rPr>
          <w:sz w:val="18"/>
          <w:szCs w:val="18"/>
        </w:rPr>
        <w:t>dim_date</w:t>
      </w:r>
    </w:p>
    <w:p w14:paraId="2E0E3C3A" w14:textId="77777777" w:rsidR="004F177A" w:rsidRPr="004F177A" w:rsidRDefault="004F177A" w:rsidP="004F177A">
      <w:pPr>
        <w:numPr>
          <w:ilvl w:val="1"/>
          <w:numId w:val="2"/>
        </w:numPr>
        <w:rPr>
          <w:sz w:val="18"/>
          <w:szCs w:val="18"/>
        </w:rPr>
      </w:pPr>
      <w:r w:rsidRPr="004F177A">
        <w:rPr>
          <w:sz w:val="18"/>
          <w:szCs w:val="18"/>
        </w:rPr>
        <w:t>dim_customer</w:t>
      </w:r>
    </w:p>
    <w:p w14:paraId="73294B38" w14:textId="77777777" w:rsidR="004F177A" w:rsidRPr="004F177A" w:rsidRDefault="004F177A" w:rsidP="004F177A">
      <w:pPr>
        <w:numPr>
          <w:ilvl w:val="1"/>
          <w:numId w:val="2"/>
        </w:numPr>
        <w:rPr>
          <w:sz w:val="18"/>
          <w:szCs w:val="18"/>
        </w:rPr>
      </w:pPr>
      <w:r w:rsidRPr="004F177A">
        <w:rPr>
          <w:sz w:val="18"/>
          <w:szCs w:val="18"/>
        </w:rPr>
        <w:t>dim_company</w:t>
      </w:r>
    </w:p>
    <w:p w14:paraId="12378E7F" w14:textId="77777777" w:rsidR="004F177A" w:rsidRPr="004F177A" w:rsidRDefault="004F177A" w:rsidP="004F177A">
      <w:pPr>
        <w:numPr>
          <w:ilvl w:val="1"/>
          <w:numId w:val="2"/>
        </w:numPr>
        <w:rPr>
          <w:sz w:val="18"/>
          <w:szCs w:val="18"/>
        </w:rPr>
      </w:pPr>
      <w:r w:rsidRPr="004F177A">
        <w:rPr>
          <w:sz w:val="18"/>
          <w:szCs w:val="18"/>
        </w:rPr>
        <w:t>dim_category</w:t>
      </w:r>
    </w:p>
    <w:p w14:paraId="78624805" w14:textId="77777777" w:rsidR="004F177A" w:rsidRPr="004F177A" w:rsidRDefault="004F177A" w:rsidP="004F177A">
      <w:pPr>
        <w:rPr>
          <w:sz w:val="18"/>
          <w:szCs w:val="18"/>
        </w:rPr>
      </w:pPr>
      <w:r w:rsidRPr="004F177A">
        <w:rPr>
          <w:sz w:val="18"/>
          <w:szCs w:val="18"/>
        </w:rPr>
        <w:t>Data preparation steps included:</w:t>
      </w:r>
    </w:p>
    <w:p w14:paraId="6D71D642" w14:textId="77777777" w:rsidR="004F177A" w:rsidRPr="004F177A" w:rsidRDefault="004F177A" w:rsidP="004F177A">
      <w:pPr>
        <w:numPr>
          <w:ilvl w:val="0"/>
          <w:numId w:val="3"/>
        </w:numPr>
        <w:rPr>
          <w:sz w:val="18"/>
          <w:szCs w:val="18"/>
        </w:rPr>
      </w:pPr>
      <w:r w:rsidRPr="004F177A">
        <w:rPr>
          <w:sz w:val="18"/>
          <w:szCs w:val="18"/>
        </w:rPr>
        <w:t>Cleaning and formatting revenue values</w:t>
      </w:r>
    </w:p>
    <w:p w14:paraId="4335984A" w14:textId="77777777" w:rsidR="004F177A" w:rsidRPr="004F177A" w:rsidRDefault="004F177A" w:rsidP="004F177A">
      <w:pPr>
        <w:numPr>
          <w:ilvl w:val="0"/>
          <w:numId w:val="3"/>
        </w:numPr>
        <w:rPr>
          <w:sz w:val="18"/>
          <w:szCs w:val="18"/>
        </w:rPr>
      </w:pPr>
      <w:r w:rsidRPr="004F177A">
        <w:rPr>
          <w:sz w:val="18"/>
          <w:szCs w:val="18"/>
        </w:rPr>
        <w:t>Creating relationships between fact and dimension tables</w:t>
      </w:r>
    </w:p>
    <w:p w14:paraId="7A202187" w14:textId="77777777" w:rsidR="004F177A" w:rsidRPr="004F177A" w:rsidRDefault="004F177A" w:rsidP="004F177A">
      <w:pPr>
        <w:numPr>
          <w:ilvl w:val="0"/>
          <w:numId w:val="3"/>
        </w:numPr>
        <w:rPr>
          <w:sz w:val="18"/>
          <w:szCs w:val="18"/>
        </w:rPr>
      </w:pPr>
      <w:r w:rsidRPr="004F177A">
        <w:rPr>
          <w:sz w:val="18"/>
          <w:szCs w:val="18"/>
        </w:rPr>
        <w:t>Developing calculated measures for recurring revenue and waterfall impact</w:t>
      </w:r>
    </w:p>
    <w:p w14:paraId="3DB31F4B" w14:textId="77777777" w:rsidR="004F177A" w:rsidRPr="004F177A" w:rsidRDefault="004F177A" w:rsidP="004F177A">
      <w:pPr>
        <w:numPr>
          <w:ilvl w:val="0"/>
          <w:numId w:val="3"/>
        </w:numPr>
        <w:rPr>
          <w:sz w:val="18"/>
          <w:szCs w:val="18"/>
        </w:rPr>
      </w:pPr>
      <w:r w:rsidRPr="004F177A">
        <w:rPr>
          <w:sz w:val="18"/>
          <w:szCs w:val="18"/>
        </w:rPr>
        <w:t>Structuring category order for analytical consistency</w:t>
      </w:r>
    </w:p>
    <w:p w14:paraId="207503A9" w14:textId="07B979B6" w:rsidR="00F34678" w:rsidRPr="00DA6D43" w:rsidRDefault="004F177A" w:rsidP="001F3549">
      <w:pPr>
        <w:rPr>
          <w:sz w:val="18"/>
          <w:szCs w:val="18"/>
          <w:lang w:val="en-GB"/>
        </w:rPr>
      </w:pPr>
      <w:r w:rsidRPr="004F177A">
        <w:rPr>
          <w:sz w:val="18"/>
          <w:szCs w:val="18"/>
        </w:rPr>
        <w:lastRenderedPageBreak/>
        <w:t>The prepared model enabled dynamic analysis across time periods and revenue categories.</w:t>
      </w:r>
    </w:p>
    <w:p w14:paraId="307F6D44" w14:textId="141DAA97" w:rsidR="004F177A" w:rsidRPr="00DA6D43" w:rsidRDefault="004F177A" w:rsidP="001F3549">
      <w:pPr>
        <w:rPr>
          <w:b/>
          <w:bCs/>
          <w:sz w:val="18"/>
          <w:szCs w:val="18"/>
          <w:lang w:val="en-GB"/>
        </w:rPr>
      </w:pPr>
      <w:r w:rsidRPr="00DA6D43">
        <w:rPr>
          <w:b/>
          <w:bCs/>
          <w:sz w:val="18"/>
          <w:szCs w:val="18"/>
          <w:lang w:val="en-GB"/>
        </w:rPr>
        <w:t>Data Limitations/Assumptions</w:t>
      </w:r>
    </w:p>
    <w:p w14:paraId="2D489BAE" w14:textId="7242DBDB" w:rsidR="00EF3911" w:rsidRPr="00DA6D43" w:rsidRDefault="004F177A" w:rsidP="001F3549">
      <w:pPr>
        <w:rPr>
          <w:sz w:val="18"/>
          <w:szCs w:val="18"/>
        </w:rPr>
      </w:pPr>
      <w:r w:rsidRPr="00DA6D43">
        <w:rPr>
          <w:sz w:val="18"/>
          <w:szCs w:val="18"/>
        </w:rPr>
        <w:t>The dataset represents historical revenue movements within the observed period and does not include external market variables, customer-level behavioral data, or cost information. Therefore, the analysis focuses solely on revenue dynamics rather than profitability or market benchmarking.</w:t>
      </w:r>
    </w:p>
    <w:p w14:paraId="441A2C1B" w14:textId="5D17B9E1" w:rsidR="00F34678" w:rsidRPr="00DA6D43" w:rsidRDefault="00EF3911" w:rsidP="003471E8">
      <w:pPr>
        <w:pStyle w:val="Heading1"/>
        <w:rPr>
          <w:sz w:val="22"/>
          <w:szCs w:val="22"/>
        </w:rPr>
      </w:pPr>
      <w:r w:rsidRPr="00DA6D43">
        <w:rPr>
          <w:sz w:val="22"/>
          <w:szCs w:val="22"/>
        </w:rPr>
        <w:t>D</w:t>
      </w:r>
      <w:r w:rsidR="000E244A" w:rsidRPr="00DA6D43">
        <w:rPr>
          <w:sz w:val="22"/>
          <w:szCs w:val="22"/>
        </w:rPr>
        <w:t>ata cleaning and Preparation</w:t>
      </w:r>
    </w:p>
    <w:p w14:paraId="1A613E9C" w14:textId="77777777" w:rsidR="000E244A" w:rsidRPr="000E244A" w:rsidRDefault="000E244A" w:rsidP="000E244A">
      <w:pPr>
        <w:rPr>
          <w:b/>
          <w:bCs/>
          <w:sz w:val="18"/>
          <w:szCs w:val="18"/>
        </w:rPr>
      </w:pPr>
      <w:r w:rsidRPr="000E244A">
        <w:rPr>
          <w:b/>
          <w:bCs/>
          <w:sz w:val="18"/>
          <w:szCs w:val="18"/>
        </w:rPr>
        <w:t>Initial Data Review</w:t>
      </w:r>
    </w:p>
    <w:p w14:paraId="1FAB9415" w14:textId="77777777" w:rsidR="000E244A" w:rsidRPr="000E244A" w:rsidRDefault="000E244A" w:rsidP="000E244A">
      <w:pPr>
        <w:rPr>
          <w:sz w:val="18"/>
          <w:szCs w:val="18"/>
        </w:rPr>
      </w:pPr>
      <w:r w:rsidRPr="000E244A">
        <w:rPr>
          <w:sz w:val="18"/>
          <w:szCs w:val="18"/>
        </w:rPr>
        <w:t>The dataset was first examined to understand its structure, key variables, and completeness. Core fields such as company, customer, date, revenue category, and revenue amount were verified to ensure suitability for recurring revenue analysis.</w:t>
      </w:r>
    </w:p>
    <w:p w14:paraId="145C9FF4" w14:textId="77777777" w:rsidR="000E244A" w:rsidRPr="000E244A" w:rsidRDefault="000E244A" w:rsidP="000E244A">
      <w:pPr>
        <w:rPr>
          <w:b/>
          <w:bCs/>
          <w:sz w:val="18"/>
          <w:szCs w:val="18"/>
        </w:rPr>
      </w:pPr>
      <w:r w:rsidRPr="000E244A">
        <w:rPr>
          <w:b/>
          <w:bCs/>
          <w:sz w:val="18"/>
          <w:szCs w:val="18"/>
        </w:rPr>
        <w:t>Handling Missing and Inconsistent Data</w:t>
      </w:r>
    </w:p>
    <w:p w14:paraId="40712191" w14:textId="77777777" w:rsidR="000E244A" w:rsidRPr="000E244A" w:rsidRDefault="000E244A" w:rsidP="000E244A">
      <w:pPr>
        <w:rPr>
          <w:sz w:val="18"/>
          <w:szCs w:val="18"/>
        </w:rPr>
      </w:pPr>
      <w:r w:rsidRPr="000E244A">
        <w:rPr>
          <w:sz w:val="18"/>
          <w:szCs w:val="18"/>
        </w:rPr>
        <w:t>The dataset was reviewed for missing values and inconsistencies. Financial fields were validated to ensure no null revenue values affected calculations. Category labels and text fields were standardized to prevent inconsistencies during aggregation and reporting.</w:t>
      </w:r>
    </w:p>
    <w:p w14:paraId="4F218DEB" w14:textId="77777777" w:rsidR="000E244A" w:rsidRPr="000E244A" w:rsidRDefault="000E244A" w:rsidP="000E244A">
      <w:pPr>
        <w:rPr>
          <w:b/>
          <w:bCs/>
          <w:sz w:val="18"/>
          <w:szCs w:val="18"/>
        </w:rPr>
      </w:pPr>
      <w:r w:rsidRPr="000E244A">
        <w:rPr>
          <w:b/>
          <w:bCs/>
          <w:sz w:val="18"/>
          <w:szCs w:val="18"/>
        </w:rPr>
        <w:t>Data Type Standardization</w:t>
      </w:r>
    </w:p>
    <w:p w14:paraId="554E4CD5" w14:textId="77777777" w:rsidR="000E244A" w:rsidRPr="000E244A" w:rsidRDefault="000E244A" w:rsidP="000E244A">
      <w:pPr>
        <w:rPr>
          <w:sz w:val="18"/>
          <w:szCs w:val="18"/>
        </w:rPr>
      </w:pPr>
      <w:r w:rsidRPr="000E244A">
        <w:rPr>
          <w:sz w:val="18"/>
          <w:szCs w:val="18"/>
        </w:rPr>
        <w:t>Date fields were converted into proper datetime format to enable time-based analysis. Revenue values were formatted as numeric data types to allow accurate summation and arithmetic operations. Categorical variables were standardized to ensure consistent grouping across dimensions.</w:t>
      </w:r>
    </w:p>
    <w:p w14:paraId="37E666C3" w14:textId="77777777" w:rsidR="000E244A" w:rsidRPr="000E244A" w:rsidRDefault="000E244A" w:rsidP="000E244A">
      <w:pPr>
        <w:rPr>
          <w:b/>
          <w:bCs/>
          <w:sz w:val="18"/>
          <w:szCs w:val="18"/>
        </w:rPr>
      </w:pPr>
      <w:r w:rsidRPr="000E244A">
        <w:rPr>
          <w:b/>
          <w:bCs/>
          <w:sz w:val="18"/>
          <w:szCs w:val="18"/>
        </w:rPr>
        <w:t>Duplicate and Category Validation</w:t>
      </w:r>
    </w:p>
    <w:p w14:paraId="1D012973" w14:textId="77777777" w:rsidR="000E244A" w:rsidRPr="000E244A" w:rsidRDefault="000E244A" w:rsidP="000E244A">
      <w:pPr>
        <w:rPr>
          <w:sz w:val="18"/>
          <w:szCs w:val="18"/>
        </w:rPr>
      </w:pPr>
      <w:r w:rsidRPr="000E244A">
        <w:rPr>
          <w:sz w:val="18"/>
          <w:szCs w:val="18"/>
        </w:rPr>
        <w:t>Duplicate records were identified and removed where necessary to prevent revenue overstatement. Revenue movement categories were validated to confirm correct classification of positive and negative revenue impacts, ensuring reliability in the subsequent waterfall analysis.</w:t>
      </w:r>
    </w:p>
    <w:p w14:paraId="509FD5C0" w14:textId="77777777" w:rsidR="000E244A" w:rsidRPr="000E244A" w:rsidRDefault="000E244A" w:rsidP="000E244A">
      <w:pPr>
        <w:rPr>
          <w:b/>
          <w:bCs/>
          <w:sz w:val="18"/>
          <w:szCs w:val="18"/>
        </w:rPr>
      </w:pPr>
      <w:r w:rsidRPr="000E244A">
        <w:rPr>
          <w:b/>
          <w:bCs/>
          <w:sz w:val="18"/>
          <w:szCs w:val="18"/>
        </w:rPr>
        <w:t>Data Integrity Verification</w:t>
      </w:r>
    </w:p>
    <w:p w14:paraId="3B1AED1D" w14:textId="34917E10" w:rsidR="00F34678" w:rsidRPr="00DA6D43" w:rsidRDefault="000E244A" w:rsidP="001F3549">
      <w:pPr>
        <w:rPr>
          <w:sz w:val="18"/>
          <w:szCs w:val="18"/>
          <w:lang w:val="en-GB"/>
        </w:rPr>
      </w:pPr>
      <w:r w:rsidRPr="000E244A">
        <w:rPr>
          <w:sz w:val="18"/>
          <w:szCs w:val="18"/>
        </w:rPr>
        <w:t>After cleaning, aggregate checks were performed to confirm that total revenue figures remained accurate and consistent. This step ensured that the dataset was structurally sound and analytically reliable before proceeding to exploratory data analysis and modeling.</w:t>
      </w:r>
    </w:p>
    <w:p w14:paraId="13073B31" w14:textId="4AE8BD06" w:rsidR="00F34678" w:rsidRPr="00DA6D43" w:rsidRDefault="000E244A" w:rsidP="003471E8">
      <w:pPr>
        <w:pStyle w:val="Heading1"/>
        <w:rPr>
          <w:sz w:val="22"/>
          <w:szCs w:val="22"/>
        </w:rPr>
      </w:pPr>
      <w:r w:rsidRPr="00DA6D43">
        <w:rPr>
          <w:sz w:val="22"/>
          <w:szCs w:val="22"/>
        </w:rPr>
        <w:t>EXPLORATORY DATA ANALYSIS</w:t>
      </w:r>
    </w:p>
    <w:p w14:paraId="260F8B75" w14:textId="77777777" w:rsidR="000E244A" w:rsidRPr="000E244A" w:rsidRDefault="000E244A" w:rsidP="000E244A">
      <w:pPr>
        <w:rPr>
          <w:b/>
          <w:bCs/>
          <w:sz w:val="18"/>
          <w:szCs w:val="18"/>
        </w:rPr>
      </w:pPr>
      <w:r w:rsidRPr="000E244A">
        <w:rPr>
          <w:b/>
          <w:bCs/>
          <w:sz w:val="18"/>
          <w:szCs w:val="18"/>
        </w:rPr>
        <w:t>Objective of Exploratory Analysis</w:t>
      </w:r>
    </w:p>
    <w:p w14:paraId="3D65D667" w14:textId="77777777" w:rsidR="000E244A" w:rsidRPr="000E244A" w:rsidRDefault="000E244A" w:rsidP="000E244A">
      <w:pPr>
        <w:rPr>
          <w:sz w:val="18"/>
          <w:szCs w:val="18"/>
        </w:rPr>
      </w:pPr>
      <w:r w:rsidRPr="000E244A">
        <w:rPr>
          <w:sz w:val="18"/>
          <w:szCs w:val="18"/>
        </w:rPr>
        <w:t>The purpose of the exploratory data analysis was to understand recurring revenue behavior across time and categories, identify major revenue drivers, and detect patterns related to growth and contraction. This phase provided the foundation for the subsequent financial interpretation and modeling.</w:t>
      </w:r>
    </w:p>
    <w:p w14:paraId="06DF1187" w14:textId="77777777" w:rsidR="000E244A" w:rsidRPr="000E244A" w:rsidRDefault="000E244A" w:rsidP="000E244A">
      <w:pPr>
        <w:rPr>
          <w:b/>
          <w:bCs/>
          <w:sz w:val="18"/>
          <w:szCs w:val="18"/>
        </w:rPr>
      </w:pPr>
      <w:r w:rsidRPr="000E244A">
        <w:rPr>
          <w:b/>
          <w:bCs/>
          <w:sz w:val="18"/>
          <w:szCs w:val="18"/>
        </w:rPr>
        <w:t>Revenue Trend Analysis</w:t>
      </w:r>
    </w:p>
    <w:p w14:paraId="36B00EEF" w14:textId="77777777" w:rsidR="000E244A" w:rsidRPr="000E244A" w:rsidRDefault="000E244A" w:rsidP="000E244A">
      <w:pPr>
        <w:rPr>
          <w:sz w:val="18"/>
          <w:szCs w:val="18"/>
        </w:rPr>
      </w:pPr>
      <w:r w:rsidRPr="000E244A">
        <w:rPr>
          <w:sz w:val="18"/>
          <w:szCs w:val="18"/>
        </w:rPr>
        <w:t>Recurring revenue was examined across the available time period to assess overall stability and growth trajectory. The analysis confirmed a modest net increase from Opening Recurring Revenue to Closing Recurring Revenue, indicating structural stability with limited volatility during the observed period.</w:t>
      </w:r>
    </w:p>
    <w:p w14:paraId="1B39A4B8" w14:textId="77777777" w:rsidR="000E244A" w:rsidRPr="000E244A" w:rsidRDefault="000E244A" w:rsidP="000E244A">
      <w:pPr>
        <w:rPr>
          <w:b/>
          <w:bCs/>
          <w:sz w:val="18"/>
          <w:szCs w:val="18"/>
        </w:rPr>
      </w:pPr>
      <w:r w:rsidRPr="000E244A">
        <w:rPr>
          <w:b/>
          <w:bCs/>
          <w:sz w:val="18"/>
          <w:szCs w:val="18"/>
        </w:rPr>
        <w:t>Category-Level Contribution</w:t>
      </w:r>
    </w:p>
    <w:p w14:paraId="0D70DBAC" w14:textId="77777777" w:rsidR="000E244A" w:rsidRPr="000E244A" w:rsidRDefault="000E244A" w:rsidP="000E244A">
      <w:pPr>
        <w:rPr>
          <w:sz w:val="18"/>
          <w:szCs w:val="18"/>
        </w:rPr>
      </w:pPr>
      <w:r w:rsidRPr="000E244A">
        <w:rPr>
          <w:sz w:val="18"/>
          <w:szCs w:val="18"/>
        </w:rPr>
        <w:t>Revenue movements were analyzed by category to identify material contributors. Positive growth was primarily driven by “Back to Base” recovery and “New Name” acquisition, while negative movements were largely attributed to “Churn” and “Downsell.” Minor categories such as credit note adjustments and reporting deltas were found to have negligible financial impact.</w:t>
      </w:r>
    </w:p>
    <w:p w14:paraId="3DA80B22" w14:textId="77777777" w:rsidR="000E244A" w:rsidRPr="000E244A" w:rsidRDefault="000E244A" w:rsidP="000E244A">
      <w:pPr>
        <w:rPr>
          <w:b/>
          <w:bCs/>
          <w:sz w:val="18"/>
          <w:szCs w:val="18"/>
        </w:rPr>
      </w:pPr>
      <w:r w:rsidRPr="000E244A">
        <w:rPr>
          <w:b/>
          <w:bCs/>
          <w:sz w:val="18"/>
          <w:szCs w:val="18"/>
        </w:rPr>
        <w:t>Retention and Contraction Assessment</w:t>
      </w:r>
    </w:p>
    <w:p w14:paraId="72BFF349" w14:textId="77777777" w:rsidR="000E244A" w:rsidRPr="000E244A" w:rsidRDefault="000E244A" w:rsidP="000E244A">
      <w:pPr>
        <w:rPr>
          <w:sz w:val="18"/>
          <w:szCs w:val="18"/>
        </w:rPr>
      </w:pPr>
      <w:r w:rsidRPr="000E244A">
        <w:rPr>
          <w:sz w:val="18"/>
          <w:szCs w:val="18"/>
        </w:rPr>
        <w:t>Churn and downsell activity were examined to evaluate retention performance. Although the absolute impact was moderate within the observed period, these categories represent structural risk factors in recurring revenue models due to their compounding effect over time.</w:t>
      </w:r>
    </w:p>
    <w:p w14:paraId="48E532DA" w14:textId="77777777" w:rsidR="000E244A" w:rsidRPr="000E244A" w:rsidRDefault="000E244A" w:rsidP="000E244A">
      <w:pPr>
        <w:rPr>
          <w:b/>
          <w:bCs/>
          <w:sz w:val="18"/>
          <w:szCs w:val="18"/>
        </w:rPr>
      </w:pPr>
      <w:r w:rsidRPr="000E244A">
        <w:rPr>
          <w:b/>
          <w:bCs/>
          <w:sz w:val="18"/>
          <w:szCs w:val="18"/>
        </w:rPr>
        <w:t>Distribution and Variability Review</w:t>
      </w:r>
    </w:p>
    <w:p w14:paraId="1BDCAE70" w14:textId="77777777" w:rsidR="000E244A" w:rsidRPr="000E244A" w:rsidRDefault="000E244A" w:rsidP="000E244A">
      <w:pPr>
        <w:rPr>
          <w:sz w:val="18"/>
          <w:szCs w:val="18"/>
        </w:rPr>
      </w:pPr>
      <w:r w:rsidRPr="000E244A">
        <w:rPr>
          <w:sz w:val="18"/>
          <w:szCs w:val="18"/>
        </w:rPr>
        <w:lastRenderedPageBreak/>
        <w:t>The distribution of revenue movements across categories indicated that a small number of drivers account for the majority of variance. This concentration highlights the importance of focusing managerial attention on key growth and retention levers rather than minor operational adjustments.</w:t>
      </w:r>
    </w:p>
    <w:p w14:paraId="7C1CBEF9" w14:textId="77777777" w:rsidR="000E244A" w:rsidRPr="000E244A" w:rsidRDefault="000E244A" w:rsidP="000E244A">
      <w:pPr>
        <w:rPr>
          <w:b/>
          <w:bCs/>
          <w:sz w:val="18"/>
          <w:szCs w:val="18"/>
        </w:rPr>
      </w:pPr>
      <w:r w:rsidRPr="000E244A">
        <w:rPr>
          <w:b/>
          <w:bCs/>
          <w:sz w:val="18"/>
          <w:szCs w:val="18"/>
        </w:rPr>
        <w:t>Key Observations from EDA</w:t>
      </w:r>
    </w:p>
    <w:p w14:paraId="75D750D0" w14:textId="77777777" w:rsidR="000E244A" w:rsidRPr="000E244A" w:rsidRDefault="000E244A" w:rsidP="000E244A">
      <w:pPr>
        <w:rPr>
          <w:sz w:val="18"/>
          <w:szCs w:val="18"/>
        </w:rPr>
      </w:pPr>
      <w:r w:rsidRPr="000E244A">
        <w:rPr>
          <w:sz w:val="18"/>
          <w:szCs w:val="18"/>
        </w:rPr>
        <w:t>The exploratory analysis revealed that recurring revenue performance is primarily influenced by base recovery and acquisition dynamics, while retention-related contraction remains the principal risk factor. These findings guided the development of the data model and informed the business objectives and strategic recommendations.</w:t>
      </w:r>
    </w:p>
    <w:p w14:paraId="054E201C" w14:textId="07B7F329" w:rsidR="00EF3911" w:rsidRPr="00DA6D43" w:rsidRDefault="00EF3911" w:rsidP="00EF3911">
      <w:pPr>
        <w:pStyle w:val="Heading1"/>
        <w:rPr>
          <w:sz w:val="22"/>
          <w:szCs w:val="22"/>
        </w:rPr>
      </w:pPr>
      <w:r w:rsidRPr="00DA6D43">
        <w:rPr>
          <w:sz w:val="22"/>
          <w:szCs w:val="22"/>
        </w:rPr>
        <w:t>Data modelling</w:t>
      </w:r>
    </w:p>
    <w:p w14:paraId="3EAB1583" w14:textId="77777777" w:rsidR="00EF3911" w:rsidRPr="00EF3911" w:rsidRDefault="00EF3911" w:rsidP="00EF3911">
      <w:pPr>
        <w:rPr>
          <w:b/>
          <w:bCs/>
          <w:sz w:val="18"/>
          <w:szCs w:val="18"/>
        </w:rPr>
      </w:pPr>
      <w:r w:rsidRPr="00EF3911">
        <w:rPr>
          <w:b/>
          <w:bCs/>
          <w:sz w:val="18"/>
          <w:szCs w:val="18"/>
        </w:rPr>
        <w:t>Modelling Objective</w:t>
      </w:r>
    </w:p>
    <w:p w14:paraId="44650E44" w14:textId="77777777" w:rsidR="00EF3911" w:rsidRPr="00EF3911" w:rsidRDefault="00EF3911" w:rsidP="00EF3911">
      <w:pPr>
        <w:rPr>
          <w:sz w:val="18"/>
          <w:szCs w:val="18"/>
        </w:rPr>
      </w:pPr>
      <w:r w:rsidRPr="00EF3911">
        <w:rPr>
          <w:sz w:val="18"/>
          <w:szCs w:val="18"/>
        </w:rPr>
        <w:t>The objective of the data modelling phase was to structure the cleaned dataset into a format suitable for scalable financial analysis and Power BI reporting. The model was designed to support time-based analysis, category-level revenue assessment, and dynamic filtering across companies and customers.</w:t>
      </w:r>
    </w:p>
    <w:p w14:paraId="73E13213" w14:textId="77777777" w:rsidR="00EF3911" w:rsidRPr="00EF3911" w:rsidRDefault="00EF3911" w:rsidP="00EF3911">
      <w:pPr>
        <w:rPr>
          <w:b/>
          <w:bCs/>
          <w:sz w:val="18"/>
          <w:szCs w:val="18"/>
        </w:rPr>
      </w:pPr>
      <w:r w:rsidRPr="00EF3911">
        <w:rPr>
          <w:b/>
          <w:bCs/>
          <w:sz w:val="18"/>
          <w:szCs w:val="18"/>
        </w:rPr>
        <w:t>Dimensional Model Design</w:t>
      </w:r>
    </w:p>
    <w:p w14:paraId="214AE7E8" w14:textId="77777777" w:rsidR="00EF3911" w:rsidRPr="00EF3911" w:rsidRDefault="00EF3911" w:rsidP="00EF3911">
      <w:pPr>
        <w:rPr>
          <w:sz w:val="18"/>
          <w:szCs w:val="18"/>
        </w:rPr>
      </w:pPr>
      <w:r w:rsidRPr="00EF3911">
        <w:rPr>
          <w:sz w:val="18"/>
          <w:szCs w:val="18"/>
        </w:rPr>
        <w:t>A star schema approach was implemented to ensure analytical efficiency and clarity. The model consists of fact tables capturing revenue values and dimension tables providing descriptive context. This structure allows revenue to be analyzed across multiple dimensions without redundancy or ambiguity.</w:t>
      </w:r>
    </w:p>
    <w:p w14:paraId="51AF836D" w14:textId="77777777" w:rsidR="00EF3911" w:rsidRPr="00EF3911" w:rsidRDefault="00EF3911" w:rsidP="00EF3911">
      <w:pPr>
        <w:rPr>
          <w:b/>
          <w:bCs/>
          <w:sz w:val="18"/>
          <w:szCs w:val="18"/>
        </w:rPr>
      </w:pPr>
      <w:r w:rsidRPr="00EF3911">
        <w:rPr>
          <w:b/>
          <w:bCs/>
          <w:sz w:val="18"/>
          <w:szCs w:val="18"/>
        </w:rPr>
        <w:t>Fact Tables</w:t>
      </w:r>
    </w:p>
    <w:p w14:paraId="5551C5C3" w14:textId="77777777" w:rsidR="00EF3911" w:rsidRPr="00EF3911" w:rsidRDefault="00EF3911" w:rsidP="00EF3911">
      <w:pPr>
        <w:rPr>
          <w:sz w:val="18"/>
          <w:szCs w:val="18"/>
        </w:rPr>
      </w:pPr>
      <w:r w:rsidRPr="00EF3911">
        <w:rPr>
          <w:sz w:val="18"/>
          <w:szCs w:val="18"/>
        </w:rPr>
        <w:t>Two primary fact tables were created. The recurring revenue fact table captures revenue values by company, customer, and date. The waterfall fact table captures revenue movements by category, enabling driver-level analysis of revenue changes. Both tables store numeric measures and reference dimension keys to maintain relational integrity.</w:t>
      </w:r>
    </w:p>
    <w:p w14:paraId="3D1CA986" w14:textId="77777777" w:rsidR="00EF3911" w:rsidRPr="00EF3911" w:rsidRDefault="00EF3911" w:rsidP="00EF3911">
      <w:pPr>
        <w:rPr>
          <w:b/>
          <w:bCs/>
          <w:sz w:val="18"/>
          <w:szCs w:val="18"/>
        </w:rPr>
      </w:pPr>
      <w:r w:rsidRPr="00EF3911">
        <w:rPr>
          <w:b/>
          <w:bCs/>
          <w:sz w:val="18"/>
          <w:szCs w:val="18"/>
        </w:rPr>
        <w:t>Dimension Tables</w:t>
      </w:r>
    </w:p>
    <w:p w14:paraId="0FA051CC" w14:textId="77777777" w:rsidR="00EF3911" w:rsidRPr="00EF3911" w:rsidRDefault="00EF3911" w:rsidP="00EF3911">
      <w:pPr>
        <w:rPr>
          <w:sz w:val="18"/>
          <w:szCs w:val="18"/>
        </w:rPr>
      </w:pPr>
      <w:r w:rsidRPr="00EF3911">
        <w:rPr>
          <w:sz w:val="18"/>
          <w:szCs w:val="18"/>
        </w:rPr>
        <w:t>Supporting dimension tables were developed for date, company, customer, and revenue category. Each dimension contains descriptive attributes and surrogate keys to ensure consistent relationships within the model. The date dimension enables time-series analysis, while the category dimension supports structured waterfall reporting.</w:t>
      </w:r>
    </w:p>
    <w:p w14:paraId="146EC9F7" w14:textId="77777777" w:rsidR="00EF3911" w:rsidRPr="00EF3911" w:rsidRDefault="00EF3911" w:rsidP="00EF3911">
      <w:pPr>
        <w:rPr>
          <w:b/>
          <w:bCs/>
          <w:sz w:val="18"/>
          <w:szCs w:val="18"/>
        </w:rPr>
      </w:pPr>
      <w:r w:rsidRPr="00EF3911">
        <w:rPr>
          <w:b/>
          <w:bCs/>
          <w:sz w:val="18"/>
          <w:szCs w:val="18"/>
        </w:rPr>
        <w:t>Relationship Structure</w:t>
      </w:r>
    </w:p>
    <w:p w14:paraId="7946CDD0" w14:textId="77777777" w:rsidR="00EF3911" w:rsidRPr="00EF3911" w:rsidRDefault="00EF3911" w:rsidP="00EF3911">
      <w:pPr>
        <w:rPr>
          <w:sz w:val="18"/>
          <w:szCs w:val="18"/>
        </w:rPr>
      </w:pPr>
      <w:r w:rsidRPr="00EF3911">
        <w:rPr>
          <w:sz w:val="18"/>
          <w:szCs w:val="18"/>
        </w:rPr>
        <w:t>Relationships were configured using a many-to-one structure from fact tables to dimensions, with single-direction filtering to avoid ambiguity. This ensures reliable aggregation and prevents circular dependencies. The resulting model supports dynamic slicing and filtering without compromising calculation accuracy.</w:t>
      </w:r>
    </w:p>
    <w:p w14:paraId="2C529089" w14:textId="77777777" w:rsidR="00EF3911" w:rsidRPr="00EF3911" w:rsidRDefault="00EF3911" w:rsidP="00EF3911">
      <w:pPr>
        <w:rPr>
          <w:b/>
          <w:bCs/>
          <w:sz w:val="18"/>
          <w:szCs w:val="18"/>
        </w:rPr>
      </w:pPr>
      <w:r w:rsidRPr="00EF3911">
        <w:rPr>
          <w:b/>
          <w:bCs/>
          <w:sz w:val="18"/>
          <w:szCs w:val="18"/>
        </w:rPr>
        <w:t>Analytical Enablement</w:t>
      </w:r>
    </w:p>
    <w:p w14:paraId="17768F7C" w14:textId="4C9E0919" w:rsidR="00F34678" w:rsidRPr="00DA6D43" w:rsidRDefault="00EF3911" w:rsidP="001F3549">
      <w:pPr>
        <w:rPr>
          <w:sz w:val="18"/>
          <w:szCs w:val="18"/>
          <w:lang w:val="en-GB"/>
        </w:rPr>
      </w:pPr>
      <w:r w:rsidRPr="00EF3911">
        <w:rPr>
          <w:sz w:val="18"/>
          <w:szCs w:val="18"/>
        </w:rPr>
        <w:t>The completed data model enables aggregation of recurring revenue across time and categories, identification of growth and decline drivers, and interactive filtering by company and customer. The star schema design ensures performance efficiency and scalability for future analytical extensions.</w:t>
      </w:r>
    </w:p>
    <w:p w14:paraId="3A6B42DE" w14:textId="0F824272" w:rsidR="00F34678" w:rsidRDefault="00EF3911" w:rsidP="003471E8">
      <w:pPr>
        <w:pStyle w:val="Heading1"/>
      </w:pPr>
      <w:r>
        <w:t>kEY VISUAL INSIGHTS</w:t>
      </w:r>
    </w:p>
    <w:p w14:paraId="77D5A94E" w14:textId="5454AF55" w:rsidR="00EF3911" w:rsidRDefault="00EF3911" w:rsidP="00EF3911">
      <w:pPr>
        <w:rPr>
          <w:b/>
          <w:bCs/>
          <w:i/>
          <w:iCs/>
          <w:sz w:val="18"/>
          <w:szCs w:val="18"/>
        </w:rPr>
      </w:pPr>
      <w:r w:rsidRPr="00EF3911">
        <w:rPr>
          <w:b/>
          <w:bCs/>
          <w:i/>
          <w:iCs/>
          <w:sz w:val="18"/>
          <w:szCs w:val="18"/>
        </w:rPr>
        <w:t>RECURRING REVENUE WATERFALL</w:t>
      </w:r>
    </w:p>
    <w:p w14:paraId="0D1D89B4" w14:textId="77777777" w:rsidR="00FD6EA1" w:rsidRPr="00FD6EA1" w:rsidRDefault="00FD6EA1" w:rsidP="00FD6EA1">
      <w:pPr>
        <w:rPr>
          <w:sz w:val="18"/>
          <w:szCs w:val="18"/>
        </w:rPr>
      </w:pPr>
      <w:r w:rsidRPr="00FD6EA1">
        <w:rPr>
          <w:sz w:val="18"/>
          <w:szCs w:val="18"/>
        </w:rPr>
        <w:t>The waterfall chart (Figure 1) illustrates the movement in recurring revenue from Opening RR to Closing RR and highlights the primary drivers of growth and contraction. Overall revenue shows a modest net increase, indicating relative stability during the observed period. More importantly, the visualization decomposes total revenue change into distinct category-level contributions, enabling assessment of both performance drivers and structural risk exposure.</w:t>
      </w:r>
    </w:p>
    <w:p w14:paraId="413867E7" w14:textId="77777777" w:rsidR="00FD6EA1" w:rsidRPr="00FD6EA1" w:rsidRDefault="00FD6EA1" w:rsidP="00FD6EA1">
      <w:pPr>
        <w:rPr>
          <w:sz w:val="18"/>
          <w:szCs w:val="18"/>
        </w:rPr>
      </w:pPr>
      <w:r w:rsidRPr="00FD6EA1">
        <w:rPr>
          <w:sz w:val="18"/>
          <w:szCs w:val="18"/>
        </w:rPr>
        <w:t xml:space="preserve">From a contribution perspective, growth is primarily driven by </w:t>
      </w:r>
      <w:r w:rsidRPr="00FD6EA1">
        <w:rPr>
          <w:b/>
          <w:bCs/>
          <w:sz w:val="18"/>
          <w:szCs w:val="18"/>
        </w:rPr>
        <w:t>Back to Base</w:t>
      </w:r>
      <w:r w:rsidRPr="00FD6EA1">
        <w:rPr>
          <w:sz w:val="18"/>
          <w:szCs w:val="18"/>
        </w:rPr>
        <w:t xml:space="preserve"> recovery and </w:t>
      </w:r>
      <w:r w:rsidRPr="00FD6EA1">
        <w:rPr>
          <w:b/>
          <w:bCs/>
          <w:sz w:val="18"/>
          <w:szCs w:val="18"/>
        </w:rPr>
        <w:t>New Name</w:t>
      </w:r>
      <w:r w:rsidRPr="00FD6EA1">
        <w:rPr>
          <w:sz w:val="18"/>
          <w:szCs w:val="18"/>
        </w:rPr>
        <w:t xml:space="preserve"> acquisition. Back to Base represents the restoration of previously reduced revenue from existing customers and constitutes the largest positive category contribution. New Name reflects revenue generated from newly acquired customers, providing incremental expansion. Together, these categories demonstrate that positive revenue movement is supported by both retention recovery and acquisition-driven growth.</w:t>
      </w:r>
    </w:p>
    <w:p w14:paraId="2BF6D486" w14:textId="77777777" w:rsidR="00FD6EA1" w:rsidRPr="00FD6EA1" w:rsidRDefault="00FD6EA1" w:rsidP="00FD6EA1">
      <w:pPr>
        <w:rPr>
          <w:sz w:val="18"/>
          <w:szCs w:val="18"/>
        </w:rPr>
      </w:pPr>
      <w:r w:rsidRPr="00FD6EA1">
        <w:rPr>
          <w:sz w:val="18"/>
          <w:szCs w:val="18"/>
        </w:rPr>
        <w:t xml:space="preserve">In contrast, revenue contraction is driven by </w:t>
      </w:r>
      <w:r w:rsidRPr="00FD6EA1">
        <w:rPr>
          <w:b/>
          <w:bCs/>
          <w:sz w:val="18"/>
          <w:szCs w:val="18"/>
        </w:rPr>
        <w:t>Churn</w:t>
      </w:r>
      <w:r w:rsidRPr="00FD6EA1">
        <w:rPr>
          <w:sz w:val="18"/>
          <w:szCs w:val="18"/>
        </w:rPr>
        <w:t xml:space="preserve"> and </w:t>
      </w:r>
      <w:r w:rsidRPr="00FD6EA1">
        <w:rPr>
          <w:b/>
          <w:bCs/>
          <w:sz w:val="18"/>
          <w:szCs w:val="18"/>
        </w:rPr>
        <w:t>Downsell</w:t>
      </w:r>
      <w:r w:rsidRPr="00FD6EA1">
        <w:rPr>
          <w:sz w:val="18"/>
          <w:szCs w:val="18"/>
        </w:rPr>
        <w:t xml:space="preserve">, which represent complete customer loss and partial revenue reduction, respectively. While their absolute magnitudes are smaller than the main growth drivers, these categories represent direct erosion of the recurring revenue base. In recurring revenue models, such contraction drivers are structurally significant because they reduce revenue durability, weaken predictability of future cash flows, and may </w:t>
      </w:r>
      <w:r w:rsidRPr="00FD6EA1">
        <w:rPr>
          <w:sz w:val="18"/>
          <w:szCs w:val="18"/>
        </w:rPr>
        <w:lastRenderedPageBreak/>
        <w:t>compound over time if not effectively managed. Therefore, they constitute a measurable source of portfolio risk exposure.</w:t>
      </w:r>
    </w:p>
    <w:p w14:paraId="016E3922" w14:textId="7AA3A0F0" w:rsidR="00EF3911" w:rsidRPr="00DB00E7" w:rsidRDefault="00FD6EA1" w:rsidP="00EF3911">
      <w:pPr>
        <w:rPr>
          <w:sz w:val="18"/>
          <w:szCs w:val="18"/>
          <w:lang w:val="en-GB"/>
        </w:rPr>
      </w:pPr>
      <w:r w:rsidRPr="00FD6EA1">
        <w:rPr>
          <w:sz w:val="18"/>
          <w:szCs w:val="18"/>
        </w:rPr>
        <w:t>For a long-term recurring revenue investor such as Everfield, this category-level breakdown is particularly valuable. The bridge not only distinguishes between expansion and erosion mechanisms, but also provides transparency into the quality of revenue growth. Recovery-driven expansion may indicate operational resilience, but sustained value creation depends on minimizing contraction drivers that threaten long-term stability. By clearly identifying category contributions and associated risks, the chart supports informed portfolio management decisions and targeted retention strategies aimed at strengthening recurring revenue sustainability.</w:t>
      </w:r>
    </w:p>
    <w:p w14:paraId="1D0E838D" w14:textId="0BBDF5D9" w:rsidR="00EF3911" w:rsidRDefault="001C2BD3" w:rsidP="00EF3911">
      <w:pPr>
        <w:rPr>
          <w:b/>
          <w:bCs/>
          <w:i/>
          <w:iCs/>
          <w:sz w:val="18"/>
          <w:szCs w:val="18"/>
        </w:rPr>
      </w:pPr>
      <w:r>
        <w:rPr>
          <w:noProof/>
        </w:rPr>
        <w:drawing>
          <wp:inline distT="0" distB="0" distL="0" distR="0" wp14:anchorId="118D4D18" wp14:editId="758EBE3C">
            <wp:extent cx="2997199" cy="1123950"/>
            <wp:effectExtent l="152400" t="152400" r="356235" b="3619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3011387" cy="1129271"/>
                    </a:xfrm>
                    <a:prstGeom prst="rect">
                      <a:avLst/>
                    </a:prstGeom>
                    <a:ln>
                      <a:noFill/>
                    </a:ln>
                    <a:effectLst>
                      <a:outerShdw blurRad="292100" dist="139700" dir="2700000" algn="tl" rotWithShape="0">
                        <a:srgbClr val="333333">
                          <a:alpha val="65000"/>
                        </a:srgbClr>
                      </a:outerShdw>
                    </a:effectLst>
                  </pic:spPr>
                </pic:pic>
              </a:graphicData>
            </a:graphic>
          </wp:inline>
        </w:drawing>
      </w:r>
    </w:p>
    <w:p w14:paraId="4A2CE1C8" w14:textId="02B76AB4" w:rsidR="00642BF2" w:rsidRPr="00541CF9" w:rsidRDefault="00642BF2" w:rsidP="00EF3911">
      <w:pPr>
        <w:rPr>
          <w:b/>
          <w:bCs/>
          <w:i/>
          <w:iCs/>
          <w:sz w:val="16"/>
          <w:szCs w:val="16"/>
        </w:rPr>
      </w:pPr>
      <w:r w:rsidRPr="00541CF9">
        <w:rPr>
          <w:b/>
          <w:bCs/>
          <w:i/>
          <w:iCs/>
          <w:sz w:val="16"/>
          <w:szCs w:val="16"/>
        </w:rPr>
        <w:t>Chart1: Recurring Revenue Bridge</w:t>
      </w:r>
    </w:p>
    <w:p w14:paraId="0FCF4255" w14:textId="29DCC5AB" w:rsidR="00EF3911" w:rsidRDefault="00F34678" w:rsidP="00EF3911">
      <w:pPr>
        <w:rPr>
          <w:b/>
          <w:bCs/>
          <w:i/>
          <w:iCs/>
          <w:sz w:val="18"/>
          <w:szCs w:val="18"/>
        </w:rPr>
      </w:pPr>
      <w:r>
        <w:br/>
      </w:r>
      <w:r w:rsidR="00EF3911">
        <w:rPr>
          <w:b/>
          <w:bCs/>
          <w:i/>
          <w:iCs/>
          <w:sz w:val="18"/>
          <w:szCs w:val="18"/>
        </w:rPr>
        <w:t>REVENUE TREND ANALYSIS (yearly/monthly)</w:t>
      </w:r>
    </w:p>
    <w:p w14:paraId="1B33FEB4" w14:textId="77777777" w:rsidR="00541CF9" w:rsidRPr="00541CF9" w:rsidRDefault="00541CF9" w:rsidP="00541CF9">
      <w:pPr>
        <w:rPr>
          <w:sz w:val="18"/>
          <w:szCs w:val="18"/>
        </w:rPr>
      </w:pPr>
      <w:r w:rsidRPr="00541CF9">
        <w:rPr>
          <w:sz w:val="18"/>
          <w:szCs w:val="18"/>
        </w:rPr>
        <w:t>The multi-year category analysis reveals that total recurring revenue increased from 4.83M in 2021 to 6.83M in 2023, followed by a decline to 4.19M in 2024. While the growth phase demonstrates expansion capability, the subsequent contraction signals emerging structural risk within the recurring revenue base.</w:t>
      </w:r>
    </w:p>
    <w:p w14:paraId="34BF0872" w14:textId="77777777" w:rsidR="00541CF9" w:rsidRPr="00541CF9" w:rsidRDefault="00541CF9" w:rsidP="00541CF9">
      <w:pPr>
        <w:rPr>
          <w:sz w:val="18"/>
          <w:szCs w:val="18"/>
        </w:rPr>
      </w:pPr>
      <w:r w:rsidRPr="00541CF9">
        <w:rPr>
          <w:sz w:val="18"/>
          <w:szCs w:val="18"/>
        </w:rPr>
        <w:t xml:space="preserve">Revenue expansion was primarily supported by </w:t>
      </w:r>
      <w:r w:rsidRPr="00541CF9">
        <w:rPr>
          <w:b/>
          <w:bCs/>
          <w:sz w:val="18"/>
          <w:szCs w:val="18"/>
        </w:rPr>
        <w:t>Back to Base</w:t>
      </w:r>
      <w:r w:rsidRPr="00541CF9">
        <w:rPr>
          <w:sz w:val="18"/>
          <w:szCs w:val="18"/>
        </w:rPr>
        <w:t xml:space="preserve"> recovery (411k cumulative impact) and </w:t>
      </w:r>
      <w:r w:rsidRPr="00541CF9">
        <w:rPr>
          <w:b/>
          <w:bCs/>
          <w:sz w:val="18"/>
          <w:szCs w:val="18"/>
        </w:rPr>
        <w:t>New Name</w:t>
      </w:r>
      <w:r w:rsidRPr="00541CF9">
        <w:rPr>
          <w:sz w:val="18"/>
          <w:szCs w:val="18"/>
        </w:rPr>
        <w:t xml:space="preserve"> acquisition (127k cumulative impact). Back to Base represents the restoration of previously reduced recurring revenue, while New Name reflects organic expansion through customer acquisition. Although both contribute positively to growth, recovery-driven expansion may indicate prior instability within the portfolio, as it implies that revenue had previously deteriorated before being restored.</w:t>
      </w:r>
    </w:p>
    <w:p w14:paraId="1FB3DB14" w14:textId="77777777" w:rsidR="00541CF9" w:rsidRPr="00541CF9" w:rsidRDefault="00541CF9" w:rsidP="00541CF9">
      <w:pPr>
        <w:rPr>
          <w:sz w:val="18"/>
          <w:szCs w:val="18"/>
        </w:rPr>
      </w:pPr>
      <w:r w:rsidRPr="00541CF9">
        <w:rPr>
          <w:sz w:val="18"/>
          <w:szCs w:val="18"/>
        </w:rPr>
        <w:t xml:space="preserve">Revenue contraction was driven by </w:t>
      </w:r>
      <w:r w:rsidRPr="00541CF9">
        <w:rPr>
          <w:b/>
          <w:bCs/>
          <w:sz w:val="18"/>
          <w:szCs w:val="18"/>
        </w:rPr>
        <w:t>Downsell</w:t>
      </w:r>
      <w:r w:rsidRPr="00541CF9">
        <w:rPr>
          <w:sz w:val="18"/>
          <w:szCs w:val="18"/>
        </w:rPr>
        <w:t xml:space="preserve"> (-107k), </w:t>
      </w:r>
      <w:r w:rsidRPr="00541CF9">
        <w:rPr>
          <w:b/>
          <w:bCs/>
          <w:sz w:val="18"/>
          <w:szCs w:val="18"/>
        </w:rPr>
        <w:t>Churn</w:t>
      </w:r>
      <w:r w:rsidRPr="00541CF9">
        <w:rPr>
          <w:sz w:val="18"/>
          <w:szCs w:val="18"/>
        </w:rPr>
        <w:t xml:space="preserve"> (-73k), and </w:t>
      </w:r>
      <w:r w:rsidRPr="00541CF9">
        <w:rPr>
          <w:b/>
          <w:bCs/>
          <w:sz w:val="18"/>
          <w:szCs w:val="18"/>
        </w:rPr>
        <w:t>Temporary Churn</w:t>
      </w:r>
      <w:r w:rsidRPr="00541CF9">
        <w:rPr>
          <w:sz w:val="18"/>
          <w:szCs w:val="18"/>
        </w:rPr>
        <w:t xml:space="preserve"> (-29k). These contraction drivers directly reduce the recurring revenue base. Downsell reflects declining contract values among retained customers, while churn represents complete customer loss. In recurring revenue business models, contraction drivers are particularly significant because they erode the predictability and durability of future cash flows.</w:t>
      </w:r>
    </w:p>
    <w:p w14:paraId="51E843B0" w14:textId="77777777" w:rsidR="00541CF9" w:rsidRPr="00541CF9" w:rsidRDefault="00541CF9" w:rsidP="00541CF9">
      <w:pPr>
        <w:rPr>
          <w:sz w:val="18"/>
          <w:szCs w:val="18"/>
        </w:rPr>
      </w:pPr>
      <w:r w:rsidRPr="00541CF9">
        <w:rPr>
          <w:sz w:val="18"/>
          <w:szCs w:val="18"/>
        </w:rPr>
        <w:t>For a long-term recurring revenue investor such as Everfield, these findings have direct valuation implications. Enterprise value in software and recurring revenue businesses is closely tied to revenue stability, retention rates, and growth sustainability. Persistent churn and downsell increase portfolio risk by:</w:t>
      </w:r>
    </w:p>
    <w:p w14:paraId="5679A455" w14:textId="77777777" w:rsidR="00541CF9" w:rsidRPr="00541CF9" w:rsidRDefault="00541CF9" w:rsidP="00541CF9">
      <w:pPr>
        <w:numPr>
          <w:ilvl w:val="0"/>
          <w:numId w:val="4"/>
        </w:numPr>
        <w:rPr>
          <w:sz w:val="18"/>
          <w:szCs w:val="18"/>
        </w:rPr>
      </w:pPr>
      <w:r w:rsidRPr="00541CF9">
        <w:rPr>
          <w:sz w:val="18"/>
          <w:szCs w:val="18"/>
        </w:rPr>
        <w:t>Reducing revenue predictability</w:t>
      </w:r>
    </w:p>
    <w:p w14:paraId="13A23237" w14:textId="77777777" w:rsidR="00541CF9" w:rsidRPr="00541CF9" w:rsidRDefault="00541CF9" w:rsidP="00541CF9">
      <w:pPr>
        <w:numPr>
          <w:ilvl w:val="0"/>
          <w:numId w:val="4"/>
        </w:numPr>
        <w:rPr>
          <w:sz w:val="18"/>
          <w:szCs w:val="18"/>
        </w:rPr>
      </w:pPr>
      <w:r w:rsidRPr="00541CF9">
        <w:rPr>
          <w:sz w:val="18"/>
          <w:szCs w:val="18"/>
        </w:rPr>
        <w:t>Weakening customer lifetime value</w:t>
      </w:r>
    </w:p>
    <w:p w14:paraId="506D1995" w14:textId="77777777" w:rsidR="00541CF9" w:rsidRPr="00541CF9" w:rsidRDefault="00541CF9" w:rsidP="00541CF9">
      <w:pPr>
        <w:numPr>
          <w:ilvl w:val="0"/>
          <w:numId w:val="4"/>
        </w:numPr>
        <w:rPr>
          <w:sz w:val="18"/>
          <w:szCs w:val="18"/>
        </w:rPr>
      </w:pPr>
      <w:r w:rsidRPr="00541CF9">
        <w:rPr>
          <w:sz w:val="18"/>
          <w:szCs w:val="18"/>
        </w:rPr>
        <w:t>Increasing volatility in cash flow projections</w:t>
      </w:r>
    </w:p>
    <w:p w14:paraId="047B4C6A" w14:textId="77777777" w:rsidR="00541CF9" w:rsidRPr="00541CF9" w:rsidRDefault="00541CF9" w:rsidP="00541CF9">
      <w:pPr>
        <w:numPr>
          <w:ilvl w:val="0"/>
          <w:numId w:val="4"/>
        </w:numPr>
        <w:rPr>
          <w:sz w:val="18"/>
          <w:szCs w:val="18"/>
        </w:rPr>
      </w:pPr>
      <w:r w:rsidRPr="00541CF9">
        <w:rPr>
          <w:sz w:val="18"/>
          <w:szCs w:val="18"/>
        </w:rPr>
        <w:t>Potentially lowering valuation multiples</w:t>
      </w:r>
    </w:p>
    <w:p w14:paraId="092F2579" w14:textId="77777777" w:rsidR="00541CF9" w:rsidRPr="00541CF9" w:rsidRDefault="00541CF9" w:rsidP="00541CF9">
      <w:pPr>
        <w:rPr>
          <w:sz w:val="18"/>
          <w:szCs w:val="18"/>
        </w:rPr>
      </w:pPr>
      <w:r w:rsidRPr="00541CF9">
        <w:rPr>
          <w:sz w:val="18"/>
          <w:szCs w:val="18"/>
        </w:rPr>
        <w:t>The decline observed in 2024 suggests that contraction pressures may be intensifying, which could negatively affect long-term portfolio resilience if not addressed. From an investment perspective, managing contraction drivers is often more critical than accelerating acquisition, as retention improvements have a compounding effect on enterprise value.</w:t>
      </w:r>
    </w:p>
    <w:p w14:paraId="70BD57D0" w14:textId="77777777" w:rsidR="00541CF9" w:rsidRDefault="00541CF9" w:rsidP="00541CF9">
      <w:pPr>
        <w:rPr>
          <w:sz w:val="18"/>
          <w:szCs w:val="18"/>
          <w:lang w:val="en-GB"/>
        </w:rPr>
      </w:pPr>
      <w:r w:rsidRPr="00541CF9">
        <w:rPr>
          <w:sz w:val="18"/>
          <w:szCs w:val="18"/>
        </w:rPr>
        <w:t>Overall, this category-level analysis provides insight into the structural quality of recurring revenue, distinguishing between expansion, recovery, and erosion dynamics. For Everfield’s portfolio strategy, minimizing contraction while maintaining disciplined acquisition is essential to sustain predictable growth and protect long-term valuation.</w:t>
      </w:r>
    </w:p>
    <w:p w14:paraId="2EDE7975" w14:textId="77777777" w:rsidR="00FD6EA1" w:rsidRPr="00541CF9" w:rsidRDefault="00FD6EA1" w:rsidP="00541CF9">
      <w:pPr>
        <w:rPr>
          <w:sz w:val="18"/>
          <w:szCs w:val="18"/>
          <w:lang w:val="en-GB"/>
        </w:rPr>
      </w:pPr>
    </w:p>
    <w:p w14:paraId="657F8FC1" w14:textId="77777777" w:rsidR="00541CF9" w:rsidRDefault="00541CF9" w:rsidP="00EF3911">
      <w:pPr>
        <w:rPr>
          <w:sz w:val="18"/>
          <w:szCs w:val="18"/>
          <w:lang w:val="en-GB"/>
        </w:rPr>
      </w:pPr>
      <w:r w:rsidRPr="00642BF2">
        <w:rPr>
          <w:b/>
          <w:bCs/>
          <w:i/>
          <w:iCs/>
          <w:noProof/>
          <w:sz w:val="18"/>
          <w:szCs w:val="18"/>
        </w:rPr>
        <w:lastRenderedPageBreak/>
        <w:drawing>
          <wp:inline distT="0" distB="0" distL="0" distR="0" wp14:anchorId="50EB3339" wp14:editId="6A18F7D5">
            <wp:extent cx="2947988" cy="1141716"/>
            <wp:effectExtent l="152400" t="152400" r="367030" b="363855"/>
            <wp:docPr id="990546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46584" name=""/>
                    <pic:cNvPicPr/>
                  </pic:nvPicPr>
                  <pic:blipFill>
                    <a:blip r:embed="rId11"/>
                    <a:stretch>
                      <a:fillRect/>
                    </a:stretch>
                  </pic:blipFill>
                  <pic:spPr>
                    <a:xfrm>
                      <a:off x="0" y="0"/>
                      <a:ext cx="2971567" cy="1150848"/>
                    </a:xfrm>
                    <a:prstGeom prst="rect">
                      <a:avLst/>
                    </a:prstGeom>
                    <a:ln>
                      <a:noFill/>
                    </a:ln>
                    <a:effectLst>
                      <a:outerShdw blurRad="292100" dist="139700" dir="2700000" algn="tl" rotWithShape="0">
                        <a:srgbClr val="333333">
                          <a:alpha val="65000"/>
                        </a:srgbClr>
                      </a:outerShdw>
                    </a:effectLst>
                  </pic:spPr>
                </pic:pic>
              </a:graphicData>
            </a:graphic>
          </wp:inline>
        </w:drawing>
      </w:r>
    </w:p>
    <w:p w14:paraId="238D4E1D" w14:textId="6111087D" w:rsidR="001C2BD3" w:rsidRPr="00541CF9" w:rsidRDefault="00642BF2" w:rsidP="00EF3911">
      <w:pPr>
        <w:rPr>
          <w:sz w:val="18"/>
          <w:szCs w:val="18"/>
        </w:rPr>
      </w:pPr>
      <w:r w:rsidRPr="00541CF9">
        <w:rPr>
          <w:b/>
          <w:bCs/>
          <w:sz w:val="16"/>
          <w:szCs w:val="16"/>
        </w:rPr>
        <w:t>Table1: Matrix Table-Annual revenue trend analysis</w:t>
      </w:r>
    </w:p>
    <w:p w14:paraId="1CE6C05F" w14:textId="24561B72" w:rsidR="00F34678" w:rsidRDefault="00FD6EA1" w:rsidP="003471E8">
      <w:pPr>
        <w:pStyle w:val="Heading1"/>
      </w:pPr>
      <w:r>
        <w:t>Key findings</w:t>
      </w:r>
    </w:p>
    <w:p w14:paraId="28C41C5B" w14:textId="77777777" w:rsidR="00DA6D43" w:rsidRPr="00DA6D43" w:rsidRDefault="00DA6D43" w:rsidP="00DA6D43">
      <w:pPr>
        <w:rPr>
          <w:sz w:val="18"/>
          <w:szCs w:val="18"/>
        </w:rPr>
      </w:pPr>
      <w:r w:rsidRPr="00DA6D43">
        <w:rPr>
          <w:b/>
          <w:bCs/>
          <w:sz w:val="18"/>
          <w:szCs w:val="18"/>
        </w:rPr>
        <w:t>Primary revenue growth drivers:</w:t>
      </w:r>
      <w:r w:rsidRPr="00DA6D43">
        <w:rPr>
          <w:sz w:val="18"/>
          <w:szCs w:val="18"/>
        </w:rPr>
        <w:br/>
        <w:t>Revenue growth during the observed period is primarily driven by Back to Base recovery and New Name acquisition. Back to Base represents the largest positive contribution, reflecting successful restoration of previously reduced recurring revenue from existing customers. New Name acquisition provides additional expansion through new customer inflow. Together, these drivers indicate that growth is supported by both revenue recovery mechanisms and organic expansion efforts.</w:t>
      </w:r>
    </w:p>
    <w:p w14:paraId="06808E9A" w14:textId="77777777" w:rsidR="00DA6D43" w:rsidRPr="00DA6D43" w:rsidRDefault="00DA6D43" w:rsidP="00DA6D43">
      <w:pPr>
        <w:rPr>
          <w:sz w:val="18"/>
          <w:szCs w:val="18"/>
        </w:rPr>
      </w:pPr>
      <w:r w:rsidRPr="00DA6D43">
        <w:rPr>
          <w:b/>
          <w:bCs/>
          <w:sz w:val="18"/>
          <w:szCs w:val="18"/>
        </w:rPr>
        <w:t>Major revenue risks identified:</w:t>
      </w:r>
      <w:r w:rsidRPr="00DA6D43">
        <w:rPr>
          <w:sz w:val="18"/>
          <w:szCs w:val="18"/>
        </w:rPr>
        <w:br/>
        <w:t>The principal revenue risks arise from Churn and Downsell, which directly reduce the recurring revenue base. Churn reflects complete customer loss, while Downsell represents a reduction in contract value among retained customers. Although their immediate financial impact appears moderate, these contraction drivers pose structural risk in a recurring revenue model, as continued erosion can weaken revenue predictability and reduce long-term portfolio value.</w:t>
      </w:r>
    </w:p>
    <w:p w14:paraId="0CEB5EA0" w14:textId="77777777" w:rsidR="00DA6D43" w:rsidRPr="00DA6D43" w:rsidRDefault="00DA6D43" w:rsidP="00DA6D43">
      <w:pPr>
        <w:rPr>
          <w:sz w:val="18"/>
          <w:szCs w:val="18"/>
        </w:rPr>
      </w:pPr>
      <w:r w:rsidRPr="00DA6D43">
        <w:rPr>
          <w:b/>
          <w:bCs/>
          <w:sz w:val="18"/>
          <w:szCs w:val="18"/>
        </w:rPr>
        <w:t>Trends requiring executive attention:</w:t>
      </w:r>
      <w:r w:rsidRPr="00DA6D43">
        <w:rPr>
          <w:sz w:val="18"/>
          <w:szCs w:val="18"/>
        </w:rPr>
        <w:br/>
        <w:t>The increasing contribution of contraction categories, particularly in the most recent period, suggests emerging pressure on revenue sustainability. Additionally, reliance on recovery-driven growth may indicate underlying volatility within the customer base. Executive attention should therefore focus on strengthening retention strategies, reducing downsell exposure, and ensuring that growth is increasingly driven by sustainable expansion rather than revenue restoration.</w:t>
      </w:r>
    </w:p>
    <w:p w14:paraId="3C99C7D6" w14:textId="77777777" w:rsidR="00DA6D43" w:rsidRPr="00DA6D43" w:rsidRDefault="00DA6D43" w:rsidP="00DA6D43">
      <w:pPr>
        <w:rPr>
          <w:sz w:val="18"/>
          <w:szCs w:val="18"/>
        </w:rPr>
      </w:pPr>
      <w:r w:rsidRPr="00DA6D43">
        <w:rPr>
          <w:b/>
          <w:bCs/>
          <w:sz w:val="18"/>
          <w:szCs w:val="18"/>
        </w:rPr>
        <w:t>Portfolio stability assessment:</w:t>
      </w:r>
      <w:r w:rsidRPr="00DA6D43">
        <w:rPr>
          <w:sz w:val="18"/>
          <w:szCs w:val="18"/>
        </w:rPr>
        <w:br/>
        <w:t>Overall, the recurring revenue base demonstrates relative stability with modest net growth. However, the balance between expansion and contraction drivers indicates that long-term stability depends on effective retention management. For a portfolio-focused investor such as Everfield, maintaining predictable recurring revenue streams requires minimizing contraction risk while sustaining disciplined acquisition and customer value enhancement strategies.</w:t>
      </w:r>
    </w:p>
    <w:p w14:paraId="5B6EC916" w14:textId="7212F4F2" w:rsidR="00F34678" w:rsidRDefault="00DA6D43" w:rsidP="00DA6D43">
      <w:pPr>
        <w:pStyle w:val="Heading1"/>
      </w:pPr>
      <w:r w:rsidRPr="00DA6D43">
        <w:t>Risk Assessment</w:t>
      </w:r>
    </w:p>
    <w:p w14:paraId="321C5BB7" w14:textId="77777777" w:rsidR="00DA6D43" w:rsidRPr="00DA6D43" w:rsidRDefault="00DA6D43" w:rsidP="00DA6D43">
      <w:pPr>
        <w:rPr>
          <w:sz w:val="18"/>
          <w:szCs w:val="18"/>
        </w:rPr>
      </w:pPr>
      <w:r w:rsidRPr="00DA6D43">
        <w:rPr>
          <w:sz w:val="18"/>
          <w:szCs w:val="18"/>
        </w:rPr>
        <w:t>Churn Risk: The analysis identifies ongoing churn as a direct threat to recurring revenue stability. Although the magnitude appears moderate in the current period, complete customer loss permanently reduces the revenue base and weakens long-term predictability. If not actively managed, churn can compound over time and materially affect portfolio valuation.</w:t>
      </w:r>
    </w:p>
    <w:p w14:paraId="04F744B0" w14:textId="77777777" w:rsidR="00DA6D43" w:rsidRPr="00DA6D43" w:rsidRDefault="00DA6D43" w:rsidP="00DA6D43">
      <w:pPr>
        <w:rPr>
          <w:sz w:val="18"/>
          <w:szCs w:val="18"/>
        </w:rPr>
      </w:pPr>
      <w:r w:rsidRPr="00DA6D43">
        <w:rPr>
          <w:sz w:val="18"/>
          <w:szCs w:val="18"/>
        </w:rPr>
        <w:t>Concentration Risk: Revenue growth appears to rely heavily on a limited number of key drivers, particularly Back to Base recovery. Dependence on a small set of categories increases exposure to volatility if these drivers weaken. A lack of diversified growth mechanisms may amplify financial sensitivity to operational performance shifts.</w:t>
      </w:r>
    </w:p>
    <w:p w14:paraId="1D12D92C" w14:textId="77777777" w:rsidR="00DA6D43" w:rsidRPr="00DA6D43" w:rsidRDefault="00DA6D43" w:rsidP="00DA6D43">
      <w:pPr>
        <w:rPr>
          <w:sz w:val="18"/>
          <w:szCs w:val="18"/>
        </w:rPr>
      </w:pPr>
      <w:r w:rsidRPr="00DA6D43">
        <w:rPr>
          <w:sz w:val="18"/>
          <w:szCs w:val="18"/>
        </w:rPr>
        <w:t>Retention Risk: Downsell and temporary revenue reductions indicate pressure within the existing customer base. These trends suggest potential weakening of customer engagement or pricing resilience. Sustained retention erosion would reduce customer lifetime value and increase pressure on acquisition to offset revenue contraction.</w:t>
      </w:r>
    </w:p>
    <w:p w14:paraId="77224087" w14:textId="77777777" w:rsidR="00DA6D43" w:rsidRPr="00DA6D43" w:rsidRDefault="00DA6D43" w:rsidP="00DA6D43">
      <w:pPr>
        <w:rPr>
          <w:sz w:val="18"/>
          <w:szCs w:val="18"/>
        </w:rPr>
      </w:pPr>
      <w:r w:rsidRPr="00DA6D43">
        <w:rPr>
          <w:sz w:val="18"/>
          <w:szCs w:val="18"/>
        </w:rPr>
        <w:t>Market / Portfolio Risk: The recent decline following a period of expansion suggests emerging structural pressure within the portfolio. If contraction drivers intensify or recovery-driven growth slows, overall recurring revenue predictability may deteriorate. For a long-term investor such as Everfield, this introduces risk to valuation stability and long-term cash flow durability.</w:t>
      </w:r>
    </w:p>
    <w:p w14:paraId="22A2EB84" w14:textId="3640A58B" w:rsidR="00DA6D43" w:rsidRPr="00DB00E7" w:rsidRDefault="00DA6D43" w:rsidP="00DA6D43">
      <w:pPr>
        <w:pStyle w:val="Heading1"/>
      </w:pPr>
      <w:r w:rsidRPr="00DB00E7">
        <w:lastRenderedPageBreak/>
        <w:t>Actionable Recommendations</w:t>
      </w:r>
    </w:p>
    <w:p w14:paraId="04BF4DB1" w14:textId="77777777" w:rsidR="00DA6D43" w:rsidRPr="00DA6D43" w:rsidRDefault="00DA6D43" w:rsidP="00DA6D43">
      <w:pPr>
        <w:rPr>
          <w:sz w:val="18"/>
          <w:szCs w:val="18"/>
        </w:rPr>
      </w:pPr>
      <w:r w:rsidRPr="00DA6D43">
        <w:rPr>
          <w:b/>
          <w:bCs/>
          <w:sz w:val="18"/>
          <w:szCs w:val="18"/>
        </w:rPr>
        <w:t>Recommendation 1:</w:t>
      </w:r>
      <w:r w:rsidRPr="00DA6D43">
        <w:rPr>
          <w:sz w:val="18"/>
          <w:szCs w:val="18"/>
        </w:rPr>
        <w:t xml:space="preserve"> Strengthen customer retention initiatives by implementing proactive churn monitoring and early intervention mechanisms. This should include regular customer health assessments, structured engagement reviews, and targeted support for accounts showing early signs of contraction.</w:t>
      </w:r>
      <w:r w:rsidRPr="00DA6D43">
        <w:rPr>
          <w:sz w:val="18"/>
          <w:szCs w:val="18"/>
        </w:rPr>
        <w:br/>
      </w:r>
      <w:r w:rsidRPr="00DA6D43">
        <w:rPr>
          <w:b/>
          <w:bCs/>
          <w:sz w:val="18"/>
          <w:szCs w:val="18"/>
        </w:rPr>
        <w:t>Impact:</w:t>
      </w:r>
      <w:r w:rsidRPr="00DA6D43">
        <w:rPr>
          <w:sz w:val="18"/>
          <w:szCs w:val="18"/>
        </w:rPr>
        <w:t xml:space="preserve"> Improved retention will reduce recurring revenue erosion, enhance revenue predictability, and protect long-term portfolio valuation by stabilizing the existing revenue base.</w:t>
      </w:r>
    </w:p>
    <w:p w14:paraId="3A14383F" w14:textId="77777777" w:rsidR="00DA6D43" w:rsidRPr="00DA6D43" w:rsidRDefault="00DA6D43" w:rsidP="00DA6D43">
      <w:pPr>
        <w:rPr>
          <w:sz w:val="18"/>
          <w:szCs w:val="18"/>
        </w:rPr>
      </w:pPr>
      <w:r w:rsidRPr="00DA6D43">
        <w:rPr>
          <w:b/>
          <w:bCs/>
          <w:sz w:val="18"/>
          <w:szCs w:val="18"/>
        </w:rPr>
        <w:t>Recommendation 2:</w:t>
      </w:r>
      <w:r w:rsidRPr="00DA6D43">
        <w:rPr>
          <w:sz w:val="18"/>
          <w:szCs w:val="18"/>
        </w:rPr>
        <w:t xml:space="preserve"> Develop structured upsell and value expansion programs within the existing customer base to mitigate downsell risk and increase customer lifetime value. This may include bundled service offerings, usage-based optimization strategies, and tailored contract renewals aligned with customer needs.</w:t>
      </w:r>
      <w:r w:rsidRPr="00DA6D43">
        <w:rPr>
          <w:sz w:val="18"/>
          <w:szCs w:val="18"/>
        </w:rPr>
        <w:br/>
      </w:r>
      <w:r w:rsidRPr="00DA6D43">
        <w:rPr>
          <w:b/>
          <w:bCs/>
          <w:sz w:val="18"/>
          <w:szCs w:val="18"/>
        </w:rPr>
        <w:t>Impact:</w:t>
      </w:r>
      <w:r w:rsidRPr="00DA6D43">
        <w:rPr>
          <w:sz w:val="18"/>
          <w:szCs w:val="18"/>
        </w:rPr>
        <w:t xml:space="preserve"> Expanding revenue within retained customers will offset contraction pressures, increase average contract value, and strengthen sustainable organic growth.</w:t>
      </w:r>
    </w:p>
    <w:p w14:paraId="34BEA486" w14:textId="77777777" w:rsidR="00DA6D43" w:rsidRDefault="00DA6D43" w:rsidP="00DA6D43">
      <w:pPr>
        <w:rPr>
          <w:sz w:val="18"/>
          <w:szCs w:val="18"/>
          <w:lang w:val="en-GB"/>
        </w:rPr>
      </w:pPr>
      <w:r w:rsidRPr="00DA6D43">
        <w:rPr>
          <w:b/>
          <w:bCs/>
          <w:sz w:val="18"/>
          <w:szCs w:val="18"/>
        </w:rPr>
        <w:t>Recommendation 3</w:t>
      </w:r>
      <w:r w:rsidRPr="00DA6D43">
        <w:rPr>
          <w:sz w:val="18"/>
          <w:szCs w:val="18"/>
        </w:rPr>
        <w:t>: Diversify growth sources by enhancing acquisition channels while ensuring that new revenue is supported by scalable onboarding and customer success processes. Emphasis should be placed on attracting high-quality, long-term customers rather than short-term volume growth.</w:t>
      </w:r>
      <w:r w:rsidRPr="00DA6D43">
        <w:rPr>
          <w:sz w:val="18"/>
          <w:szCs w:val="18"/>
        </w:rPr>
        <w:br/>
      </w:r>
      <w:r w:rsidRPr="00DA6D43">
        <w:rPr>
          <w:b/>
          <w:bCs/>
          <w:sz w:val="18"/>
          <w:szCs w:val="18"/>
        </w:rPr>
        <w:t>Impact:</w:t>
      </w:r>
      <w:r w:rsidRPr="00DA6D43">
        <w:rPr>
          <w:sz w:val="18"/>
          <w:szCs w:val="18"/>
        </w:rPr>
        <w:t xml:space="preserve"> Balanced growth through stable acquisition and strong retention will improve revenue durability, reduce reliance on recovery-driven expansion, and reinforce long-term recurring revenue resilience within the portfolio.</w:t>
      </w:r>
    </w:p>
    <w:p w14:paraId="4A422850" w14:textId="773267E7" w:rsidR="00DB00E7" w:rsidRDefault="00DB00E7" w:rsidP="00DB00E7">
      <w:pPr>
        <w:pStyle w:val="Heading1"/>
      </w:pPr>
      <w:r>
        <w:t>Strategic alignment</w:t>
      </w:r>
    </w:p>
    <w:p w14:paraId="4B1C429D" w14:textId="77777777" w:rsidR="00DB00E7" w:rsidRPr="00DB00E7" w:rsidRDefault="00DB00E7" w:rsidP="00DB00E7">
      <w:pPr>
        <w:rPr>
          <w:sz w:val="18"/>
          <w:szCs w:val="18"/>
        </w:rPr>
      </w:pPr>
      <w:r w:rsidRPr="00DB00E7">
        <w:rPr>
          <w:sz w:val="18"/>
          <w:szCs w:val="18"/>
        </w:rPr>
        <w:t>The recommended actions support Everfield’s long-term investment strategy by directly improving recurring revenue durability at the portfolio company level. Reducing churn through structured renewal reviews, proactive customer engagement prior to contract expiry, and early identification of declining usage patterns strengthens revenue predictability and protects long-term cash flow stability. This is critical in software businesses where valuation is closely tied to retention performance.</w:t>
      </w:r>
    </w:p>
    <w:p w14:paraId="1634502A" w14:textId="77777777" w:rsidR="00DB00E7" w:rsidRPr="00DB00E7" w:rsidRDefault="00DB00E7" w:rsidP="00DB00E7">
      <w:pPr>
        <w:rPr>
          <w:sz w:val="18"/>
          <w:szCs w:val="18"/>
        </w:rPr>
      </w:pPr>
      <w:r w:rsidRPr="00DB00E7">
        <w:rPr>
          <w:sz w:val="18"/>
          <w:szCs w:val="18"/>
        </w:rPr>
        <w:t>Increasing contract value within the existing customer base can be achieved through specific measures such as introducing tiered subscription plans, bundling additional modules, extending contract terms during renewals, and implementing price adjustments aligned with added functionality. These actions increase average revenue per customer without significantly increasing acquisition costs, thereby improving operating leverage.</w:t>
      </w:r>
    </w:p>
    <w:p w14:paraId="6FF4078A" w14:textId="77777777" w:rsidR="00DB00E7" w:rsidRPr="00DB00E7" w:rsidRDefault="00DB00E7" w:rsidP="00DB00E7">
      <w:pPr>
        <w:rPr>
          <w:sz w:val="18"/>
          <w:szCs w:val="18"/>
        </w:rPr>
      </w:pPr>
      <w:r w:rsidRPr="00DB00E7">
        <w:rPr>
          <w:sz w:val="18"/>
          <w:szCs w:val="18"/>
        </w:rPr>
        <w:t>On the acquisition side, focusing on clearly defined customer segments — for example, industry-specific verticals aligned with the company’s product capabilities — reduces inefficient marketing spend and improves conversion quality. Implementing standardized onboarding processes, including defined implementation milestones and early customer success check-ins, ensures faster product adoption and lowers early-stage churn risk.</w:t>
      </w:r>
    </w:p>
    <w:p w14:paraId="7FD22061" w14:textId="77777777" w:rsidR="00DB00E7" w:rsidRDefault="00DB00E7" w:rsidP="00DB00E7">
      <w:pPr>
        <w:rPr>
          <w:sz w:val="18"/>
          <w:szCs w:val="18"/>
        </w:rPr>
      </w:pPr>
      <w:r w:rsidRPr="00DB00E7">
        <w:rPr>
          <w:sz w:val="18"/>
          <w:szCs w:val="18"/>
        </w:rPr>
        <w:t>Together, these targeted operational measures enhance recurring revenue stability, improve capital efficiency, and support sustainable portfolio-wide growth. For Everfield, this translates into stronger cash flow predictability, improved performance consistency across portfolio companies, and protection of long-term enterprise value.</w:t>
      </w:r>
    </w:p>
    <w:p w14:paraId="55689253" w14:textId="77777777" w:rsidR="00E43FFC" w:rsidRPr="00E43FFC" w:rsidRDefault="00E43FFC" w:rsidP="00E43FFC">
      <w:pPr>
        <w:rPr>
          <w:b/>
          <w:bCs/>
          <w:sz w:val="18"/>
          <w:szCs w:val="18"/>
          <w:lang/>
        </w:rPr>
      </w:pPr>
      <w:r w:rsidRPr="00E43FFC">
        <w:rPr>
          <w:b/>
          <w:bCs/>
          <w:sz w:val="18"/>
          <w:szCs w:val="18"/>
          <w:lang/>
        </w:rPr>
        <w:t>Relevance for Everfield Portfolio Management</w:t>
      </w:r>
    </w:p>
    <w:p w14:paraId="27C26F6B" w14:textId="77777777" w:rsidR="00E43FFC" w:rsidRPr="00E43FFC" w:rsidRDefault="00E43FFC" w:rsidP="00E43FFC">
      <w:pPr>
        <w:rPr>
          <w:sz w:val="18"/>
          <w:szCs w:val="18"/>
          <w:lang/>
        </w:rPr>
      </w:pPr>
      <w:r w:rsidRPr="00E43FFC">
        <w:rPr>
          <w:sz w:val="18"/>
          <w:szCs w:val="18"/>
          <w:lang/>
        </w:rPr>
        <w:t>Insights from the interview with Everfield provide additional context for interpreting the results of this analysis and demonstrate how recurring revenue monitoring supports portfolio-level decision making.</w:t>
      </w:r>
    </w:p>
    <w:p w14:paraId="6939199C" w14:textId="77777777" w:rsidR="00E43FFC" w:rsidRPr="00E43FFC" w:rsidRDefault="00E43FFC" w:rsidP="00E43FFC">
      <w:pPr>
        <w:rPr>
          <w:b/>
          <w:bCs/>
          <w:sz w:val="18"/>
          <w:szCs w:val="18"/>
          <w:lang/>
        </w:rPr>
      </w:pPr>
      <w:r w:rsidRPr="00E43FFC">
        <w:rPr>
          <w:b/>
          <w:bCs/>
          <w:sz w:val="18"/>
          <w:szCs w:val="18"/>
          <w:lang/>
        </w:rPr>
        <w:t>Portfolio Health Monitoring</w:t>
      </w:r>
    </w:p>
    <w:p w14:paraId="4E986949" w14:textId="77777777" w:rsidR="00E43FFC" w:rsidRPr="00E43FFC" w:rsidRDefault="00E43FFC" w:rsidP="00E43FFC">
      <w:pPr>
        <w:rPr>
          <w:sz w:val="18"/>
          <w:szCs w:val="18"/>
          <w:lang/>
        </w:rPr>
      </w:pPr>
      <w:r w:rsidRPr="00E43FFC">
        <w:rPr>
          <w:sz w:val="18"/>
          <w:szCs w:val="18"/>
          <w:lang/>
        </w:rPr>
        <w:t>Everfield monitors the health of its portfolio companies through a combination of operating and financial metrics, including recurring revenue performance, financial ratios, customer attrition, and waterfall-based revenue analysis.</w:t>
      </w:r>
    </w:p>
    <w:p w14:paraId="480BF9C6" w14:textId="77777777" w:rsidR="00E43FFC" w:rsidRPr="00E43FFC" w:rsidRDefault="00E43FFC" w:rsidP="00E43FFC">
      <w:pPr>
        <w:rPr>
          <w:sz w:val="18"/>
          <w:szCs w:val="18"/>
          <w:lang/>
        </w:rPr>
      </w:pPr>
      <w:r w:rsidRPr="00E43FFC">
        <w:rPr>
          <w:sz w:val="18"/>
          <w:szCs w:val="18"/>
          <w:lang/>
        </w:rPr>
        <w:t>The recurring revenue waterfall presented in this report directly aligns with this monitoring framework. By decomposing revenue movement into expansion drivers (Back to Base, New Name) and contraction drivers (Churn, Downsell), the analysis provides visibility into the structural quality of recurring revenue streams. This type of category-level transparency supports portfolio-wide monitoring by allowing Everfield to quickly identify whether growth is driven by sustainable expansion or offset by retention-related risks.</w:t>
      </w:r>
    </w:p>
    <w:p w14:paraId="0E79FC1F" w14:textId="77777777" w:rsidR="00E43FFC" w:rsidRPr="00E43FFC" w:rsidRDefault="00E43FFC" w:rsidP="00E43FFC">
      <w:pPr>
        <w:rPr>
          <w:b/>
          <w:bCs/>
          <w:sz w:val="18"/>
          <w:szCs w:val="18"/>
          <w:lang/>
        </w:rPr>
      </w:pPr>
      <w:r w:rsidRPr="00E43FFC">
        <w:rPr>
          <w:b/>
          <w:bCs/>
          <w:sz w:val="18"/>
          <w:szCs w:val="18"/>
          <w:lang/>
        </w:rPr>
        <w:t>Key Portfolio Performance Metrics</w:t>
      </w:r>
    </w:p>
    <w:p w14:paraId="78C9E6E8" w14:textId="77777777" w:rsidR="00E43FFC" w:rsidRPr="00E43FFC" w:rsidRDefault="00E43FFC" w:rsidP="00E43FFC">
      <w:pPr>
        <w:rPr>
          <w:sz w:val="18"/>
          <w:szCs w:val="18"/>
          <w:lang/>
        </w:rPr>
      </w:pPr>
      <w:r w:rsidRPr="00E43FFC">
        <w:rPr>
          <w:sz w:val="18"/>
          <w:szCs w:val="18"/>
          <w:lang/>
        </w:rPr>
        <w:t>During the interview, two core metrics were highlighted as central to evaluating portfolio performance:</w:t>
      </w:r>
    </w:p>
    <w:p w14:paraId="74AC5494" w14:textId="77777777" w:rsidR="00E43FFC" w:rsidRPr="00E43FFC" w:rsidRDefault="00E43FFC" w:rsidP="00E43FFC">
      <w:pPr>
        <w:rPr>
          <w:sz w:val="18"/>
          <w:szCs w:val="18"/>
          <w:lang/>
        </w:rPr>
      </w:pPr>
      <w:r w:rsidRPr="00E43FFC">
        <w:rPr>
          <w:sz w:val="18"/>
          <w:szCs w:val="18"/>
          <w:lang/>
        </w:rPr>
        <w:t xml:space="preserve">• </w:t>
      </w:r>
      <w:r w:rsidRPr="00E43FFC">
        <w:rPr>
          <w:b/>
          <w:bCs/>
          <w:sz w:val="18"/>
          <w:szCs w:val="18"/>
          <w:lang/>
        </w:rPr>
        <w:t>Recurring revenue growth</w:t>
      </w:r>
      <w:r w:rsidRPr="00E43FFC">
        <w:rPr>
          <w:sz w:val="18"/>
          <w:szCs w:val="18"/>
          <w:lang/>
        </w:rPr>
        <w:br/>
        <w:t xml:space="preserve">• </w:t>
      </w:r>
      <w:r w:rsidRPr="00E43FFC">
        <w:rPr>
          <w:b/>
          <w:bCs/>
          <w:sz w:val="18"/>
          <w:szCs w:val="18"/>
          <w:lang/>
        </w:rPr>
        <w:t>Profitability</w:t>
      </w:r>
    </w:p>
    <w:p w14:paraId="1235AD2D" w14:textId="77777777" w:rsidR="00E43FFC" w:rsidRPr="00E43FFC" w:rsidRDefault="00E43FFC" w:rsidP="00E43FFC">
      <w:pPr>
        <w:rPr>
          <w:sz w:val="18"/>
          <w:szCs w:val="18"/>
          <w:lang/>
        </w:rPr>
      </w:pPr>
      <w:r w:rsidRPr="00E43FFC">
        <w:rPr>
          <w:sz w:val="18"/>
          <w:szCs w:val="18"/>
          <w:lang/>
        </w:rPr>
        <w:t xml:space="preserve">The findings of this analysis contribute directly to the first metric. The report identifies the primary drivers of recurring revenue growth and highlights areas where contraction pressures may undermine long-term growth sustainability. In a </w:t>
      </w:r>
      <w:r w:rsidRPr="00E43FFC">
        <w:rPr>
          <w:sz w:val="18"/>
          <w:szCs w:val="18"/>
          <w:lang/>
        </w:rPr>
        <w:lastRenderedPageBreak/>
        <w:t>portfolio environment where recurring revenue stability strongly influences valuation and cash flow predictability, understanding these drivers is essential for investment oversight.</w:t>
      </w:r>
    </w:p>
    <w:p w14:paraId="3041511E" w14:textId="77777777" w:rsidR="00E43FFC" w:rsidRPr="00E43FFC" w:rsidRDefault="00E43FFC" w:rsidP="00E43FFC">
      <w:pPr>
        <w:rPr>
          <w:sz w:val="18"/>
          <w:szCs w:val="18"/>
          <w:lang/>
        </w:rPr>
      </w:pPr>
      <w:r w:rsidRPr="00E43FFC">
        <w:rPr>
          <w:sz w:val="18"/>
          <w:szCs w:val="18"/>
          <w:lang/>
        </w:rPr>
        <w:t>While profitability was not directly analyzed due to the absence of cost data in the dataset, the identified retention and expansion dynamics are closely linked to profitability outcomes. Strong retention and higher customer lifetime value typically improve operating leverage, making recurring revenue stability a leading indicator of long-term profitability.</w:t>
      </w:r>
    </w:p>
    <w:p w14:paraId="54D1C776" w14:textId="77777777" w:rsidR="00E43FFC" w:rsidRPr="00E43FFC" w:rsidRDefault="00E43FFC" w:rsidP="00E43FFC">
      <w:pPr>
        <w:rPr>
          <w:b/>
          <w:bCs/>
          <w:sz w:val="18"/>
          <w:szCs w:val="18"/>
          <w:lang/>
        </w:rPr>
      </w:pPr>
      <w:r w:rsidRPr="00E43FFC">
        <w:rPr>
          <w:b/>
          <w:bCs/>
          <w:sz w:val="18"/>
          <w:szCs w:val="18"/>
          <w:lang/>
        </w:rPr>
        <w:t>Portfolio Support and Retention Improvement</w:t>
      </w:r>
    </w:p>
    <w:p w14:paraId="0EDDD25C" w14:textId="77777777" w:rsidR="00E43FFC" w:rsidRPr="00E43FFC" w:rsidRDefault="00E43FFC" w:rsidP="00E43FFC">
      <w:pPr>
        <w:rPr>
          <w:sz w:val="18"/>
          <w:szCs w:val="18"/>
          <w:lang/>
        </w:rPr>
      </w:pPr>
      <w:r w:rsidRPr="00E43FFC">
        <w:rPr>
          <w:sz w:val="18"/>
          <w:szCs w:val="18"/>
          <w:lang/>
        </w:rPr>
        <w:t>Everfield supports its portfolio companies through regional business partners and centralized functional expertise, including strategic financial and HR support. These teams work closely with portfolio companies to support operational improvements, onboarding processes, and integration into Everfield’s broader platform.</w:t>
      </w:r>
    </w:p>
    <w:p w14:paraId="6EDBDAC0" w14:textId="77777777" w:rsidR="00E43FFC" w:rsidRPr="00E43FFC" w:rsidRDefault="00E43FFC" w:rsidP="00E43FFC">
      <w:pPr>
        <w:rPr>
          <w:sz w:val="18"/>
          <w:szCs w:val="18"/>
          <w:lang/>
        </w:rPr>
      </w:pPr>
      <w:r w:rsidRPr="00E43FFC">
        <w:rPr>
          <w:sz w:val="18"/>
          <w:szCs w:val="18"/>
          <w:lang/>
        </w:rPr>
        <w:t>The retention risks identified in this report—particularly churn and downsell—highlight areas where such support mechanisms can generate meaningful impact. Early identification of revenue contraction enables targeted intervention, whether through improved onboarding, customer success initiatives, or strategic operational adjustments.</w:t>
      </w:r>
    </w:p>
    <w:p w14:paraId="70DEEF02" w14:textId="104B4C0E" w:rsidR="002041E4" w:rsidRPr="00E43FFC" w:rsidRDefault="00E43FFC" w:rsidP="00DB00E7">
      <w:pPr>
        <w:rPr>
          <w:sz w:val="18"/>
          <w:szCs w:val="18"/>
          <w:lang w:val="en-GB"/>
        </w:rPr>
      </w:pPr>
      <w:r w:rsidRPr="00E43FFC">
        <w:rPr>
          <w:sz w:val="18"/>
          <w:szCs w:val="18"/>
          <w:lang/>
        </w:rPr>
        <w:t>Over time, as portfolio companies integrate more deeply into Everfield’s ecosystem and benefit from shared expertise and strategic guidance, stronger customer relationships and improved retention performance can be expected. This aligns with the long-term investment philosophy where operational improvements gradually strengthen revenue stability and portfolio value creation.</w:t>
      </w:r>
    </w:p>
    <w:p w14:paraId="3B015811" w14:textId="77294CC6" w:rsidR="00DB00E7" w:rsidRDefault="00DB00E7" w:rsidP="00DB00E7">
      <w:pPr>
        <w:pStyle w:val="Heading1"/>
      </w:pPr>
      <w:r>
        <w:t>Conclusion</w:t>
      </w:r>
    </w:p>
    <w:p w14:paraId="0CF456B6" w14:textId="77777777" w:rsidR="00DB00E7" w:rsidRPr="00DB00E7" w:rsidRDefault="00DB00E7" w:rsidP="00DB00E7">
      <w:pPr>
        <w:rPr>
          <w:sz w:val="18"/>
          <w:szCs w:val="18"/>
        </w:rPr>
      </w:pPr>
      <w:r w:rsidRPr="00DB00E7">
        <w:rPr>
          <w:sz w:val="18"/>
          <w:szCs w:val="18"/>
        </w:rPr>
        <w:t>The analysis demonstrates that recurring revenue performance remains structurally stable, supported by recovery mechanisms and customer acquisition; however, increasing contraction pressures highlight the importance of proactive retention management. While net growth is positive over the observed period, long-term sustainability depends on reducing churn, mitigating downsell exposure, and strengthening customer lifetime value.</w:t>
      </w:r>
    </w:p>
    <w:p w14:paraId="14AF2B75" w14:textId="77777777" w:rsidR="00DB00E7" w:rsidRPr="00DB00E7" w:rsidRDefault="00DB00E7" w:rsidP="00DB00E7">
      <w:pPr>
        <w:rPr>
          <w:sz w:val="18"/>
          <w:szCs w:val="18"/>
        </w:rPr>
      </w:pPr>
      <w:r w:rsidRPr="00DB00E7">
        <w:rPr>
          <w:sz w:val="18"/>
          <w:szCs w:val="18"/>
        </w:rPr>
        <w:t>For Everfield, sustained value creation requires maintaining predictable recurring cash flows across portfolio companies. This can be achieved by prioritizing retention-focused operational controls, disciplined expansion within the existing customer base, and targeted acquisition aligned with strategic market segments. The recommended next steps include implementing structured renewal monitoring, standardizing onboarding and customer success processes, and tracking contraction indicators at a monthly level to enable early intervention.</w:t>
      </w:r>
    </w:p>
    <w:p w14:paraId="1F22E8D8" w14:textId="77777777" w:rsidR="00DB00E7" w:rsidRDefault="00DB00E7" w:rsidP="00DB00E7">
      <w:pPr>
        <w:rPr>
          <w:sz w:val="18"/>
          <w:szCs w:val="18"/>
          <w:lang w:val="en-GB"/>
        </w:rPr>
      </w:pPr>
      <w:r w:rsidRPr="00DB00E7">
        <w:rPr>
          <w:sz w:val="18"/>
          <w:szCs w:val="18"/>
        </w:rPr>
        <w:t>By reinforcing revenue durability and improving operational discipline, the portfolio can enhance long-term stability, protect valuation multiples, and support sustainable recurring revenue growth.</w:t>
      </w:r>
    </w:p>
    <w:p w14:paraId="10190955" w14:textId="77777777" w:rsidR="00DB00E7" w:rsidRDefault="00DB00E7" w:rsidP="00DB00E7">
      <w:pPr>
        <w:rPr>
          <w:sz w:val="18"/>
          <w:szCs w:val="18"/>
          <w:lang w:val="en-GB"/>
        </w:rPr>
      </w:pPr>
    </w:p>
    <w:p w14:paraId="12F716B2" w14:textId="77777777" w:rsidR="00DB00E7" w:rsidRDefault="00DB00E7" w:rsidP="00DB00E7">
      <w:pPr>
        <w:rPr>
          <w:sz w:val="18"/>
          <w:szCs w:val="18"/>
          <w:lang w:val="en-GB"/>
        </w:rPr>
      </w:pPr>
    </w:p>
    <w:p w14:paraId="0B0F0F0C" w14:textId="77777777" w:rsidR="00DB00E7" w:rsidRDefault="00DB00E7" w:rsidP="00DB00E7">
      <w:pPr>
        <w:rPr>
          <w:sz w:val="18"/>
          <w:szCs w:val="18"/>
          <w:lang w:val="en-GB"/>
        </w:rPr>
      </w:pPr>
    </w:p>
    <w:p w14:paraId="11E667CD" w14:textId="77777777" w:rsidR="00DB00E7" w:rsidRDefault="00DB00E7" w:rsidP="00DB00E7">
      <w:pPr>
        <w:rPr>
          <w:sz w:val="18"/>
          <w:szCs w:val="18"/>
          <w:lang w:val="en-GB"/>
        </w:rPr>
      </w:pPr>
    </w:p>
    <w:p w14:paraId="38230A22" w14:textId="26F34168" w:rsidR="00DB00E7" w:rsidRDefault="00DB00E7" w:rsidP="00DB00E7">
      <w:pPr>
        <w:pStyle w:val="Heading1"/>
      </w:pPr>
      <w:r>
        <w:t>Appendix</w:t>
      </w:r>
    </w:p>
    <w:p w14:paraId="2572BEBB" w14:textId="58A5DB13" w:rsidR="00DB00E7" w:rsidRPr="00DB00E7" w:rsidRDefault="00DB00E7" w:rsidP="00DB00E7">
      <w:pPr>
        <w:rPr>
          <w:b/>
          <w:bCs/>
          <w:i/>
          <w:iCs/>
          <w:sz w:val="18"/>
          <w:szCs w:val="18"/>
        </w:rPr>
      </w:pPr>
      <w:r w:rsidRPr="00DB00E7">
        <w:rPr>
          <w:b/>
          <w:bCs/>
          <w:i/>
          <w:iCs/>
          <w:sz w:val="18"/>
          <w:szCs w:val="18"/>
        </w:rPr>
        <w:t>DAX Measures Used</w:t>
      </w:r>
    </w:p>
    <w:p w14:paraId="48201C62" w14:textId="77777777" w:rsidR="00DB00E7" w:rsidRPr="00DB00E7" w:rsidRDefault="00DB00E7" w:rsidP="00DB00E7">
      <w:pPr>
        <w:rPr>
          <w:sz w:val="18"/>
          <w:szCs w:val="18"/>
        </w:rPr>
      </w:pPr>
      <w:r w:rsidRPr="00DB00E7">
        <w:rPr>
          <w:sz w:val="18"/>
          <w:szCs w:val="18"/>
        </w:rPr>
        <w:t>Key measures were developed to support recurring revenue and waterfall analysis. The primary measures include:</w:t>
      </w:r>
    </w:p>
    <w:p w14:paraId="12EDA662" w14:textId="77777777" w:rsidR="00DB00E7" w:rsidRPr="00DB00E7" w:rsidRDefault="00DB00E7" w:rsidP="00DB00E7">
      <w:pPr>
        <w:numPr>
          <w:ilvl w:val="0"/>
          <w:numId w:val="5"/>
        </w:numPr>
        <w:rPr>
          <w:sz w:val="18"/>
          <w:szCs w:val="18"/>
        </w:rPr>
      </w:pPr>
      <w:r w:rsidRPr="00DB00E7">
        <w:rPr>
          <w:b/>
          <w:bCs/>
          <w:sz w:val="18"/>
          <w:szCs w:val="18"/>
        </w:rPr>
        <w:t>Total Recurring Revenue</w:t>
      </w:r>
      <w:r w:rsidRPr="00DB00E7">
        <w:rPr>
          <w:sz w:val="18"/>
          <w:szCs w:val="18"/>
        </w:rPr>
        <w:t>: Aggregates revenue from the recurring revenue fact table to calculate total recurring revenue by selected dimensions.</w:t>
      </w:r>
    </w:p>
    <w:p w14:paraId="4214BBB8" w14:textId="77777777" w:rsidR="00DB00E7" w:rsidRPr="00DB00E7" w:rsidRDefault="00DB00E7" w:rsidP="00DB00E7">
      <w:pPr>
        <w:numPr>
          <w:ilvl w:val="0"/>
          <w:numId w:val="5"/>
        </w:numPr>
        <w:rPr>
          <w:sz w:val="18"/>
          <w:szCs w:val="18"/>
        </w:rPr>
      </w:pPr>
      <w:r w:rsidRPr="00DB00E7">
        <w:rPr>
          <w:b/>
          <w:bCs/>
          <w:sz w:val="18"/>
          <w:szCs w:val="18"/>
        </w:rPr>
        <w:t>Waterfall Revenue</w:t>
      </w:r>
      <w:r w:rsidRPr="00DB00E7">
        <w:rPr>
          <w:sz w:val="18"/>
          <w:szCs w:val="18"/>
        </w:rPr>
        <w:t>: Aggregates revenue movements by category to support bridge analysis from Opening to Closing recurring revenue.</w:t>
      </w:r>
    </w:p>
    <w:p w14:paraId="30724B93" w14:textId="77777777" w:rsidR="00DB00E7" w:rsidRPr="00DB00E7" w:rsidRDefault="00DB00E7" w:rsidP="00DB00E7">
      <w:pPr>
        <w:rPr>
          <w:sz w:val="18"/>
          <w:szCs w:val="18"/>
          <w:lang w:val="en-GB"/>
        </w:rPr>
      </w:pPr>
      <w:r w:rsidRPr="00DB00E7">
        <w:rPr>
          <w:sz w:val="18"/>
          <w:szCs w:val="18"/>
        </w:rPr>
        <w:t>Additional implicit aggregations were applied within visuals to calculate totals, category contributions, and time-based comparisons.</w:t>
      </w:r>
    </w:p>
    <w:p w14:paraId="3F8782B1" w14:textId="77777777" w:rsidR="00DB00E7" w:rsidRPr="00DB00E7" w:rsidRDefault="00DB00E7" w:rsidP="00DB00E7">
      <w:pPr>
        <w:rPr>
          <w:sz w:val="18"/>
          <w:szCs w:val="18"/>
          <w:lang w:val="en-GB"/>
        </w:rPr>
      </w:pPr>
    </w:p>
    <w:p w14:paraId="34A34AA8" w14:textId="77777777" w:rsidR="00DB00E7" w:rsidRPr="00DB00E7" w:rsidRDefault="00DB00E7" w:rsidP="00DB00E7">
      <w:pPr>
        <w:rPr>
          <w:b/>
          <w:bCs/>
          <w:sz w:val="18"/>
          <w:szCs w:val="18"/>
        </w:rPr>
      </w:pPr>
      <w:r w:rsidRPr="00DB00E7">
        <w:rPr>
          <w:b/>
          <w:bCs/>
          <w:sz w:val="18"/>
          <w:szCs w:val="18"/>
        </w:rPr>
        <w:t>Additional Charts or Supporting Tables</w:t>
      </w:r>
    </w:p>
    <w:p w14:paraId="7773F11C" w14:textId="77777777" w:rsidR="00DB00E7" w:rsidRPr="00DB00E7" w:rsidRDefault="00DB00E7" w:rsidP="00DB00E7">
      <w:pPr>
        <w:rPr>
          <w:sz w:val="18"/>
          <w:szCs w:val="18"/>
        </w:rPr>
      </w:pPr>
      <w:r w:rsidRPr="00DB00E7">
        <w:rPr>
          <w:sz w:val="18"/>
          <w:szCs w:val="18"/>
        </w:rPr>
        <w:t>Supporting visuals include:</w:t>
      </w:r>
    </w:p>
    <w:p w14:paraId="35F5B675" w14:textId="77777777" w:rsidR="00DB00E7" w:rsidRPr="00DB00E7" w:rsidRDefault="00DB00E7" w:rsidP="00DB00E7">
      <w:pPr>
        <w:numPr>
          <w:ilvl w:val="0"/>
          <w:numId w:val="6"/>
        </w:numPr>
        <w:rPr>
          <w:sz w:val="18"/>
          <w:szCs w:val="18"/>
        </w:rPr>
      </w:pPr>
      <w:r w:rsidRPr="00DB00E7">
        <w:rPr>
          <w:sz w:val="18"/>
          <w:szCs w:val="18"/>
        </w:rPr>
        <w:t>A multi-year category breakdown table displaying revenue movements from 2021 to 2024.</w:t>
      </w:r>
    </w:p>
    <w:p w14:paraId="2E6586F0" w14:textId="77777777" w:rsidR="00DB00E7" w:rsidRPr="00DB00E7" w:rsidRDefault="00DB00E7" w:rsidP="00DB00E7">
      <w:pPr>
        <w:numPr>
          <w:ilvl w:val="0"/>
          <w:numId w:val="6"/>
        </w:numPr>
        <w:rPr>
          <w:sz w:val="18"/>
          <w:szCs w:val="18"/>
        </w:rPr>
      </w:pPr>
      <w:r w:rsidRPr="00DB00E7">
        <w:rPr>
          <w:sz w:val="18"/>
          <w:szCs w:val="18"/>
        </w:rPr>
        <w:lastRenderedPageBreak/>
        <w:t>A recurring revenue waterfall chart illustrating the contribution of each category to overall revenue movement.</w:t>
      </w:r>
    </w:p>
    <w:p w14:paraId="07F67643" w14:textId="77777777" w:rsidR="00DB00E7" w:rsidRPr="00DB00E7" w:rsidRDefault="00DB00E7" w:rsidP="00DB00E7">
      <w:pPr>
        <w:numPr>
          <w:ilvl w:val="0"/>
          <w:numId w:val="6"/>
        </w:numPr>
        <w:rPr>
          <w:sz w:val="18"/>
          <w:szCs w:val="18"/>
        </w:rPr>
      </w:pPr>
      <w:r w:rsidRPr="00DB00E7">
        <w:rPr>
          <w:sz w:val="18"/>
          <w:szCs w:val="18"/>
        </w:rPr>
        <w:t>Time-based breakdowns enabling comparison of revenue trends across periods.</w:t>
      </w:r>
    </w:p>
    <w:p w14:paraId="1523B059" w14:textId="77777777" w:rsidR="00DB00E7" w:rsidRPr="00DB00E7" w:rsidRDefault="00DB00E7" w:rsidP="00DB00E7">
      <w:pPr>
        <w:rPr>
          <w:sz w:val="18"/>
          <w:szCs w:val="18"/>
        </w:rPr>
      </w:pPr>
      <w:r w:rsidRPr="00DB00E7">
        <w:rPr>
          <w:sz w:val="18"/>
          <w:szCs w:val="18"/>
        </w:rPr>
        <w:t>These supplementary visuals provide deeper insight into category contribution, risk exposure, and revenue stability over time.</w:t>
      </w:r>
    </w:p>
    <w:p w14:paraId="63574216" w14:textId="77777777" w:rsidR="00DB00E7" w:rsidRPr="00DB00E7" w:rsidRDefault="00DB00E7" w:rsidP="00DB00E7">
      <w:pPr>
        <w:rPr>
          <w:b/>
          <w:bCs/>
          <w:sz w:val="18"/>
          <w:szCs w:val="18"/>
        </w:rPr>
      </w:pPr>
      <w:r w:rsidRPr="00DB00E7">
        <w:rPr>
          <w:b/>
          <w:bCs/>
          <w:sz w:val="18"/>
          <w:szCs w:val="18"/>
        </w:rPr>
        <w:t>Assumptions and Limitations</w:t>
      </w:r>
    </w:p>
    <w:p w14:paraId="258F3A5C" w14:textId="77777777" w:rsidR="00DB00E7" w:rsidRPr="00DB00E7" w:rsidRDefault="00DB00E7" w:rsidP="00DB00E7">
      <w:pPr>
        <w:rPr>
          <w:sz w:val="18"/>
          <w:szCs w:val="18"/>
        </w:rPr>
      </w:pPr>
      <w:r w:rsidRPr="00DB00E7">
        <w:rPr>
          <w:sz w:val="18"/>
          <w:szCs w:val="18"/>
        </w:rPr>
        <w:t>The analysis assumes that all revenue categories are accurately classified and that the dataset fully represents recurring revenue movements within the observed period. The model focuses exclusively on revenue dynamics and does not incorporate cost structures, profitability metrics, or external market factors.</w:t>
      </w:r>
    </w:p>
    <w:p w14:paraId="02BE9246" w14:textId="77777777" w:rsidR="00DB00E7" w:rsidRPr="00DB00E7" w:rsidRDefault="00DB00E7" w:rsidP="00DB00E7">
      <w:pPr>
        <w:rPr>
          <w:sz w:val="18"/>
          <w:szCs w:val="18"/>
        </w:rPr>
      </w:pPr>
      <w:r w:rsidRPr="00DB00E7">
        <w:rPr>
          <w:sz w:val="18"/>
          <w:szCs w:val="18"/>
        </w:rPr>
        <w:t>Additionally, the dataset reflects historical performance and does not include forward-looking projections. Therefore, conclusions regarding long-term sustainability are based solely on observed trends and structural category analysis.</w:t>
      </w:r>
    </w:p>
    <w:p w14:paraId="3C387AA7" w14:textId="77777777" w:rsidR="00DB00E7" w:rsidRPr="00DB00E7" w:rsidRDefault="00DB00E7" w:rsidP="00DB00E7">
      <w:pPr>
        <w:rPr>
          <w:sz w:val="18"/>
          <w:szCs w:val="18"/>
        </w:rPr>
      </w:pPr>
    </w:p>
    <w:p w14:paraId="57D42299" w14:textId="77777777" w:rsidR="00DB00E7" w:rsidRPr="00DB00E7" w:rsidRDefault="00DB00E7" w:rsidP="00DB00E7">
      <w:pPr>
        <w:rPr>
          <w:sz w:val="18"/>
          <w:szCs w:val="18"/>
        </w:rPr>
      </w:pPr>
    </w:p>
    <w:p w14:paraId="6C3B406A" w14:textId="77777777" w:rsidR="00DB00E7" w:rsidRPr="00DB00E7" w:rsidRDefault="00DB00E7" w:rsidP="00DB00E7">
      <w:pPr>
        <w:rPr>
          <w:sz w:val="18"/>
          <w:szCs w:val="18"/>
          <w:lang w:val="en-GB"/>
        </w:rPr>
      </w:pPr>
    </w:p>
    <w:p w14:paraId="10582A07" w14:textId="77777777" w:rsidR="00DB00E7" w:rsidRPr="00DB00E7" w:rsidRDefault="00DB00E7" w:rsidP="00DB00E7">
      <w:pPr>
        <w:rPr>
          <w:sz w:val="18"/>
          <w:szCs w:val="18"/>
        </w:rPr>
      </w:pPr>
    </w:p>
    <w:p w14:paraId="1FF5FD41" w14:textId="77777777" w:rsidR="00DB00E7" w:rsidRPr="00DB00E7" w:rsidRDefault="00DB00E7" w:rsidP="00DB00E7">
      <w:pPr>
        <w:rPr>
          <w:sz w:val="18"/>
          <w:szCs w:val="18"/>
          <w:lang w:val="en-GB"/>
        </w:rPr>
      </w:pPr>
    </w:p>
    <w:p w14:paraId="2FA6DC15" w14:textId="77777777" w:rsidR="00DB00E7" w:rsidRPr="00DB00E7" w:rsidRDefault="00DB00E7" w:rsidP="00DB00E7">
      <w:pPr>
        <w:rPr>
          <w:sz w:val="18"/>
          <w:szCs w:val="18"/>
        </w:rPr>
      </w:pPr>
    </w:p>
    <w:p w14:paraId="781C30FB" w14:textId="3CF97D21" w:rsidR="00DB00E7" w:rsidRPr="00DA6D43" w:rsidRDefault="00DB00E7" w:rsidP="00DA6D43">
      <w:pPr>
        <w:rPr>
          <w:sz w:val="18"/>
          <w:szCs w:val="18"/>
          <w:lang w:val="en-GB"/>
        </w:rPr>
      </w:pPr>
    </w:p>
    <w:p w14:paraId="2DC83710" w14:textId="77777777" w:rsidR="00DA6D43" w:rsidRPr="00DB00E7" w:rsidRDefault="00DA6D43" w:rsidP="00DA6D43">
      <w:pPr>
        <w:rPr>
          <w:sz w:val="18"/>
          <w:szCs w:val="18"/>
        </w:rPr>
      </w:pPr>
    </w:p>
    <w:sectPr w:rsidR="00DA6D43" w:rsidRPr="00DB00E7" w:rsidSect="007061DB">
      <w:pgSz w:w="12240" w:h="15840"/>
      <w:pgMar w:top="1440" w:right="1440" w:bottom="360" w:left="1440"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D1C51" w14:textId="77777777" w:rsidR="006479C2" w:rsidRDefault="006479C2" w:rsidP="001133A5">
      <w:pPr>
        <w:spacing w:after="0"/>
      </w:pPr>
      <w:r>
        <w:separator/>
      </w:r>
    </w:p>
  </w:endnote>
  <w:endnote w:type="continuationSeparator" w:id="0">
    <w:p w14:paraId="1BA2EE82" w14:textId="77777777" w:rsidR="006479C2" w:rsidRDefault="006479C2" w:rsidP="001133A5">
      <w:pPr>
        <w:spacing w:after="0"/>
      </w:pPr>
      <w:r>
        <w:continuationSeparator/>
      </w:r>
    </w:p>
  </w:endnote>
  <w:endnote w:type="continuationNotice" w:id="1">
    <w:p w14:paraId="4BB6DA68" w14:textId="77777777" w:rsidR="006479C2" w:rsidRDefault="006479C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07DC1" w14:textId="77777777" w:rsidR="006479C2" w:rsidRDefault="006479C2" w:rsidP="001133A5">
      <w:pPr>
        <w:spacing w:after="0"/>
      </w:pPr>
      <w:r>
        <w:separator/>
      </w:r>
    </w:p>
  </w:footnote>
  <w:footnote w:type="continuationSeparator" w:id="0">
    <w:p w14:paraId="092F7BDD" w14:textId="77777777" w:rsidR="006479C2" w:rsidRDefault="006479C2" w:rsidP="001133A5">
      <w:pPr>
        <w:spacing w:after="0"/>
      </w:pPr>
      <w:r>
        <w:continuationSeparator/>
      </w:r>
    </w:p>
  </w:footnote>
  <w:footnote w:type="continuationNotice" w:id="1">
    <w:p w14:paraId="52F6B2F9" w14:textId="77777777" w:rsidR="006479C2" w:rsidRDefault="006479C2">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4C9"/>
    <w:multiLevelType w:val="multilevel"/>
    <w:tmpl w:val="F874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12470"/>
    <w:multiLevelType w:val="multilevel"/>
    <w:tmpl w:val="0C42B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040BA8"/>
    <w:multiLevelType w:val="multilevel"/>
    <w:tmpl w:val="E094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162CD7"/>
    <w:multiLevelType w:val="multilevel"/>
    <w:tmpl w:val="EA36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8E6D08"/>
    <w:multiLevelType w:val="multilevel"/>
    <w:tmpl w:val="436A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FA625C"/>
    <w:multiLevelType w:val="multilevel"/>
    <w:tmpl w:val="5DB4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9698702">
    <w:abstractNumId w:val="3"/>
  </w:num>
  <w:num w:numId="2" w16cid:durableId="1597402469">
    <w:abstractNumId w:val="1"/>
  </w:num>
  <w:num w:numId="3" w16cid:durableId="1105273942">
    <w:abstractNumId w:val="0"/>
  </w:num>
  <w:num w:numId="4" w16cid:durableId="2017149226">
    <w:abstractNumId w:val="5"/>
  </w:num>
  <w:num w:numId="5" w16cid:durableId="128523149">
    <w:abstractNumId w:val="4"/>
  </w:num>
  <w:num w:numId="6" w16cid:durableId="2020234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45A"/>
    <w:rsid w:val="00011E30"/>
    <w:rsid w:val="00087845"/>
    <w:rsid w:val="000B2583"/>
    <w:rsid w:val="000E244A"/>
    <w:rsid w:val="001133A5"/>
    <w:rsid w:val="00123B68"/>
    <w:rsid w:val="0013159C"/>
    <w:rsid w:val="00161551"/>
    <w:rsid w:val="00165562"/>
    <w:rsid w:val="001925A6"/>
    <w:rsid w:val="001C2BD3"/>
    <w:rsid w:val="001E0EDD"/>
    <w:rsid w:val="001F3549"/>
    <w:rsid w:val="002041E4"/>
    <w:rsid w:val="00323199"/>
    <w:rsid w:val="00340417"/>
    <w:rsid w:val="003456F5"/>
    <w:rsid w:val="003471E8"/>
    <w:rsid w:val="00367222"/>
    <w:rsid w:val="00375D9E"/>
    <w:rsid w:val="003A3642"/>
    <w:rsid w:val="003D70D2"/>
    <w:rsid w:val="00404B62"/>
    <w:rsid w:val="0047707A"/>
    <w:rsid w:val="004D25E7"/>
    <w:rsid w:val="004F177A"/>
    <w:rsid w:val="00523CB1"/>
    <w:rsid w:val="00541CF9"/>
    <w:rsid w:val="00580B81"/>
    <w:rsid w:val="006009F5"/>
    <w:rsid w:val="00620628"/>
    <w:rsid w:val="00642BF2"/>
    <w:rsid w:val="006479C2"/>
    <w:rsid w:val="006A6B00"/>
    <w:rsid w:val="006D7A6C"/>
    <w:rsid w:val="007061DB"/>
    <w:rsid w:val="007120F1"/>
    <w:rsid w:val="00836563"/>
    <w:rsid w:val="00880210"/>
    <w:rsid w:val="0089516C"/>
    <w:rsid w:val="00931E5E"/>
    <w:rsid w:val="009D5C92"/>
    <w:rsid w:val="00A66CA2"/>
    <w:rsid w:val="00AF0ED8"/>
    <w:rsid w:val="00B24126"/>
    <w:rsid w:val="00B37731"/>
    <w:rsid w:val="00B6637E"/>
    <w:rsid w:val="00B94968"/>
    <w:rsid w:val="00C97C27"/>
    <w:rsid w:val="00D8445A"/>
    <w:rsid w:val="00DA6D43"/>
    <w:rsid w:val="00DB00E7"/>
    <w:rsid w:val="00DB6068"/>
    <w:rsid w:val="00E43FFC"/>
    <w:rsid w:val="00EF3911"/>
    <w:rsid w:val="00F34678"/>
    <w:rsid w:val="00F60A8E"/>
    <w:rsid w:val="00F765FC"/>
    <w:rsid w:val="00F93BD3"/>
    <w:rsid w:val="00FB4EE1"/>
    <w:rsid w:val="00FD6EA1"/>
    <w:rsid w:val="08BDFAFC"/>
    <w:rsid w:val="3097A10A"/>
    <w:rsid w:val="31544962"/>
    <w:rsid w:val="3456165E"/>
    <w:rsid w:val="39A21473"/>
    <w:rsid w:val="451D48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95562"/>
  <w15:chartTrackingRefBased/>
  <w15:docId w15:val="{2BCEA483-2E69-45D5-BD6D-CA139D0E4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uiPriority="21" w:qFormat="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549"/>
    <w:pPr>
      <w:spacing w:before="160" w:after="80" w:line="240" w:lineRule="auto"/>
    </w:pPr>
    <w:rPr>
      <w:sz w:val="22"/>
    </w:rPr>
  </w:style>
  <w:style w:type="paragraph" w:styleId="Heading1">
    <w:name w:val="heading 1"/>
    <w:basedOn w:val="bottomrowtext"/>
    <w:next w:val="Normal"/>
    <w:link w:val="Heading1Char"/>
    <w:uiPriority w:val="9"/>
    <w:qFormat/>
    <w:rsid w:val="00880210"/>
    <w:pPr>
      <w:spacing w:before="240" w:after="120"/>
      <w:ind w:left="0"/>
      <w:outlineLvl w:val="0"/>
    </w:pPr>
    <w:rPr>
      <w:sz w:val="20"/>
    </w:rPr>
  </w:style>
  <w:style w:type="paragraph" w:styleId="Heading2">
    <w:name w:val="heading 2"/>
    <w:basedOn w:val="Normal"/>
    <w:next w:val="Normal"/>
    <w:link w:val="Heading2Char"/>
    <w:uiPriority w:val="9"/>
    <w:semiHidden/>
    <w:qFormat/>
    <w:rsid w:val="00620628"/>
    <w:pPr>
      <w:keepNext/>
      <w:keepLines/>
      <w:spacing w:before="240" w:after="120" w:line="278" w:lineRule="auto"/>
      <w:outlineLvl w:val="1"/>
    </w:pPr>
    <w:rPr>
      <w:rFonts w:eastAsiaTheme="majorEastAsia" w:cs="Times New Roman (Headings CS)"/>
      <w:b/>
      <w:caps/>
      <w:color w:val="263343" w:themeColor="accent6"/>
      <w:spacing w:val="10"/>
      <w:sz w:val="20"/>
      <w:szCs w:val="32"/>
    </w:rPr>
  </w:style>
  <w:style w:type="paragraph" w:styleId="Heading3">
    <w:name w:val="heading 3"/>
    <w:aliases w:val="Paragraph"/>
    <w:basedOn w:val="Normal"/>
    <w:next w:val="Normal"/>
    <w:link w:val="Heading3Char"/>
    <w:uiPriority w:val="9"/>
    <w:semiHidden/>
    <w:qFormat/>
    <w:rsid w:val="00123B68"/>
    <w:pPr>
      <w:keepNext/>
      <w:keepLines/>
      <w:outlineLvl w:val="2"/>
    </w:pPr>
    <w:rPr>
      <w:rFonts w:eastAsiaTheme="majorEastAsia" w:cstheme="majorBidi"/>
      <w:color w:val="263343" w:themeColor="accent6"/>
      <w:szCs w:val="28"/>
    </w:rPr>
  </w:style>
  <w:style w:type="paragraph" w:styleId="Heading4">
    <w:name w:val="heading 4"/>
    <w:basedOn w:val="Normal"/>
    <w:next w:val="Normal"/>
    <w:link w:val="Heading4Char"/>
    <w:uiPriority w:val="9"/>
    <w:semiHidden/>
    <w:qFormat/>
    <w:rsid w:val="00A66CA2"/>
    <w:pPr>
      <w:keepNext/>
      <w:keepLines/>
      <w:spacing w:before="80" w:after="40"/>
      <w:outlineLvl w:val="3"/>
    </w:pPr>
    <w:rPr>
      <w:rFonts w:eastAsiaTheme="majorEastAsia" w:cs="Times New Roman (Headings CS)"/>
      <w:iCs/>
      <w:caps/>
      <w:color w:val="263343" w:themeColor="accent6"/>
      <w:spacing w:val="10"/>
      <w:sz w:val="20"/>
    </w:rPr>
  </w:style>
  <w:style w:type="paragraph" w:styleId="Heading5">
    <w:name w:val="heading 5"/>
    <w:basedOn w:val="Normal"/>
    <w:next w:val="Normal"/>
    <w:link w:val="Heading5Char"/>
    <w:uiPriority w:val="9"/>
    <w:semiHidden/>
    <w:qFormat/>
    <w:rsid w:val="00523CB1"/>
    <w:pPr>
      <w:keepNext/>
      <w:keepLines/>
      <w:spacing w:before="80" w:after="40"/>
      <w:outlineLvl w:val="4"/>
    </w:pPr>
    <w:rPr>
      <w:rFonts w:eastAsiaTheme="majorEastAsia" w:cstheme="majorBidi"/>
      <w:color w:val="263343" w:themeColor="accent6"/>
    </w:rPr>
  </w:style>
  <w:style w:type="paragraph" w:styleId="Heading6">
    <w:name w:val="heading 6"/>
    <w:basedOn w:val="Normal"/>
    <w:next w:val="Normal"/>
    <w:link w:val="Heading6Char"/>
    <w:uiPriority w:val="9"/>
    <w:semiHidden/>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210"/>
    <w:rPr>
      <w:rFonts w:eastAsiaTheme="majorEastAsia" w:cs="Times New Roman (Headings CS)"/>
      <w:b/>
      <w:caps/>
      <w:color w:val="263343" w:themeColor="accent6"/>
      <w:spacing w:val="10"/>
      <w:sz w:val="20"/>
      <w:szCs w:val="32"/>
    </w:rPr>
  </w:style>
  <w:style w:type="character" w:customStyle="1" w:styleId="Heading2Char">
    <w:name w:val="Heading 2 Char"/>
    <w:basedOn w:val="DefaultParagraphFont"/>
    <w:link w:val="Heading2"/>
    <w:uiPriority w:val="9"/>
    <w:semiHidden/>
    <w:rsid w:val="001F3549"/>
    <w:rPr>
      <w:rFonts w:eastAsiaTheme="majorEastAsia" w:cs="Times New Roman (Headings CS)"/>
      <w:b/>
      <w:caps/>
      <w:color w:val="263343" w:themeColor="accent6"/>
      <w:spacing w:val="10"/>
      <w:sz w:val="20"/>
      <w:szCs w:val="32"/>
    </w:rPr>
  </w:style>
  <w:style w:type="character" w:customStyle="1" w:styleId="Heading3Char">
    <w:name w:val="Heading 3 Char"/>
    <w:aliases w:val="Paragraph Char"/>
    <w:basedOn w:val="DefaultParagraphFont"/>
    <w:link w:val="Heading3"/>
    <w:uiPriority w:val="9"/>
    <w:semiHidden/>
    <w:rsid w:val="001F3549"/>
    <w:rPr>
      <w:rFonts w:eastAsiaTheme="majorEastAsia" w:cstheme="majorBidi"/>
      <w:color w:val="263343" w:themeColor="accent6"/>
      <w:sz w:val="22"/>
      <w:szCs w:val="28"/>
    </w:rPr>
  </w:style>
  <w:style w:type="character" w:customStyle="1" w:styleId="Heading4Char">
    <w:name w:val="Heading 4 Char"/>
    <w:basedOn w:val="DefaultParagraphFont"/>
    <w:link w:val="Heading4"/>
    <w:uiPriority w:val="9"/>
    <w:semiHidden/>
    <w:rsid w:val="001F3549"/>
    <w:rPr>
      <w:rFonts w:eastAsiaTheme="majorEastAsia" w:cs="Times New Roman (Headings CS)"/>
      <w:iCs/>
      <w:caps/>
      <w:color w:val="263343" w:themeColor="accent6"/>
      <w:spacing w:val="10"/>
      <w:sz w:val="20"/>
    </w:rPr>
  </w:style>
  <w:style w:type="character" w:customStyle="1" w:styleId="Heading5Char">
    <w:name w:val="Heading 5 Char"/>
    <w:basedOn w:val="DefaultParagraphFont"/>
    <w:link w:val="Heading5"/>
    <w:uiPriority w:val="9"/>
    <w:semiHidden/>
    <w:rsid w:val="001F3549"/>
    <w:rPr>
      <w:rFonts w:eastAsiaTheme="majorEastAsia" w:cstheme="majorBidi"/>
      <w:color w:val="263343" w:themeColor="accent6"/>
      <w:sz w:val="22"/>
    </w:rPr>
  </w:style>
  <w:style w:type="character" w:customStyle="1" w:styleId="Heading6Char">
    <w:name w:val="Heading 6 Char"/>
    <w:basedOn w:val="DefaultParagraphFont"/>
    <w:link w:val="Heading6"/>
    <w:uiPriority w:val="9"/>
    <w:semiHidden/>
    <w:rsid w:val="001F354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1F354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1F354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1F3549"/>
    <w:rPr>
      <w:rFonts w:eastAsiaTheme="majorEastAsia" w:cstheme="majorBidi"/>
      <w:color w:val="272727" w:themeColor="text1" w:themeTint="D8"/>
      <w:sz w:val="22"/>
    </w:rPr>
  </w:style>
  <w:style w:type="character" w:customStyle="1" w:styleId="TitleChar">
    <w:name w:val="Title Char"/>
    <w:basedOn w:val="DefaultParagraphFont"/>
    <w:link w:val="Title"/>
    <w:uiPriority w:val="10"/>
    <w:rsid w:val="003471E8"/>
    <w:rPr>
      <w:rFonts w:asciiTheme="majorHAnsi" w:eastAsiaTheme="majorEastAsia" w:hAnsiTheme="majorHAnsi" w:cstheme="majorBidi"/>
      <w:kern w:val="28"/>
      <w:sz w:val="72"/>
      <w:szCs w:val="56"/>
    </w:rPr>
  </w:style>
  <w:style w:type="paragraph" w:styleId="Title">
    <w:name w:val="Title"/>
    <w:basedOn w:val="Normal"/>
    <w:next w:val="Normal"/>
    <w:link w:val="TitleChar"/>
    <w:uiPriority w:val="10"/>
    <w:qFormat/>
    <w:rsid w:val="003471E8"/>
    <w:pPr>
      <w:spacing w:before="240" w:line="216" w:lineRule="auto"/>
    </w:pPr>
    <w:rPr>
      <w:rFonts w:asciiTheme="majorHAnsi" w:eastAsiaTheme="majorEastAsia" w:hAnsiTheme="majorHAnsi" w:cstheme="majorBidi"/>
      <w:kern w:val="28"/>
      <w:sz w:val="72"/>
      <w:szCs w:val="56"/>
    </w:rPr>
  </w:style>
  <w:style w:type="character" w:customStyle="1" w:styleId="SubtitleChar">
    <w:name w:val="Subtitle Char"/>
    <w:basedOn w:val="DefaultParagraphFont"/>
    <w:link w:val="Subtitle"/>
    <w:uiPriority w:val="11"/>
    <w:rsid w:val="003471E8"/>
    <w:rPr>
      <w:rFonts w:eastAsiaTheme="majorEastAsia" w:cstheme="majorBidi"/>
      <w:caps/>
      <w:color w:val="000000" w:themeColor="text1"/>
      <w:spacing w:val="10"/>
      <w:sz w:val="20"/>
      <w:szCs w:val="28"/>
    </w:rPr>
  </w:style>
  <w:style w:type="paragraph" w:styleId="Subtitle">
    <w:name w:val="Subtitle"/>
    <w:basedOn w:val="Normal"/>
    <w:next w:val="Normal"/>
    <w:link w:val="SubtitleChar"/>
    <w:uiPriority w:val="11"/>
    <w:qFormat/>
    <w:rsid w:val="003471E8"/>
    <w:pPr>
      <w:numPr>
        <w:ilvl w:val="1"/>
      </w:numPr>
      <w:spacing w:before="120" w:after="40"/>
      <w:ind w:left="108"/>
    </w:pPr>
    <w:rPr>
      <w:rFonts w:eastAsiaTheme="majorEastAsia" w:cstheme="majorBidi"/>
      <w:caps/>
      <w:color w:val="000000" w:themeColor="text1"/>
      <w:spacing w:val="10"/>
      <w:sz w:val="20"/>
      <w:szCs w:val="28"/>
    </w:rPr>
  </w:style>
  <w:style w:type="character" w:styleId="IntenseEmphasis">
    <w:name w:val="Intense Emphasis"/>
    <w:basedOn w:val="DefaultParagraphFont"/>
    <w:uiPriority w:val="21"/>
    <w:semiHidden/>
    <w:qFormat/>
    <w:rPr>
      <w:i/>
      <w:iCs/>
      <w:color w:val="B0A034" w:themeColor="accent1" w:themeShade="BF"/>
    </w:rPr>
  </w:style>
  <w:style w:type="character" w:customStyle="1" w:styleId="QuoteChar">
    <w:name w:val="Quote Char"/>
    <w:basedOn w:val="DefaultParagraphFont"/>
    <w:link w:val="Quote"/>
    <w:uiPriority w:val="29"/>
    <w:semiHidden/>
    <w:rsid w:val="001F3549"/>
    <w:rPr>
      <w:i/>
      <w:iCs/>
      <w:color w:val="404040" w:themeColor="text1" w:themeTint="BF"/>
      <w:sz w:val="22"/>
    </w:rPr>
  </w:style>
  <w:style w:type="paragraph" w:styleId="Quote">
    <w:name w:val="Quote"/>
    <w:basedOn w:val="Normal"/>
    <w:next w:val="Normal"/>
    <w:link w:val="QuoteChar"/>
    <w:uiPriority w:val="29"/>
    <w:semiHidden/>
    <w:qFormat/>
    <w:pPr>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1F3549"/>
    <w:rPr>
      <w:i/>
      <w:iCs/>
      <w:color w:val="B0A034" w:themeColor="accent1" w:themeShade="BF"/>
      <w:sz w:val="22"/>
    </w:rPr>
  </w:style>
  <w:style w:type="paragraph" w:styleId="IntenseQuote">
    <w:name w:val="Intense Quote"/>
    <w:basedOn w:val="Normal"/>
    <w:next w:val="Normal"/>
    <w:link w:val="IntenseQuoteChar"/>
    <w:uiPriority w:val="30"/>
    <w:semiHidden/>
    <w:qFormat/>
    <w:pPr>
      <w:pBdr>
        <w:top w:val="single" w:sz="4" w:space="10" w:color="B0A034" w:themeColor="accent1" w:themeShade="BF"/>
        <w:bottom w:val="single" w:sz="4" w:space="10" w:color="B0A034" w:themeColor="accent1" w:themeShade="BF"/>
      </w:pBdr>
      <w:spacing w:before="360" w:after="360"/>
      <w:ind w:left="864" w:right="864"/>
      <w:jc w:val="center"/>
    </w:pPr>
    <w:rPr>
      <w:i/>
      <w:iCs/>
      <w:color w:val="B0A034" w:themeColor="accent1" w:themeShade="BF"/>
    </w:rPr>
  </w:style>
  <w:style w:type="character" w:styleId="IntenseReference">
    <w:name w:val="Intense Reference"/>
    <w:basedOn w:val="DefaultParagraphFont"/>
    <w:uiPriority w:val="32"/>
    <w:semiHidden/>
    <w:qFormat/>
    <w:rPr>
      <w:b/>
      <w:bCs/>
      <w:smallCaps/>
      <w:color w:val="B0A034" w:themeColor="accent1" w:themeShade="BF"/>
      <w:spacing w:val="5"/>
    </w:rPr>
  </w:style>
  <w:style w:type="paragraph" w:styleId="Footer">
    <w:name w:val="footer"/>
    <w:basedOn w:val="Normal"/>
    <w:link w:val="FooterChar"/>
    <w:uiPriority w:val="99"/>
    <w:semiHidden/>
    <w:rsid w:val="001133A5"/>
    <w:pPr>
      <w:tabs>
        <w:tab w:val="center" w:pos="4680"/>
        <w:tab w:val="right" w:pos="9360"/>
      </w:tabs>
      <w:spacing w:after="0"/>
    </w:pPr>
  </w:style>
  <w:style w:type="character" w:customStyle="1" w:styleId="FooterChar">
    <w:name w:val="Footer Char"/>
    <w:basedOn w:val="DefaultParagraphFont"/>
    <w:link w:val="Footer"/>
    <w:uiPriority w:val="99"/>
    <w:semiHidden/>
    <w:rsid w:val="001F3549"/>
    <w:rPr>
      <w:sz w:val="22"/>
    </w:rPr>
  </w:style>
  <w:style w:type="paragraph" w:styleId="Header">
    <w:name w:val="header"/>
    <w:basedOn w:val="Normal"/>
    <w:link w:val="HeaderChar"/>
    <w:uiPriority w:val="99"/>
    <w:semiHidden/>
    <w:rsid w:val="0089516C"/>
    <w:pPr>
      <w:tabs>
        <w:tab w:val="center" w:pos="4680"/>
        <w:tab w:val="right" w:pos="9360"/>
      </w:tabs>
      <w:spacing w:after="0"/>
    </w:pPr>
  </w:style>
  <w:style w:type="character" w:customStyle="1" w:styleId="HeaderChar">
    <w:name w:val="Header Char"/>
    <w:basedOn w:val="DefaultParagraphFont"/>
    <w:link w:val="Header"/>
    <w:uiPriority w:val="99"/>
    <w:semiHidden/>
    <w:rsid w:val="001F3549"/>
    <w:rPr>
      <w:sz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39"/>
    <w:rsid w:val="00F346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prowtext">
    <w:name w:val="Top row text"/>
    <w:basedOn w:val="Heading2"/>
    <w:qFormat/>
    <w:rsid w:val="00011E30"/>
    <w:pPr>
      <w:tabs>
        <w:tab w:val="right" w:pos="9270"/>
      </w:tabs>
      <w:spacing w:before="0"/>
      <w:ind w:left="108"/>
    </w:pPr>
    <w:rPr>
      <w:sz w:val="16"/>
    </w:rPr>
  </w:style>
  <w:style w:type="paragraph" w:customStyle="1" w:styleId="bottomrowtext">
    <w:name w:val="bottom row text"/>
    <w:basedOn w:val="Heading2"/>
    <w:qFormat/>
    <w:rsid w:val="003471E8"/>
    <w:pPr>
      <w:tabs>
        <w:tab w:val="left" w:pos="3996"/>
        <w:tab w:val="left" w:pos="5724"/>
      </w:tabs>
      <w:spacing w:before="4800" w:after="0"/>
      <w:ind w:left="108"/>
    </w:pPr>
    <w:rPr>
      <w:sz w:val="16"/>
    </w:rPr>
  </w:style>
  <w:style w:type="paragraph" w:customStyle="1" w:styleId="QuarterNumber">
    <w:name w:val="Quarter Number"/>
    <w:basedOn w:val="Heading1"/>
    <w:qFormat/>
    <w:rsid w:val="006D7A6C"/>
    <w:pPr>
      <w:spacing w:before="4200"/>
    </w:pPr>
    <w:rPr>
      <w:b w:val="0"/>
      <w:bCs/>
      <w:sz w:val="96"/>
    </w:rPr>
  </w:style>
  <w:style w:type="paragraph" w:customStyle="1" w:styleId="Graphicsanchor">
    <w:name w:val="Graphics anchor"/>
    <w:basedOn w:val="Normal"/>
    <w:qFormat/>
    <w:rsid w:val="00F765FC"/>
    <w:pPr>
      <w:spacing w:before="0" w:after="0"/>
    </w:pPr>
    <w:rPr>
      <w:sz w:val="4"/>
      <w:szCs w:val="4"/>
    </w:rPr>
  </w:style>
  <w:style w:type="table" w:styleId="GridTable4-Accent1">
    <w:name w:val="Grid Table 4 Accent 1"/>
    <w:basedOn w:val="TableNormal"/>
    <w:uiPriority w:val="49"/>
    <w:rsid w:val="00087845"/>
    <w:pPr>
      <w:spacing w:after="0" w:line="240" w:lineRule="auto"/>
    </w:pPr>
    <w:rPr>
      <w:rFonts w:eastAsia="Times New Roman" w:cs="Times New Roman"/>
      <w:kern w:val="2"/>
      <w14:ligatures w14:val="standardContextual"/>
    </w:rPr>
    <w:tblPr>
      <w:tblStyleRowBandSize w:val="1"/>
      <w:tblStyleColBandSize w:val="1"/>
      <w:tblInd w:w="0" w:type="nil"/>
      <w:tblBorders>
        <w:top w:val="single" w:sz="4" w:space="0" w:color="E2DAA0" w:themeColor="accent1" w:themeTint="99"/>
        <w:left w:val="single" w:sz="4" w:space="0" w:color="E2DAA0" w:themeColor="accent1" w:themeTint="99"/>
        <w:bottom w:val="single" w:sz="4" w:space="0" w:color="E2DAA0" w:themeColor="accent1" w:themeTint="99"/>
        <w:right w:val="single" w:sz="4" w:space="0" w:color="E2DAA0" w:themeColor="accent1" w:themeTint="99"/>
        <w:insideH w:val="single" w:sz="4" w:space="0" w:color="E2DAA0" w:themeColor="accent1" w:themeTint="99"/>
        <w:insideV w:val="single" w:sz="4" w:space="0" w:color="E2DAA0"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korz\AppData\Roaming\Microsoft\Templates\Quarterly%20business%20performance%20report.dotx" TargetMode="External"/></Relationships>
</file>

<file path=word/theme/theme1.xml><?xml version="1.0" encoding="utf-8"?>
<a:theme xmlns:a="http://schemas.openxmlformats.org/drawingml/2006/main" name="Office Theme">
  <a:themeElements>
    <a:clrScheme name="Custom 27">
      <a:dk1>
        <a:srgbClr val="000000"/>
      </a:dk1>
      <a:lt1>
        <a:srgbClr val="FFFFFF"/>
      </a:lt1>
      <a:dk2>
        <a:srgbClr val="0E2841"/>
      </a:dk2>
      <a:lt2>
        <a:srgbClr val="E8E8E8"/>
      </a:lt2>
      <a:accent1>
        <a:srgbClr val="D0C262"/>
      </a:accent1>
      <a:accent2>
        <a:srgbClr val="FEB8B8"/>
      </a:accent2>
      <a:accent3>
        <a:srgbClr val="6B2138"/>
      </a:accent3>
      <a:accent4>
        <a:srgbClr val="FC5316"/>
      </a:accent4>
      <a:accent5>
        <a:srgbClr val="EEF6FF"/>
      </a:accent5>
      <a:accent6>
        <a:srgbClr val="263343"/>
      </a:accent6>
      <a:hlink>
        <a:srgbClr val="467886"/>
      </a:hlink>
      <a:folHlink>
        <a:srgbClr val="96607D"/>
      </a:folHlink>
    </a:clrScheme>
    <a:fontScheme name="Custom 18">
      <a:majorFont>
        <a:latin typeface="Aptos"/>
        <a:ea typeface=""/>
        <a:cs typeface=""/>
      </a:majorFont>
      <a:minorFont>
        <a:latin typeface="Apto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324330ED-517D-44B3-A43E-15DF31B51B6D}">
  <ds:schemaRefs>
    <ds:schemaRef ds:uri="http://schemas.microsoft.com/sharepoint/v3/contenttype/forms"/>
  </ds:schemaRefs>
</ds:datastoreItem>
</file>

<file path=customXml/itemProps2.xml><?xml version="1.0" encoding="utf-8"?>
<ds:datastoreItem xmlns:ds="http://schemas.openxmlformats.org/officeDocument/2006/customXml" ds:itemID="{AD679BCE-5B80-4980-993B-17387E3C7B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D76B08-176C-4BDB-90D6-0C430F180BB8}">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Quarterly business performance report</Template>
  <TotalTime>129</TotalTime>
  <Pages>9</Pages>
  <Words>3458</Words>
  <Characters>22864</Characters>
  <Application>Microsoft Office Word</Application>
  <DocSecurity>0</DocSecurity>
  <Lines>448</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Tetiana Korzhan</dc:creator>
  <cp:keywords/>
  <dc:description/>
  <cp:lastModifiedBy>Tetiana Korzhan</cp:lastModifiedBy>
  <cp:revision>3</cp:revision>
  <dcterms:created xsi:type="dcterms:W3CDTF">2026-03-02T19:16:00Z</dcterms:created>
  <dcterms:modified xsi:type="dcterms:W3CDTF">2026-03-05T17:34:00Z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