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レベルの見出し"/>
    <w:p>
      <w:pPr>
        <w:pStyle w:val="Heading1"/>
      </w:pPr>
      <w:r>
        <w:t xml:space="preserve">レベル１の見出し</w:t>
      </w:r>
    </w:p>
    <w:bookmarkEnd w:id="21"/>
    <w:p>
      <w:r>
        <w:t xml:space="preserve">標準</w:t>
      </w:r>
      <w:r>
        <w:rPr>
          <w:i/>
        </w:rPr>
        <w:t xml:space="preserve">強調</w:t>
      </w:r>
      <w:r>
        <w:t xml:space="preserve">標準</w:t>
      </w:r>
      <w:r>
        <w:rPr>
          <w:b/>
        </w:rPr>
        <w:t xml:space="preserve">強調</w:t>
      </w:r>
    </w:p>
    <w:bookmarkStart w:id="22" w:name="レベルの見出し-1"/>
    <w:p>
      <w:pPr>
        <w:pStyle w:val="Heading2"/>
      </w:pPr>
      <w:r>
        <w:t xml:space="preserve">レベル２の見出し</w:t>
      </w:r>
    </w:p>
    <w:bookmarkEnd w:id="22"/>
    <w:bookmarkStart w:id="23" w:name="レベルの見出し-2"/>
    <w:p>
      <w:pPr>
        <w:pStyle w:val="Heading3"/>
      </w:pPr>
      <w:r>
        <w:t xml:space="preserve">レベル３の見出し</w:t>
      </w:r>
    </w:p>
    <w:bookmarkEnd w:id="23"/>
    <w:bookmarkStart w:id="24" w:name="レベルの見出し-3"/>
    <w:p>
      <w:pPr>
        <w:pStyle w:val="Heading4"/>
      </w:pPr>
      <w:r>
        <w:t xml:space="preserve">レベル４の見出し</w:t>
      </w:r>
    </w:p>
    <w:bookmarkEnd w:id="24"/>
    <w:p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2286000" cy="228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kotetsu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</w:tblPr>
      <w:tblGrid>
        <w:gridCol w:w="550"/>
        <w:gridCol w:w="550"/>
        <w:gridCol w:w="550"/>
        <w:gridCol w:w="550"/>
        <w:gridCol w:w="550"/>
      </w:tblGrid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  <w:tr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  <w:tc>
          <w:p>
            <w:pPr>
              <w:jc w:val="left"/>
            </w:pPr>
            <w:r>
              <w:t xml:space="preserve">表</w:t>
            </w:r>
          </w:p>
        </w:tc>
      </w:tr>
    </w:tbl>
    <w:p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</m:oMath>
      <w:r>
        <w:t xml:space="preserve"> </w:t>
      </w:r>
      <m:oMath>
        <m:f>
          <m:fPr>
            <m:type m:val="bar"/>
          </m:fPr>
          <m:num>
            <m:sSup>
              <m:e>
                <m:r>
                  <m:rPr/>
                  <m:t>x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y</m:t>
                </m:r>
              </m:e>
              <m:sup>
                <m:r>
                  <m:rPr/>
                  <m:t>2</m:t>
                </m:r>
              </m:sup>
            </m:sSup>
          </m:num>
          <m:den>
            <m:rad>
              <m:radPr>
                <m:degHide m:val="on"/>
              </m:radPr>
              <m:deg/>
              <m:e>
                <m:r>
                  <m:rPr/>
                  <m:t>1</m:t>
                </m:r>
                <m:r>
                  <m:rPr/>
                  <m:t>+</m:t>
                </m:r>
                <m:f>
                  <m:fPr>
                    <m:type m:val="bar"/>
                  </m:fPr>
                  <m:num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x</m:t>
                    </m:r>
                  </m:num>
                  <m:den>
                    <m:r>
                      <m:rPr/>
                      <m:t>2</m:t>
                    </m:r>
                  </m:den>
                </m:f>
              </m:e>
            </m:rad>
          </m:den>
        </m:f>
      </m:oMath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da126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