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MOVIMIENTO DE VIDA INDEPENDIENTE PERÚ</w:t>
      </w:r>
    </w:p>
    <w:p>
      <w:pPr>
        <w:pStyle w:val="Heading1"/>
      </w:pPr>
      <w:r>
        <w:t>Análisis Legal, Actores y Estrategia 2026</w:t>
      </w:r>
    </w:p>
    <w:p>
      <w:r>
        <w:t>Versión 5 — Abril 2026</w:t>
      </w:r>
      <w:r>
        <w:rPr>
          <w:i/>
        </w:rPr>
        <w:br/>
        <w:t>Documento integrado: marco legal · actores · futuros posibles</w:t>
      </w:r>
    </w:p>
    <w:p>
      <w:r>
        <w:t>Confidencial — Solo uso interno MVIP</w:t>
      </w:r>
    </w:p>
    <w:p/>
    <w:p>
      <w:pPr>
        <w:pStyle w:val="Heading1"/>
      </w:pPr>
      <w:r>
        <w:t>⚡ ACTUALIZACIÓN URGENTE: DS N° 001-2026-MIMP (8 de abril de 2026)</w:t>
      </w:r>
    </w:p>
    <w:p>
      <w:pPr>
        <w:pStyle w:val="Quote"/>
      </w:pPr>
      <w:r>
        <w:t>El 8 de abril de 2026, el gobierno peruano publicó en El Peruano el Decreto Supremo N° 001-2026-MIMP, que modifica el Reglamento de la Ley N° 29973 (Ley General de la Persona con Discapacidad). Este decreto transforma de manera sustancial el paisaje legal en el que opera el MVIP: lo que en la versión 4 era una "meta de mediano plazo" es ahora una realidad jurídica vigente.</w:t>
      </w:r>
    </w:p>
    <w:p>
      <w:pPr>
        <w:pStyle w:val="Heading2"/>
      </w:pPr>
      <w:r>
        <w:t>Lo que cambia con el DS 001-2026-MIMP</w:t>
      </w:r>
    </w:p>
    <w:p>
      <w:pPr>
        <w:pStyle w:val="Heading3"/>
      </w:pPr>
      <w:r>
        <w:t>1. Definiciones legales nuevas (Artículo 3)</w:t>
      </w:r>
    </w:p>
    <w:p>
      <w:r>
        <w:t>Por primera vez en la legislación peruana, el Reglamento define con precisión:</w:t>
      </w:r>
    </w:p>
    <w:p>
      <w:r>
        <w:rPr>
          <w:b/>
        </w:rPr>
        <w:t xml:space="preserve">Art. 3.38 — Asistente personal: </w:t>
      </w:r>
      <w:r>
        <w:t>Persona que brinda apoyo humano CON retribución dineraria, mayor de 18 años, que ejerce libre determinación y manifiesta su voluntad, SIN vínculo familiar. Su labor se enfoca en facilitar una vida autónoma y en igualdad de condiciones. Cuenta con formación y capacitación flexible, personalizada. Esta definición es sustancialmente compatible con el modelo de vida independiente (modelo Mainstream/JICA).</w:t>
      </w:r>
    </w:p>
    <w:p>
      <w:r>
        <w:rPr>
          <w:b/>
        </w:rPr>
        <w:t xml:space="preserve">Art. 3.39 — Asistencia personal: </w:t>
      </w:r>
      <w:r>
        <w:t>Servicio dirigido a la PcD en situación de dependencia, mayor de 18 años, que manifiesta su voluntad de recibirlo. Actividades cotidianas, gestión y sostenibilidad de la vida. Orientado a promover su vida autónoma y en igualdad de condiciones. Prestado bajo la DIRECCIÓN Y CONTROL PLENO de la persona asistida, conforme a los principios de libre determinación y autonomía. Con retribución dineraria, mediante contrato. NO puede ser transferido ni compartido sin autorización expresa de la PcD.</w:t>
      </w:r>
    </w:p>
    <w:p>
      <w:r>
        <w:rPr>
          <w:b/>
        </w:rPr>
        <w:t xml:space="preserve">Art. 3.42 — Familiar cuidador: </w:t>
      </w:r>
      <w:r>
        <w:t>Persona con relación laboral en sector público o privado que, POR VÍNCULO FAMILIAR (hasta 4° grado consanguinidad / 2° afinidad), asume responsabilidad de brindar cuidados SIN retribución dineraria. DISTINCIÓN CLAVE: el familiar cuidador NO es el asistente personal. La ley los separa explícitamente.</w:t>
      </w:r>
    </w:p>
    <w:p>
      <w:r>
        <w:rPr>
          <w:b/>
        </w:rPr>
        <w:t xml:space="preserve">Art. 3.43 — Cuidados para PcD en situación de dependencia: </w:t>
      </w:r>
      <w:r>
        <w:t>Conjunto amplio de actividades para proteger, mantener, recuperar y promover las capacidades y el desarrollo de la autonomía. Desde el autocuidado hasta el cuidado intenso especializado. Pueden ser remunerados o no.</w:t>
      </w:r>
    </w:p>
    <w:p>
      <w:r>
        <w:rPr>
          <w:b/>
        </w:rPr>
        <w:t xml:space="preserve">Art. 3.45 — Persona con discapacidad en situación de dependencia: </w:t>
      </w:r>
      <w:r>
        <w:t>PcD que requiere apoyos específicos y/o permanentes/especializados para actividades de la vida diaria, evaluada desde un enfoque interdisciplinario para promover una vida independiente. PUNTO CRÍTICO: "La situación de dependencia NO impide que la persona con discapacidad pueda manifestar su voluntad o ejercer libre determinación."</w:t>
      </w:r>
    </w:p>
    <w:p>
      <w:r>
        <w:rPr>
          <w:b/>
        </w:rPr>
        <w:t xml:space="preserve">Art. 3.46 — Plan de asistencia personal: </w:t>
      </w:r>
      <w:r>
        <w:t>Documento orientativo para brindar el servicio de AP, respetando libre determinación y autonomía. Detalla actividades diarias, gestión y sostenibilidad de la vida, personalizado según necesidades, preferencias y circunstancias individuales.</w:t>
      </w:r>
    </w:p>
    <w:p>
      <w:pPr>
        <w:pStyle w:val="Heading3"/>
      </w:pPr>
      <w:r>
        <w:t>2. Derecho a la asistencia personal reconocido (Artículo 6-B)</w:t>
      </w:r>
    </w:p>
    <w:p>
      <w:r>
        <w:t>Por primera vez en el ordenamiento jurídico peruano, se reconoce el DERECHO a la asistencia personal:</w:t>
      </w:r>
    </w:p>
    <w:p>
      <w:pPr>
        <w:pStyle w:val="ListBullet"/>
      </w:pPr>
      <w:r>
        <w:t>6-B.1: La PcD en situación de dependencia, mayor de 18 años que manifiesta su voluntad, tiene derecho a la asistencia personal conforme a los principios de libre determinación y autonomía.</w:t>
      </w:r>
    </w:p>
    <w:p>
      <w:pPr>
        <w:pStyle w:val="ListBullet"/>
      </w:pPr>
      <w:r>
        <w:t>6-B.2: La AP está dirigida por la PcD y le permite realizar actividades orientadas a promover su vida de forma independiente y ser incluida en la comunidad, en igualdad de condiciones que las demás.</w:t>
      </w:r>
    </w:p>
    <w:p>
      <w:pPr>
        <w:pStyle w:val="ListBullet"/>
      </w:pPr>
      <w:r>
        <w:t>6-B.3: Se regula mediante contrato entre la PcD y quien brinda el servicio, pudiendo ser orientado por el plan de asistencia personal.</w:t>
      </w:r>
    </w:p>
    <w:p>
      <w:pPr>
        <w:pStyle w:val="ListBullet"/>
      </w:pPr>
      <w:r>
        <w:t>6-B.4: En caso otra persona contrate el servicio, la PcD en situación de dependencia sigue siendo QUIEN DETENTA EL PODER DE DECISIÓN, respetando sus preferencias y necesidades individuales en todo momento.</w:t>
      </w:r>
    </w:p>
    <w:p>
      <w:pPr>
        <w:pStyle w:val="Heading3"/>
      </w:pPr>
      <w:r>
        <w:t>3. Obligaciones con plazos concretos (Disposiciones Complementarias)</w:t>
      </w:r>
    </w:p>
    <w:p>
      <w:r>
        <w:rPr>
          <w:b/>
        </w:rPr>
        <w:t xml:space="preserve">PRIMERA (120 días hábiles): </w:t>
      </w:r>
      <w:r>
        <w:t>CONADIS emite lineamientos para el adecuado funcionamiento del servicio de impresión de textos en braille.</w:t>
      </w:r>
    </w:p>
    <w:p>
      <w:r>
        <w:rPr>
          <w:b/>
        </w:rPr>
        <w:t xml:space="preserve">TERCERA (120 días hábiles): </w:t>
      </w:r>
      <w:r>
        <w:t>CONADIS + Ministerio de Educación adecuan orientaciones reconociendo la necesidad de asistente personal o cuidador como ajuste razonable en instituciones educativas, posibilitando su presencia.</w:t>
      </w:r>
    </w:p>
    <w:p>
      <w:r>
        <w:rPr>
          <w:b/>
        </w:rPr>
        <w:t xml:space="preserve">CUARTA: </w:t>
      </w:r>
      <w:r>
        <w:t>CONADIS implementa el REGISTRO DE ASISTENTES PERSONALES Y CUIDADORES: información desagregada por sexo, edad, lengua materna, autoidentificación étnico-cultural, ámbito geográfico. Base para certificación de competencias laborales.</w:t>
      </w:r>
    </w:p>
    <w:p>
      <w:r>
        <w:rPr>
          <w:b/>
        </w:rPr>
        <w:t xml:space="preserve">QUINTA (180 días hábiles) — CRÍTICA: </w:t>
      </w:r>
      <w:r>
        <w:t>CONADIS diseña y aprueba el MODELO DEL SERVICIO DE ASISTENCIA PERSONAL, espacios de respiro, centros de atención para PcD en situación de dependencia. Implementa PILOTO durante el año fiscal 2026, para generar línea de base e identificar criterios de focalización e intervención.</w:t>
      </w:r>
    </w:p>
    <w:p>
      <w:r>
        <w:rPr>
          <w:b/>
        </w:rPr>
        <w:t xml:space="preserve">SEXTA (180 días hábiles) — CRÍTICA: </w:t>
      </w:r>
      <w:r>
        <w:t>MIMP + CONADIS + entidades competentes aprueban ESTRATEGIA NACIONAL para la prestación del servicio de asistencia personal y cuidados para PcD en situación de dependencia. Alcance nacional. Contempla objetivos, prioridades, actividades y entidades responsables.</w:t>
      </w:r>
    </w:p>
    <w:p>
      <w:r>
        <w:rPr>
          <w:b/>
        </w:rPr>
        <w:t xml:space="preserve">SÉPTIMA: </w:t>
      </w:r>
      <w:r>
        <w:t>Instancias de Diálogo del SINAPEDIS a nivel regional/local creadas para identificar barreras, necesidades y expectativas de las organizaciones de PcD.</w:t>
      </w:r>
    </w:p>
    <w:p>
      <w:r>
        <w:rPr>
          <w:b/>
        </w:rPr>
        <w:t xml:space="preserve">OCTAVA (120 días hábiles): </w:t>
      </w:r>
      <w:r>
        <w:t>CONADIS aprueba lineamientos para la implementación de las Instancias de Diálogo del SINAPEDIS.</w:t>
      </w:r>
    </w:p>
    <w:p>
      <w:pPr>
        <w:pStyle w:val="Heading3"/>
      </w:pPr>
      <w:r>
        <w:t>4. Rol de CONADIS y gobiernos regionales ampliado (Arts. 66-A, 82, 83-A/B)</w:t>
      </w:r>
    </w:p>
    <w:p>
      <w:r>
        <w:t>Art. 66-A: CONADIS diseña y aprueba el modelo de servicio de asistencia personal, espacios de respiro y centros de atención. Realiza asistencia técnica, acompañamiento, seguimiento y supervisión para garantizar la correcta prestación, bajo parámetros de cumplimiento de los derechos de autonomía personal, vida independiente e inclusión en la comunidad.</w:t>
      </w:r>
    </w:p>
    <w:p>
      <w:r>
        <w:t>Art. 83-A/B (rol gobiernos regionales y locales): Desarrollar procesos de consulta previa para aprobación de normas y políticas sobre discapacidad, de acuerdo con las disposiciones e instrumentos establecidos por el CONADIS.</w:t>
      </w:r>
    </w:p>
    <w:p>
      <w:r>
        <w:br w:type="page"/>
      </w:r>
    </w:p>
    <w:p>
      <w:pPr>
        <w:pStyle w:val="Heading1"/>
      </w:pPr>
      <w:r>
        <w:t>PARTE 1: Estado del Marco Legal — actualizado abril 2026</w:t>
      </w:r>
    </w:p>
    <w:p>
      <w:pPr>
        <w:pStyle w:val="Heading2"/>
      </w:pPr>
      <w:r>
        <w:t>1.1 Instrumentos internacionales vigentes</w:t>
      </w:r>
    </w:p>
    <w:p>
      <w:r>
        <w:t>(Sin cambios respecto a v4. Ver tabla en versión anterior.)</w:t>
      </w:r>
    </w:p>
    <w:p>
      <w:r>
        <w:t>CDPD Art. 19 · OG N°5 · Observaciones Finales Perú 2023 (CRPD/C/PER/CO/2-3) siguen siendo la base jurídica internacional. El DS 001-2026-MIMP es la primera transposición sustancial del Art. 19 CDPD al ordenamiento reglamentario peruano.</w:t>
      </w:r>
    </w:p>
    <w:p>
      <w:pPr>
        <w:pStyle w:val="Heading2"/>
      </w:pPr>
      <w:r>
        <w:t>1.2 Legislación nacional — actualización abril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Norma</w:t>
            </w:r>
          </w:p>
        </w:tc>
        <w:tc>
          <w:tcPr>
            <w:tcW w:type="dxa" w:w="2160"/>
          </w:tcPr>
          <w:p>
            <w:r>
              <w:t>Año</w:t>
            </w:r>
          </w:p>
        </w:tc>
        <w:tc>
          <w:tcPr>
            <w:tcW w:type="dxa" w:w="2160"/>
          </w:tcPr>
          <w:p>
            <w:r>
              <w:t>Contenido clave</w:t>
            </w:r>
          </w:p>
        </w:tc>
        <w:tc>
          <w:tcPr>
            <w:tcW w:type="dxa" w:w="2160"/>
          </w:tcPr>
          <w:p>
            <w:r>
              <w:t>Estado / Cambio</w:t>
            </w:r>
          </w:p>
        </w:tc>
      </w:tr>
      <w:tr>
        <w:tc>
          <w:tcPr>
            <w:tcW w:type="dxa" w:w="2160"/>
          </w:tcPr>
          <w:p>
            <w:r>
              <w:t>Ley 29973 (Ley General PcD)</w:t>
            </w:r>
          </w:p>
        </w:tc>
        <w:tc>
          <w:tcPr>
            <w:tcW w:type="dxa" w:w="2160"/>
          </w:tcPr>
          <w:p>
            <w:r>
              <w:t>2012</w:t>
            </w:r>
          </w:p>
        </w:tc>
        <w:tc>
          <w:tcPr>
            <w:tcW w:type="dxa" w:w="2160"/>
          </w:tcPr>
          <w:p>
            <w:r>
              <w:t>Marco general de derechos</w:t>
            </w:r>
          </w:p>
        </w:tc>
        <w:tc>
          <w:tcPr>
            <w:tcW w:type="dxa" w:w="2160"/>
          </w:tcPr>
          <w:p>
            <w:r>
              <w:t>Vigente</w:t>
            </w:r>
          </w:p>
        </w:tc>
      </w:tr>
      <w:tr>
        <w:tc>
          <w:tcPr>
            <w:tcW w:type="dxa" w:w="2160"/>
          </w:tcPr>
          <w:p>
            <w:r>
              <w:t>DL 1384 (Capacidad jurídica)</w:t>
            </w:r>
          </w:p>
        </w:tc>
        <w:tc>
          <w:tcPr>
            <w:tcW w:type="dxa" w:w="2160"/>
          </w:tcPr>
          <w:p>
            <w:r>
              <w:t>2018</w:t>
            </w:r>
          </w:p>
        </w:tc>
        <w:tc>
          <w:tcPr>
            <w:tcW w:type="dxa" w:w="2160"/>
          </w:tcPr>
          <w:p>
            <w:r>
              <w:t>Elimina "incapacidad absoluta". SAIPD.</w:t>
            </w:r>
          </w:p>
        </w:tc>
        <w:tc>
          <w:tcPr>
            <w:tcW w:type="dxa" w:w="2160"/>
          </w:tcPr>
          <w:p>
            <w:r>
              <w:t>Vigente</w:t>
            </w:r>
          </w:p>
        </w:tc>
      </w:tr>
      <w:tr>
        <w:tc>
          <w:tcPr>
            <w:tcW w:type="dxa" w:w="2160"/>
          </w:tcPr>
          <w:p>
            <w:r>
              <w:t>Ley 32139</w:t>
            </w:r>
          </w:p>
        </w:tc>
        <w:tc>
          <w:tcPr>
            <w:tcW w:type="dxa" w:w="2160"/>
          </w:tcPr>
          <w:p>
            <w:r>
              <w:t>2024</w:t>
            </w:r>
          </w:p>
        </w:tc>
        <w:tc>
          <w:tcPr>
            <w:tcW w:type="dxa" w:w="2160"/>
          </w:tcPr>
          <w:p>
            <w:r>
              <w:t>Presupuesto regional/local para PcD.</w:t>
            </w:r>
          </w:p>
        </w:tc>
        <w:tc>
          <w:tcPr>
            <w:tcW w:type="dxa" w:w="2160"/>
          </w:tcPr>
          <w:p>
            <w:r>
              <w:t>Vigente</w:t>
            </w:r>
          </w:p>
        </w:tc>
      </w:tr>
      <w:tr>
        <w:tc>
          <w:tcPr>
            <w:tcW w:type="dxa" w:w="2160"/>
          </w:tcPr>
          <w:p>
            <w:r>
              <w:t>Ley 32188</w:t>
            </w:r>
          </w:p>
        </w:tc>
        <w:tc>
          <w:tcPr>
            <w:tcW w:type="dxa" w:w="2160"/>
          </w:tcPr>
          <w:p>
            <w:r>
              <w:t>2024</w:t>
            </w:r>
          </w:p>
        </w:tc>
        <w:tc>
          <w:tcPr>
            <w:tcW w:type="dxa" w:w="2160"/>
          </w:tcPr>
          <w:p>
            <w:r>
              <w:t>Reforma constitucional: "discapacidad" en Arts. 7 y 23.</w:t>
            </w:r>
          </w:p>
        </w:tc>
        <w:tc>
          <w:tcPr>
            <w:tcW w:type="dxa" w:w="2160"/>
          </w:tcPr>
          <w:p>
            <w:r>
              <w:t>Vigente</w:t>
            </w:r>
          </w:p>
        </w:tc>
      </w:tr>
      <w:tr>
        <w:tc>
          <w:tcPr>
            <w:tcW w:type="dxa" w:w="2160"/>
          </w:tcPr>
          <w:p>
            <w:r>
              <w:t>Ley 32289</w:t>
            </w:r>
          </w:p>
        </w:tc>
        <w:tc>
          <w:tcPr>
            <w:tcW w:type="dxa" w:w="2160"/>
          </w:tcPr>
          <w:p>
            <w:r>
              <w:t>2024</w:t>
            </w:r>
          </w:p>
        </w:tc>
        <w:tc>
          <w:tcPr>
            <w:tcW w:type="dxa" w:w="2160"/>
          </w:tcPr>
          <w:p>
            <w:r>
              <w:t>Acceso a educación básica + capacitación docente.</w:t>
            </w:r>
          </w:p>
        </w:tc>
        <w:tc>
          <w:tcPr>
            <w:tcW w:type="dxa" w:w="2160"/>
          </w:tcPr>
          <w:p>
            <w:r>
              <w:t>Vigente</w:t>
            </w:r>
          </w:p>
        </w:tc>
      </w:tr>
      <w:tr>
        <w:tc>
          <w:tcPr>
            <w:tcW w:type="dxa" w:w="2160"/>
          </w:tcPr>
          <w:p>
            <w:r>
              <w:t>Ley 32367</w:t>
            </w:r>
          </w:p>
        </w:tc>
        <w:tc>
          <w:tcPr>
            <w:tcW w:type="dxa" w:w="2160"/>
          </w:tcPr>
          <w:p>
            <w:r>
              <w:t>2025</w:t>
            </w:r>
          </w:p>
        </w:tc>
        <w:tc>
          <w:tcPr>
            <w:tcW w:type="dxa" w:w="2160"/>
          </w:tcPr>
          <w:p>
            <w:r>
              <w:t>Elimina renovación del certificado de discapacidad permanente.</w:t>
            </w:r>
          </w:p>
        </w:tc>
        <w:tc>
          <w:tcPr>
            <w:tcW w:type="dxa" w:w="2160"/>
          </w:tcPr>
          <w:p>
            <w:r>
              <w:t>Vigente</w:t>
            </w:r>
          </w:p>
        </w:tc>
      </w:tr>
      <w:tr>
        <w:tc>
          <w:tcPr>
            <w:tcW w:type="dxa" w:w="2160"/>
          </w:tcPr>
          <w:p>
            <w:r>
              <w:t>DS 001-2026-MIMP</w:t>
            </w:r>
          </w:p>
        </w:tc>
        <w:tc>
          <w:tcPr>
            <w:tcW w:type="dxa" w:w="2160"/>
          </w:tcPr>
          <w:p>
            <w:r>
              <w:t>2026</w:t>
            </w:r>
          </w:p>
        </w:tc>
        <w:tc>
          <w:tcPr>
            <w:tcW w:type="dxa" w:w="2160"/>
          </w:tcPr>
          <w:p>
            <w:r>
              <w:t>Modifica Reglamento Ley 29973. Define asistente personal, asistencia personal, familiar cuidador, situación de dependencia. Reconoce derecho a AP (Art. 6-B). CONADIS diseña modelo de AP (180 días). Piloto 2026. Estrategia Nacional de AP (180 días).</w:t>
            </w:r>
          </w:p>
        </w:tc>
        <w:tc>
          <w:tcPr>
            <w:tcW w:type="dxa" w:w="2160"/>
          </w:tcPr>
          <w:p>
            <w:r>
              <w:t>🆕 NUEVO — Publicado 8 abril 2026</w:t>
            </w:r>
          </w:p>
        </w:tc>
      </w:tr>
      <w:tr>
        <w:tc>
          <w:tcPr>
            <w:tcW w:type="dxa" w:w="2160"/>
          </w:tcPr>
          <w:p>
            <w:r>
              <w:t>Estrategia Desinstitucionalización CONADIS (Res. D000204-2025)</w:t>
            </w:r>
          </w:p>
        </w:tc>
        <w:tc>
          <w:tcPr>
            <w:tcW w:type="dxa" w:w="2160"/>
          </w:tcPr>
          <w:p>
            <w:r>
              <w:t>2025</w:t>
            </w:r>
          </w:p>
        </w:tc>
        <w:tc>
          <w:tcPr>
            <w:tcW w:type="dxa" w:w="2160"/>
          </w:tcPr>
          <w:p>
            <w:r>
              <w:t>Primer documento oficial que reconoce la institucionalización no voluntaria.</w:t>
            </w:r>
          </w:p>
        </w:tc>
        <w:tc>
          <w:tcPr>
            <w:tcW w:type="dxa" w:w="2160"/>
          </w:tcPr>
          <w:p>
            <w:r>
              <w:t>Vigente — Ahora complementado por DS 001-2026</w:t>
            </w:r>
          </w:p>
        </w:tc>
      </w:tr>
      <w:tr>
        <w:tc>
          <w:tcPr>
            <w:tcW w:type="dxa" w:w="2160"/>
          </w:tcPr>
          <w:p>
            <w:r>
              <w:t>Art. 29.2 revisado</w:t>
            </w:r>
          </w:p>
        </w:tc>
        <w:tc>
          <w:tcPr>
            <w:tcW w:type="dxa" w:w="2160"/>
          </w:tcPr>
          <w:p>
            <w:r>
              <w:t>2025–2026</w:t>
            </w:r>
          </w:p>
        </w:tc>
        <w:tc>
          <w:tcPr>
            <w:tcW w:type="dxa" w:w="2160"/>
          </w:tcPr>
          <w:p>
            <w:r>
              <w:t>Versión suavizada (sin "permanentes"): pendiente de votación final.</w:t>
            </w:r>
          </w:p>
        </w:tc>
        <w:tc>
          <w:tcPr>
            <w:tcW w:type="dxa" w:w="2160"/>
          </w:tcPr>
          <w:p>
            <w:r>
              <w:t>⚠️ Amenaza activa — OHCHR la cuestiona</w:t>
            </w:r>
          </w:p>
        </w:tc>
      </w:tr>
    </w:tbl>
    <w:p>
      <w:pPr>
        <w:pStyle w:val="Heading2"/>
      </w:pPr>
      <w:r>
        <w:t>1.3 El Artículo 29.2 — estado actual</w:t>
      </w:r>
    </w:p>
    <w:p>
      <w:r>
        <w:t>Sin cambios respecto a v4. La amenaza persiste. El DS 001-2026-MIMP, firmado por el gobierno Balcázar (Perú Libre), es una señal política positiva, pero la versión revisada del Art. 29.2 puede avanzar en el Congreso independientemente del Ejecutivo.</w:t>
      </w:r>
    </w:p>
    <w:p>
      <w:pPr>
        <w:pStyle w:val="Heading2"/>
      </w:pPr>
      <w:r>
        <w:t>1.4 Vacíos legales — situación actualizada</w:t>
      </w:r>
    </w:p>
    <w:tbl>
      <w:tblPr>
        <w:tblStyle w:val="TableGrid"/>
        <w:tblW w:type="auto" w:w="0"/>
        <w:tblLook w:firstColumn="1" w:firstRow="1" w:lastColumn="0" w:lastRow="0" w:noHBand="0" w:noVBand="1" w:val="04A0"/>
      </w:tblPr>
      <w:tblGrid>
        <w:gridCol w:w="2880"/>
        <w:gridCol w:w="2880"/>
        <w:gridCol w:w="2880"/>
      </w:tblGrid>
      <w:tr>
        <w:tc>
          <w:tcPr>
            <w:tcW w:type="dxa" w:w="2880"/>
          </w:tcPr>
          <w:p>
            <w:r>
              <w:t>Brecha</w:t>
            </w:r>
          </w:p>
        </w:tc>
        <w:tc>
          <w:tcPr>
            <w:tcW w:type="dxa" w:w="2880"/>
          </w:tcPr>
          <w:p>
            <w:r>
              <w:t>Gravedad</w:t>
            </w:r>
          </w:p>
        </w:tc>
        <w:tc>
          <w:tcPr>
            <w:tcW w:type="dxa" w:w="2880"/>
          </w:tcPr>
          <w:p>
            <w:r>
              <w:t>Situación actualizada (abril 2026)</w:t>
            </w:r>
          </w:p>
        </w:tc>
      </w:tr>
      <w:tr>
        <w:tc>
          <w:tcPr>
            <w:tcW w:type="dxa" w:w="2880"/>
          </w:tcPr>
          <w:p>
            <w:r>
              <w:t>Sin Ley de Asistencia Personal</w:t>
            </w:r>
          </w:p>
        </w:tc>
        <w:tc>
          <w:tcPr>
            <w:tcW w:type="dxa" w:w="2880"/>
          </w:tcPr>
          <w:p>
            <w:r>
              <w:t>ALTA (antes CRÍTICA)</w:t>
            </w:r>
          </w:p>
        </w:tc>
        <w:tc>
          <w:tcPr>
            <w:tcW w:type="dxa" w:w="2880"/>
          </w:tcPr>
          <w:p>
            <w:r>
              <w:t>El DS 001-2026-MIMP define AP y reconoce el derecho (Art. 6-B) a nivel reglamentario. CONADIS debe diseñar el modelo de servicio en 180 días e implementar piloto en 2026. La vía reglamentaria avanza; una ley específica sigue siendo el objetivo de largo plazo.</w:t>
            </w:r>
          </w:p>
        </w:tc>
      </w:tr>
      <w:tr>
        <w:tc>
          <w:tcPr>
            <w:tcW w:type="dxa" w:w="2880"/>
          </w:tcPr>
          <w:p>
            <w:r>
              <w:t>Sin reconocimiento legal de CVI</w:t>
            </w:r>
          </w:p>
        </w:tc>
        <w:tc>
          <w:tcPr>
            <w:tcW w:type="dxa" w:w="2880"/>
          </w:tcPr>
          <w:p>
            <w:r>
              <w:t>ALTA</w:t>
            </w:r>
          </w:p>
        </w:tc>
        <w:tc>
          <w:tcPr>
            <w:tcW w:type="dxa" w:w="2880"/>
          </w:tcPr>
          <w:p>
            <w:r>
              <w:t>Sin cambios. Los CVI no tienen reconocimiento legal propio. Sin embargo, el DS 001-2026 refuerza la figura del asistente personal y el CEVI puede posicionarse como ejecutor del modelo de AP que CONADIS debe diseñar (Disposición QUINTA).</w:t>
            </w:r>
          </w:p>
        </w:tc>
      </w:tr>
      <w:tr>
        <w:tc>
          <w:tcPr>
            <w:tcW w:type="dxa" w:w="2880"/>
          </w:tcPr>
          <w:p>
            <w:r>
              <w:t>Reforma del Código Civil inconclusa</w:t>
            </w:r>
          </w:p>
        </w:tc>
        <w:tc>
          <w:tcPr>
            <w:tcW w:type="dxa" w:w="2880"/>
          </w:tcPr>
          <w:p>
            <w:r>
              <w:t>ALTA</w:t>
            </w:r>
          </w:p>
        </w:tc>
        <w:tc>
          <w:tcPr>
            <w:tcW w:type="dxa" w:w="2880"/>
          </w:tcPr>
          <w:p>
            <w:r>
              <w:t>Sin cambios. Curatela residual persiste.</w:t>
            </w:r>
          </w:p>
        </w:tc>
      </w:tr>
      <w:tr>
        <w:tc>
          <w:tcPr>
            <w:tcW w:type="dxa" w:w="2880"/>
          </w:tcPr>
          <w:p>
            <w:r>
              <w:t>Art. 29.2 revisado pendiente</w:t>
            </w:r>
          </w:p>
        </w:tc>
        <w:tc>
          <w:tcPr>
            <w:tcW w:type="dxa" w:w="2880"/>
          </w:tcPr>
          <w:p>
            <w:r>
              <w:t>ALTA</w:t>
            </w:r>
          </w:p>
        </w:tc>
        <w:tc>
          <w:tcPr>
            <w:tcW w:type="dxa" w:w="2880"/>
          </w:tcPr>
          <w:p>
            <w:r>
              <w:t>Sin cambios. Amenaza activa en el Congreso.</w:t>
            </w:r>
          </w:p>
        </w:tc>
      </w:tr>
      <w:tr>
        <w:tc>
          <w:tcPr>
            <w:tcW w:type="dxa" w:w="2880"/>
          </w:tcPr>
          <w:p>
            <w:r>
              <w:t>PNDD sin eje de VI</w:t>
            </w:r>
          </w:p>
        </w:tc>
        <w:tc>
          <w:tcPr>
            <w:tcW w:type="dxa" w:w="2880"/>
          </w:tcPr>
          <w:p>
            <w:r>
              <w:t>MEDIA</w:t>
            </w:r>
          </w:p>
        </w:tc>
        <w:tc>
          <w:tcPr>
            <w:tcW w:type="dxa" w:w="2880"/>
          </w:tcPr>
          <w:p>
            <w:r>
              <w:t>Sin cambios formales. Pero el DS 001-2026 genera presión para actualizar el PNDD.</w:t>
            </w:r>
          </w:p>
        </w:tc>
      </w:tr>
    </w:tbl>
    <w:p>
      <w:r>
        <w:br w:type="page"/>
      </w:r>
    </w:p>
    <w:p>
      <w:pPr>
        <w:pStyle w:val="Heading1"/>
      </w:pPr>
      <w:r>
        <w:t>PARTE 2: Los Actores — actualización estratégica</w:t>
      </w:r>
    </w:p>
    <w:p>
      <w:r>
        <w:t>La entrada en vigor del DS 001-2026-MIMP cambia el contexto de acción para todos los actores. Lo que en v4 era "incidir para que CONADIS reglamente la AP" es ahora "posicionarse para ejecutar el modelo de AP que CONADIS debe diseñar en los próximos 180 días."</w:t>
      </w:r>
    </w:p>
    <w:p>
      <w:pPr>
        <w:pStyle w:val="Heading2"/>
      </w:pPr>
      <w:r>
        <w:t>2.1 El Movimiento de Vida Independiente Perú (MVIP)</w:t>
      </w:r>
    </w:p>
    <w:p>
      <w:r>
        <w:rPr>
          <w:b/>
        </w:rPr>
        <w:t xml:space="preserve">Bárbara Ventura (Lima). </w:t>
      </w:r>
      <w:r>
        <w:t>La nueva prioridad táctica: participar activamente en el proceso de diseño del modelo de AP que CONADIS debe completar en 180 días (Disposición QUINTA). Bárbara tiene acceso directo a la presidenta de CONADIS (Mercedes Villalobos). El DS 001-2026 le da argumento legal concreto para exigir que el modelo de AP adopte el enfoque VI, no el médico-asistencialista. EC1711 mexicano como referente técnico sigue siendo clave.</w:t>
      </w:r>
    </w:p>
    <w:p>
      <w:r>
        <w:rPr>
          <w:b/>
        </w:rPr>
        <w:t xml:space="preserve">Roy Castro / CEVI "Vida Propia" (Arequipa). </w:t>
      </w:r>
      <w:r>
        <w:t>El CEVI puede y debe presentarse formalmente ante CONADIS como ejecutor piloto del modelo de AP (Disposición QUINTA: "implementa piloto durante el año fiscal 2026"). Ventana de oportunidad inmediata. Articulación con Astrid Carolina Flores Huamani en CONADIS.</w:t>
      </w:r>
    </w:p>
    <w:p>
      <w:r>
        <w:rPr>
          <w:b/>
        </w:rPr>
        <w:t xml:space="preserve">María Alejandra Zavaleta (MINSA). </w:t>
      </w:r>
      <w:r>
        <w:t>El DS 001-2026 complementa su trabajo en NTS N°140 desde el lado de MIMP/CONADIS. Reforma NTS N°140 (Hogares Protegidos → modelo VI): cronograma aprobación noviembre 2026. La presencia del asistente personal en instituciones educativas (Disposición TERCERA) abre articulación con Educación.</w:t>
      </w:r>
    </w:p>
    <w:p>
      <w:pPr>
        <w:pStyle w:val="Heading2"/>
      </w:pPr>
      <w:r>
        <w:t>2.2 Aliados en el Estado — nuevas oportunidades</w:t>
      </w:r>
    </w:p>
    <w:p>
      <w:r>
        <w:rPr>
          <w:b/>
        </w:rPr>
        <w:t xml:space="preserve">Astrid Carolina Flores Huamani (CONADIS). </w:t>
      </w:r>
      <w:r>
        <w:t>Nueva prioridad: articular al CEVI como ejecutor del piloto de AP (Disposición QUINTA). El DS 001-2026 le da mandato institucional explícito para este trabajo.</w:t>
      </w:r>
    </w:p>
    <w:p>
      <w:r>
        <w:rPr>
          <w:b/>
        </w:rPr>
        <w:t xml:space="preserve">CONADIS (institución). </w:t>
      </w:r>
      <w:r>
        <w:t>Tiene ahora la obligación legal de: (1) diseñar el modelo de AP en 180 días, (2) implementar piloto en 2026, (3) crear el registro de asistentes personales, (4) aprobar la Estrategia Nacional de AP en 180 días. El MVIP debe estar presente en todos estos procesos.</w:t>
      </w:r>
    </w:p>
    <w:p>
      <w:pPr>
        <w:pStyle w:val="Heading2"/>
      </w:pPr>
      <w:r>
        <w:t>2.3 Aliados internacionales — nuevas entradas</w:t>
      </w:r>
    </w:p>
    <w:p>
      <w:r>
        <w:t>Sin cambios estructurales respecto a v4. Stefan Trömel (OIT) y el evento RELAVIN–OIT de junio 2026 son ahora más relevantes: el DS 001-2026-MIMP es un caso de buena práctica legislativa para presentar.</w:t>
      </w:r>
    </w:p>
    <w:p>
      <w:r>
        <w:br w:type="page"/>
      </w:r>
    </w:p>
    <w:p>
      <w:pPr>
        <w:pStyle w:val="Heading1"/>
      </w:pPr>
      <w:r>
        <w:t>PARTE 3: Futuros Posibles — actualización de horizontes</w:t>
      </w:r>
    </w:p>
    <w:p>
      <w:pPr>
        <w:pStyle w:val="Heading2"/>
      </w:pPr>
      <w:r>
        <w:t>3.1 Lo inmediato — VENTANA CRÍTICA ABIERTA (0–6 meses)</w:t>
      </w:r>
    </w:p>
    <w:p>
      <w:pPr>
        <w:pStyle w:val="Quote"/>
      </w:pPr>
      <w:r>
        <w:t>El DS 001-2026-MIMP abre una ventana de oportunidad de 180 días hábiles (aproximadamente hasta octubre-noviembre 2026) en la que CONADIS DEBE diseñar el modelo de AP e implementar el piloto. El MVIP debe estar activamente posicionado para influir en ese diseño desde el primer día.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Objetivo</w:t>
            </w:r>
          </w:p>
        </w:tc>
        <w:tc>
          <w:tcPr>
            <w:tcW w:type="dxa" w:w="2160"/>
          </w:tcPr>
          <w:p>
            <w:r>
              <w:t>Cómo</w:t>
            </w:r>
          </w:p>
        </w:tc>
        <w:tc>
          <w:tcPr>
            <w:tcW w:type="dxa" w:w="2160"/>
          </w:tcPr>
          <w:p>
            <w:r>
              <w:t>Plazo</w:t>
            </w:r>
          </w:p>
        </w:tc>
        <w:tc>
          <w:tcPr>
            <w:tcW w:type="dxa" w:w="2160"/>
          </w:tcPr>
          <w:p>
            <w:r>
              <w:t>Quién</w:t>
            </w:r>
          </w:p>
        </w:tc>
      </w:tr>
      <w:tr>
        <w:tc>
          <w:tcPr>
            <w:tcW w:type="dxa" w:w="2160"/>
          </w:tcPr>
          <w:p>
            <w:r>
              <w:t>Incidir en el modelo de AP que CONADIS diseñará</w:t>
            </w:r>
          </w:p>
        </w:tc>
        <w:tc>
          <w:tcPr>
            <w:tcW w:type="dxa" w:w="2160"/>
          </w:tcPr>
          <w:p>
            <w:r>
              <w:t>Bárbara + Astrid Carolina: propuesta técnica basada en EC1711 y metodología Mainstream/JICA. El modelo debe adoptar el enfoque VI, no el médico.</w:t>
            </w:r>
          </w:p>
        </w:tc>
        <w:tc>
          <w:tcPr>
            <w:tcW w:type="dxa" w:w="2160"/>
          </w:tcPr>
          <w:p>
            <w:r>
              <w:t>Inmediato — antes de que CONADIS inicie el proceso</w:t>
            </w:r>
          </w:p>
        </w:tc>
        <w:tc>
          <w:tcPr>
            <w:tcW w:type="dxa" w:w="2160"/>
          </w:tcPr>
          <w:p>
            <w:r>
              <w:t>Bárbara + Astrid Carolina + Coordinador RELAVIN</w:t>
            </w:r>
          </w:p>
        </w:tc>
      </w:tr>
      <w:tr>
        <w:tc>
          <w:tcPr>
            <w:tcW w:type="dxa" w:w="2160"/>
          </w:tcPr>
          <w:p>
            <w:r>
              <w:t>CEVI "Vida Propia" como ejecutor del piloto de AP</w:t>
            </w:r>
          </w:p>
        </w:tc>
        <w:tc>
          <w:tcPr>
            <w:tcW w:type="dxa" w:w="2160"/>
          </w:tcPr>
          <w:p>
            <w:r>
              <w:t>Roy presenta formalmente el CEVI ante CONADIS como candidato al piloto 2026 (Disposición QUINTA). Roy tiene la metodología y la experiencia directa.</w:t>
            </w:r>
          </w:p>
        </w:tc>
        <w:tc>
          <w:tcPr>
            <w:tcW w:type="dxa" w:w="2160"/>
          </w:tcPr>
          <w:p>
            <w:r>
              <w:t>0–3 meses</w:t>
            </w:r>
          </w:p>
        </w:tc>
        <w:tc>
          <w:tcPr>
            <w:tcW w:type="dxa" w:w="2160"/>
          </w:tcPr>
          <w:p>
            <w:r>
              <w:t>Roy + Astrid Carolina</w:t>
            </w:r>
          </w:p>
        </w:tc>
      </w:tr>
      <w:tr>
        <w:tc>
          <w:tcPr>
            <w:tcW w:type="dxa" w:w="2160"/>
          </w:tcPr>
          <w:p>
            <w:r>
              <w:t>Participar en el diseño de la Estrategia Nacional de AP</w:t>
            </w:r>
          </w:p>
        </w:tc>
        <w:tc>
          <w:tcPr>
            <w:tcW w:type="dxa" w:w="2160"/>
          </w:tcPr>
          <w:p>
            <w:r>
              <w:t>El MVIP debe estar en la mesa cuando MIMP + CONADIS redacten la Estrategia Nacional (Disposición SEXTA). Bárbara y Coordinador RELAVIN como interlocutores.</w:t>
            </w:r>
          </w:p>
        </w:tc>
        <w:tc>
          <w:tcPr>
            <w:tcW w:type="dxa" w:w="2160"/>
          </w:tcPr>
          <w:p>
            <w:r>
              <w:t>Dentro de 180 días hábiles</w:t>
            </w:r>
          </w:p>
        </w:tc>
        <w:tc>
          <w:tcPr>
            <w:tcW w:type="dxa" w:w="2160"/>
          </w:tcPr>
          <w:p>
            <w:r>
              <w:t>Bárbara + Coordinador RELAVIN</w:t>
            </w:r>
          </w:p>
        </w:tc>
      </w:tr>
      <w:tr>
        <w:tc>
          <w:tcPr>
            <w:tcW w:type="dxa" w:w="2160"/>
          </w:tcPr>
          <w:p>
            <w:r>
              <w:t>Crear el Registro de Asistentes Personales (Disposición CUARTA)</w:t>
            </w:r>
          </w:p>
        </w:tc>
        <w:tc>
          <w:tcPr>
            <w:tcW w:type="dxa" w:w="2160"/>
          </w:tcPr>
          <w:p>
            <w:r>
              <w:t>CONADIS implementa el registro. MVIP puede aportar metodología de certificación y casos documentados.</w:t>
            </w:r>
          </w:p>
        </w:tc>
        <w:tc>
          <w:tcPr>
            <w:tcW w:type="dxa" w:w="2160"/>
          </w:tcPr>
          <w:p>
            <w:r>
              <w:t>Sin plazo específico — continuo</w:t>
            </w:r>
          </w:p>
        </w:tc>
        <w:tc>
          <w:tcPr>
            <w:tcW w:type="dxa" w:w="2160"/>
          </w:tcPr>
          <w:p>
            <w:r>
              <w:t>CONADIS + MVIP como colaboradores</w:t>
            </w:r>
          </w:p>
        </w:tc>
      </w:tr>
      <w:tr>
        <w:tc>
          <w:tcPr>
            <w:tcW w:type="dxa" w:w="2160"/>
          </w:tcPr>
          <w:p>
            <w:r>
              <w:t>NTS N°140 aprobada con enfoque VI</w:t>
            </w:r>
          </w:p>
        </w:tc>
        <w:tc>
          <w:tcPr>
            <w:tcW w:type="dxa" w:w="2160"/>
          </w:tcPr>
          <w:p>
            <w:r>
              <w:t>María Alejandra conduce el proceso desde MINSA. Consulta participativa abr–jun 2026.</w:t>
            </w:r>
          </w:p>
        </w:tc>
        <w:tc>
          <w:tcPr>
            <w:tcW w:type="dxa" w:w="2160"/>
          </w:tcPr>
          <w:p>
            <w:r>
              <w:t>Noviembre 2026</w:t>
            </w:r>
          </w:p>
        </w:tc>
        <w:tc>
          <w:tcPr>
            <w:tcW w:type="dxa" w:w="2160"/>
          </w:tcPr>
          <w:p>
            <w:r>
              <w:t>María Alejandra + Roy/Bárbara</w:t>
            </w:r>
          </w:p>
        </w:tc>
      </w:tr>
      <w:tr>
        <w:tc>
          <w:tcPr>
            <w:tcW w:type="dxa" w:w="2160"/>
          </w:tcPr>
          <w:p>
            <w:r>
              <w:t>Evento RELAVIN–OIT junio 2026</w:t>
            </w:r>
          </w:p>
        </w:tc>
        <w:tc>
          <w:tcPr>
            <w:tcW w:type="dxa" w:w="2160"/>
          </w:tcPr>
          <w:p>
            <w:r>
              <w:t>Presentar el DS 001-2026-MIMP como caso de buena práctica legislativa. Roy/Bárbara como ponentes del caso peruano.</w:t>
            </w:r>
          </w:p>
        </w:tc>
        <w:tc>
          <w:tcPr>
            <w:tcW w:type="dxa" w:w="2160"/>
          </w:tcPr>
          <w:p>
            <w:r>
              <w:t>Junio 2026</w:t>
            </w:r>
          </w:p>
        </w:tc>
        <w:tc>
          <w:tcPr>
            <w:tcW w:type="dxa" w:w="2160"/>
          </w:tcPr>
          <w:p>
            <w:r>
              <w:t>Coordinador RELAVIN + Stefan Trömel + Roy/Bárbara</w:t>
            </w:r>
          </w:p>
        </w:tc>
      </w:tr>
    </w:tbl>
    <w:p>
      <w:pPr>
        <w:pStyle w:val="Heading2"/>
      </w:pPr>
      <w:r>
        <w:t>3.2 Mediano plazo — acelerado por el DS 001-2026</w:t>
      </w:r>
    </w:p>
    <w:p>
      <w:r>
        <w:t>Lo que en v4 era "mediano plazo (1–3 años)" se comprime. La reglamentación de la AP ya existe a nivel reglamentario. El foco del mediano plazo es ahora:</w:t>
      </w:r>
    </w:p>
    <w:p>
      <w:pPr>
        <w:pStyle w:val="ListBullet"/>
      </w:pPr>
      <w:r>
        <w:t>Asegurar que el piloto de AP 2026 sea exitoso y documentado → evidencia para la ley de AP</w:t>
      </w:r>
    </w:p>
    <w:p>
      <w:pPr>
        <w:pStyle w:val="ListBullet"/>
      </w:pPr>
      <w:r>
        <w:t>EC1711 en la agenda de la Alianza del Pacífico (GTDIS): el DS 001-2026 fortalece el argumento peruano</w:t>
      </w:r>
    </w:p>
    <w:p>
      <w:pPr>
        <w:pStyle w:val="ListBullet"/>
      </w:pPr>
      <w:r>
        <w:t>CEVI "Vida Propia" con financiamiento regional via Ley 32139</w:t>
      </w:r>
    </w:p>
    <w:p>
      <w:pPr>
        <w:pStyle w:val="ListBullet"/>
      </w:pPr>
      <w:r>
        <w:t>Articulación MINSA (NTS N°140) + CONADIS (modelo AP) como sistema coherente</w:t>
      </w:r>
    </w:p>
    <w:p>
      <w:pPr>
        <w:pStyle w:val="Heading2"/>
      </w:pPr>
      <w:r>
        <w:t>3.3 Largo plazo — el objetivo sigue en pie</w:t>
      </w:r>
    </w:p>
    <w:p>
      <w:r>
        <w:t>La Ley de Asistencia Personal sigue siendo el objetivo de largo plazo. Pero ahora la base reglamentaria existe, el piloto está en marcha, y la evidencia se construye. El argumento parlamentario en 2027-2028 tendrá sustento empírico.</w:t>
      </w:r>
    </w:p>
    <w:p>
      <w:pPr>
        <w:pStyle w:val="Heading2"/>
      </w:pPr>
      <w:r>
        <w:t>3.4 Síntesis revisada: Mapa de lo posible</w:t>
      </w:r>
    </w:p>
    <w:p>
      <w:r>
        <w:t>La lógica estratégica de v4 se mantiene, pero los plazos se comprimen y el contexto mejora:</w:t>
      </w:r>
    </w:p>
    <w:p>
      <w:pPr>
        <w:pStyle w:val="ListBullet"/>
      </w:pPr>
      <w:r>
        <w:t>Inmediato (0–12 meses): Influir en modelo AP + piloto CONADIS + NTS N°140 + Convenio RELAVIN–MINSA + evento RELAVIN–OIT. TODO EN CURSO O CON MANDATO LEGAL.</w:t>
      </w:r>
    </w:p>
    <w:p>
      <w:pPr>
        <w:pStyle w:val="ListBullet"/>
      </w:pPr>
      <w:r>
        <w:t>Mediano (1–3 años): Ley de AP con evidencia del piloto · EC1711 en Alianza del Pacífico · Financiamiento regional CVI.</w:t>
      </w:r>
    </w:p>
    <w:p>
      <w:pPr>
        <w:pStyle w:val="ListBullet"/>
      </w:pPr>
      <w:r>
        <w:t>Largo (3–5 años): Ley de AP aprobada · CVI reconocidos legalmente · VI como eje del PNDD.</w:t>
      </w:r>
    </w:p>
    <w:p>
      <w:pPr>
        <w:pStyle w:val="Quote"/>
      </w:pPr>
      <w:r>
        <w:t>★ La clave sigue siendo la misma: lo inmediato construye evidencia para lo mediano, que hace exigible lo largo. La diferencia respecto a v4: el piso legal ya existe. Ya no se construye desde cero.</w:t>
      </w:r>
    </w:p>
    <w:p>
      <w:r>
        <w:br w:type="page"/>
      </w:r>
    </w:p>
    <w:p>
      <w:pPr>
        <w:pStyle w:val="Heading1"/>
      </w:pPr>
      <w:r>
        <w:t>PARTE 4: La Red Institucional del CONADIS — impacto del DS 001-2026</w:t>
      </w:r>
    </w:p>
    <w:p>
      <w:r>
        <w:t>El análisis de v4 sobre la arquitectura interna del CONADIS sigue vigente. El DS 001-2026-MIMP le agrega a CONADIS obligaciones concretas y plazos. Esto convierte a la Dirección de Políticas e Investigaciones (María Luisa Chávez + Astrid Carolina Flores Huamani) en el núcleo de implementación del nuevo marco legal.</w:t>
      </w:r>
    </w:p>
    <w:p>
      <w:r>
        <w:t>Prioridad táctica nueva: no solo "posicionar al CEVI como ejecutor" (v4), sino estar presentes en el proceso de diseño del modelo de AP que CONADIS DEBE completar antes de octubre 2026. El MVIP tiene la metodología. CONADIS tiene el mandato legal. La articulación es urgente.</w:t>
      </w:r>
    </w:p>
    <w:p/>
    <w:p>
      <w:pPr>
        <w:pStyle w:val="Heading1"/>
      </w:pPr>
      <w:r>
        <w:t>Nota metodológica</w:t>
      </w:r>
    </w:p>
    <w:p>
      <w:r>
        <w:t>Esta versión 5 incorpora el Decreto Supremo N° 001-2026-MIMP (publicado en El Peruano el 8 de abril de 2026) como hecho jurídico central que modifica el análisis de la v4. La estructura de las cuatro partes se mantiene; se actualizan las secciones de marco legal (Parte 1), estrategia de actores (Parte 2) y horizontes de acción (Parte 3). El análisis del DS se basa en la lectura directa del texto publicado en El Peruano.</w:t>
      </w:r>
    </w:p>
    <w:p>
      <w:r>
        <w:t>Versión 4 (marzo 2026): Análisis del estado legal sin DS 001-2026.</w:t>
        <w:br/>
        <w:t>Versión 5 (abril 2026): Incorpora DS 001-2026-MIMP como hecho transformador.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