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13" w:name="Xf34131f22388d6093dd5914cd6a0098b9e28a72"/>
    <w:p>
      <w:pPr>
        <w:pStyle w:val="Heading2"/>
      </w:pPr>
      <w:r>
        <w:t xml:space="preserve">1. Cómo llegamos hasta aquí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2023-2024 — La formación de asistentes personales ya se introdujo en la República Dominicana, con apoyo de la OIT.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Octubre de 2023:</w:t>
      </w:r>
      <w:r>
        <w:t xml:space="preserve"> </w:t>
      </w:r>
      <w:r>
        <w:t xml:space="preserve">INFOTEP, la OIT y el MEPyD presentan el programa</w:t>
      </w:r>
      <w:r>
        <w:t xml:space="preserve"> </w:t>
      </w:r>
      <w:r>
        <w:rPr>
          <w:b/>
          <w:bCs/>
        </w:rPr>
        <w:t xml:space="preserve">«Asistencia Personal a Personas con Discapacidad con Demanda de Apoyo»</w:t>
      </w:r>
      <w:r>
        <w:t xml:space="preserve">, con</w:t>
      </w:r>
      <w:r>
        <w:t xml:space="preserve"> </w:t>
      </w:r>
      <w:r>
        <w:rPr>
          <w:b/>
          <w:bCs/>
        </w:rPr>
        <w:t xml:space="preserve">cuatro Manuales Guía</w:t>
      </w:r>
      <w:r>
        <w:t xml:space="preserve">, dentro del proyecto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(Fondo ODS). (</w:t>
      </w:r>
      <w:hyperlink r:id="rId9">
        <w:r>
          <w:rPr>
            <w:rStyle w:val="Hyperlink"/>
          </w:rPr>
          <w:t xml:space="preserve">OIT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INFOTEP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Presidencia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26 de febrero de 2024:</w:t>
      </w:r>
      <w:r>
        <w:t xml:space="preserve"> </w:t>
      </w:r>
      <w:r>
        <w:t xml:space="preserve">INFOTEP y la OIT</w:t>
      </w:r>
      <w:r>
        <w:t xml:space="preserve"> </w:t>
      </w:r>
      <w:r>
        <w:rPr>
          <w:b/>
          <w:bCs/>
        </w:rPr>
        <w:t xml:space="preserve">certifican a 29 facilitadoras y facilitadores técnicos</w:t>
      </w:r>
      <w:r>
        <w:t xml:space="preserve"> </w:t>
      </w:r>
      <w:r>
        <w:t xml:space="preserve">para impartir ese programa — 30 horas, con el enfoque de derechos humanos como eje transversal, a cargo de una experta internacional del movimiento de vida independiente de Costa Rica, consultora de la OIT. (</w:t>
      </w:r>
      <w:hyperlink r:id="rId12">
        <w:r>
          <w:rPr>
            <w:rStyle w:val="Hyperlink"/>
          </w:rPr>
          <w:t xml:space="preserve">Supérate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Y ahí se detuvo.</w:t>
      </w:r>
      <w:r>
        <w:t xml:space="preserve"> </w:t>
      </w:r>
      <w:r>
        <w:t xml:space="preserve">La formación masiva y los servicios avanzaron para el cuidado de personas mayores, pero</w:t>
      </w:r>
      <w:r>
        <w:t xml:space="preserve"> </w:t>
      </w:r>
      <w:r>
        <w:rPr>
          <w:b/>
          <w:bCs/>
        </w:rPr>
        <w:t xml:space="preserve">la formación de asistentes personales y la prestación del servicio de AP a personas con discapacidad no arrancaron.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Las 29 personas certificadas siguen ahí, sin haber podido ejercer esa formación.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Esta propuesta no inicia algo nuevo: retoma lo que la OIT dejó a mitad de camino.</w:t>
      </w:r>
      <w:r>
        <w:t xml:space="preserve"> </w:t>
      </w:r>
      <w:r>
        <w:t xml:space="preserve">El currículo, los manuales y las personas formadoras ya existen — es un activo que en la región sólo tienen la República Dominicana y Costa Rica.</w:t>
      </w:r>
      <w:r>
        <w:t xml:space="preserve"> </w:t>
      </w: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13"/>
    <w:bookmarkStart w:id="14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3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3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5"/>
    <w:bookmarkStart w:id="16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6"/>
    <w:bookmarkStart w:id="17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 — incluye el</w:t>
            </w:r>
            <w:r>
              <w:t xml:space="preserve"> </w:t>
            </w:r>
            <w:r>
              <w:rPr>
                <w:b/>
                <w:bCs/>
              </w:rPr>
              <w:t xml:space="preserve">encuentro con las 29 personas facilitadoras certificadas en 2024</w:t>
            </w:r>
            <w:r>
              <w:t xml:space="preserve"> </w:t>
            </w:r>
            <w:r>
              <w:t xml:space="preserve">(§7). Resto del contenido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  <w:r>
        <w:t xml:space="preserve"> </w:t>
      </w:r>
      <w:r>
        <w:rPr>
          <w:b/>
          <w:bCs/>
        </w:rPr>
        <w:t xml:space="preserve">Cada una de esas instancias incluye una sesión de asesoría en línea con Morpho</w:t>
      </w:r>
      <w:r>
        <w:t xml:space="preserve"> </w:t>
      </w:r>
      <w:r>
        <w:t xml:space="preserve">— no sólo se registra cómo va el ciclo, sino que se resuelven allí mismo las dudas de la operación con quienes ya lo tienen andando.</w:t>
      </w:r>
      <w:r>
        <w:t xml:space="preserve"> </w:t>
      </w:r>
      <w:r>
        <w:rPr>
          <w:i/>
          <w:iCs/>
        </w:rPr>
        <w:t xml:space="preserve">La frecuencia trimestral es la de partida. Una vez en marcha se revisará, considerando tanto la carga que supone para el lado costarricense como la necesidad real del lado dominicano.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7"/>
    <w:bookmarkStart w:id="18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8"/>
    <w:bookmarkStart w:id="19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 · capacitación a cargo de Morpho (con honorarios, §10)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7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7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8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A la vuelta: encuentro con las personas facilitadoras certificadas en 2024</w:t>
      </w:r>
    </w:p>
    <w:p>
      <w:pPr>
        <w:pStyle w:val="BodyText"/>
      </w:pPr>
      <w:r>
        <w:t xml:space="preserve">Una de las primeras actividades después de la capacitación es</w:t>
      </w:r>
      <w:r>
        <w:t xml:space="preserve"> </w:t>
      </w:r>
      <w:r>
        <w:rPr>
          <w:b/>
          <w:bCs/>
        </w:rPr>
        <w:t xml:space="preserve">convocar a las 29 personas certificadas en febrero de 2024</w:t>
      </w:r>
      <w:r>
        <w:t xml:space="preserve"> </w:t>
      </w:r>
      <w:r>
        <w:t xml:space="preserve">y sentarse con ellas: qué se preparó entonces, por qué quedó detenido, y</w:t>
      </w:r>
      <w:r>
        <w:t xml:space="preserve"> </w:t>
      </w:r>
      <w:r>
        <w:rPr>
          <w:b/>
          <w:bCs/>
        </w:rPr>
        <w:t xml:space="preserve">en qué puede cada quien colaborar ahora</w:t>
      </w:r>
      <w:r>
        <w:t xml:space="preserve">. Son quienes ya recibieron esta formación en el país; el piloto no puede armarse sin ellas.</w:t>
      </w:r>
    </w:p>
    <w:p>
      <w:pPr>
        <w:pStyle w:val="BodyText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9"/>
    <w:bookmarkStart w:id="20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20"/>
    <w:bookmarkStart w:id="21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10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10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21"/>
    <w:bookmarkStart w:id="22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El pago de la asistencia personal se cubre con recursos nacionales. Lo que se busca afuera es otra cosa.</w:t>
      </w:r>
    </w:p>
    <w:p>
      <w:pPr>
        <w:pStyle w:val="BodyText"/>
      </w:pPr>
      <w:r>
        <w:t xml:space="preserve">Esa es la diferencia con un proyecto que hubiera que financiar entero desde fuera, y descansa en un hecho:</w:t>
      </w:r>
      <w:r>
        <w:t xml:space="preserve"> </w:t>
      </w:r>
      <w:r>
        <w:rPr>
          <w:b/>
          <w:bCs/>
        </w:rPr>
        <w:t xml:space="preserve">en la República Dominicana ya se está pagando por el cuidado de personas con discapacidad.</w:t>
      </w:r>
      <w:r>
        <w:t xml:space="preserve"> </w:t>
      </w:r>
      <w:r>
        <w:t xml:space="preserve">El Estado tiene la partida y el mecanismo para transferir; lo que está por definirse es</w:t>
      </w:r>
      <w:r>
        <w:t xml:space="preserve"> </w:t>
      </w:r>
      <w:r>
        <w:rPr>
          <w:b/>
          <w:bCs/>
        </w:rPr>
        <w:t xml:space="preserve">a quién se le paga y quién decide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Lo que proponemos no es crear un pago nuevo, sino ensayar otra forma de aplicar el que ya existe:</w:t>
      </w:r>
      <w:r>
        <w:t xml:space="preserve"> </w:t>
      </w:r>
      <w:r>
        <w:t xml:space="preserve">que en un grupo acotado de personas usuarias, el apoyo lo preste alguien</w:t>
      </w:r>
      <w:r>
        <w:t xml:space="preserve"> </w:t>
      </w:r>
      <w:r>
        <w:rPr>
          <w:b/>
          <w:bCs/>
        </w:rPr>
        <w:t xml:space="preserve">elegido y dirigido por la propia persona con discapacidad</w:t>
      </w:r>
      <w:r>
        <w:t xml:space="preserve">, con las condiciones laborales que corresponden.</w:t>
      </w:r>
    </w:p>
    <w:p>
      <w:pPr>
        <w:pStyle w:val="BlockText"/>
      </w:pPr>
      <w:r>
        <w:t xml:space="preserve">No es una petición de más presupuesto. Es una pregunta de diseño.</w:t>
      </w:r>
    </w:p>
    <w:p>
      <w:pPr>
        <w:pStyle w:val="FirstParagraph"/>
      </w:pPr>
      <w:r>
        <w:rPr>
          <w:b/>
          <w:bCs/>
        </w:rPr>
        <w:t xml:space="preserve">Con qué recursos nacionales, exactamente: [x — a definir con las contrapartes].</w:t>
      </w:r>
      <w:r>
        <w:t xml:space="preserve"> </w:t>
      </w:r>
      <w:r>
        <w:t xml:space="preserve">Las vías a explorar son las transferencias que ya operan en el ámbito del cuidado y la discapacidad, y el FONADIS (§11).</w:t>
      </w:r>
    </w:p>
    <w:p>
      <w:pPr>
        <w:pStyle w:val="BodyText"/>
      </w:pPr>
      <w:r>
        <w:rPr>
          <w:b/>
          <w:bCs/>
        </w:rPr>
        <w:t xml:space="preserve">Lo que sí requiere financiamiento externo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</w:p>
        </w:tc>
        <w:tc>
          <w:tcPr/>
          <w:p>
            <w:pPr>
              <w:pStyle w:val="Compact"/>
            </w:pPr>
            <w:r>
              <w:t xml:space="preserve">honorarios de Morpho · viajes y estadía de unas 10 personas · consejería de pares · visitas al CONAPDIS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Asesoría en línea de Morpho</w:t>
            </w:r>
          </w:p>
        </w:tc>
        <w:tc>
          <w:tcPr/>
          <w:p>
            <w:pPr>
              <w:pStyle w:val="Compact"/>
            </w:pPr>
            <w:r>
              <w:t xml:space="preserve">seguimiento periódico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 (2028)</w:t>
            </w:r>
          </w:p>
        </w:tc>
        <w:tc>
          <w:tcPr/>
          <w:p>
            <w:pPr>
              <w:pStyle w:val="Compact"/>
            </w:pPr>
            <w:r>
              <w:t xml:space="preserve">viajes y estadía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Evaluación, datos y presentación en 2028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espacio (facilitado inicialmente por el CONADIS), coordinación, materiales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las partidas que corresponden a Morpho —capacitación, sistema, asesoría— no son un gasto administrativo:</w:t>
      </w:r>
      <w:r>
        <w:t xml:space="preserve"> </w:t>
      </w:r>
      <w:r>
        <w:rPr>
          <w:b/>
          <w:bCs/>
        </w:rPr>
        <w:t xml:space="preserve">son la contraprestación por el conocimiento acumulado</w:t>
      </w:r>
      <w:r>
        <w:t xml:space="preserve"> </w:t>
      </w:r>
      <w:r>
        <w:t xml:space="preserve">y, a la vez, ingreso que sostiene a quien enseña (§9). Un esquema de cooperación sur-sur en el que la parte que transfiere la experiencia trabaja sin remuneración no se sostiene en el tiempo.</w:t>
      </w:r>
    </w:p>
    <w:p>
      <w:pPr>
        <w:pStyle w:val="BodyText"/>
      </w:pPr>
      <w:r>
        <w:rPr>
          <w:b/>
          <w:bCs/>
        </w:rPr>
        <w:t xml:space="preserve">El antecedente costarricense</w:t>
      </w:r>
    </w:p>
    <w:p>
      <w:pPr>
        <w:pStyle w:val="BodyText"/>
      </w:pPr>
      <w:r>
        <w:t xml:space="preserve">Morpho empezó al revés, y aun así funcionó: en 2013, antes de la Ley 9379, sostenía la vida independiente de 6 personas usuarias con unos 10 asistentes personales —919 horas en agosto de ese año—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100%.</w:t>
      </w:r>
    </w:p>
    <w:p>
      <w:pPr>
        <w:pStyle w:val="BodyText"/>
      </w:pPr>
      <w:r>
        <w:rPr>
          <w:b/>
          <w:bCs/>
        </w:rPr>
        <w:t xml:space="preserve">La República Dominicana parte de una posición mejor que aquella</w:t>
      </w:r>
      <w:r>
        <w:t xml:space="preserve">: el pago estatal no hay que construirlo desde cero.</w:t>
      </w:r>
    </w:p>
    <w:bookmarkEnd w:id="22"/>
    <w:bookmarkStart w:id="23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qué vía nacional cubre el pago de la asistencia personal</w:t>
      </w:r>
      <w:r>
        <w:t xml:space="preserve"> </w:t>
      </w:r>
      <w:r>
        <w:t xml:space="preserve">(§10) y cómo se financia el resto.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distribución se define en esa conversación, no antes.</w:t>
      </w:r>
    </w:p>
    <w:p>
      <w:pPr>
        <w:pStyle w:val="BodyText"/>
      </w:pPr>
      <w:r>
        <w:rPr>
          <w:b/>
          <w:bCs/>
        </w:rPr>
        <w:t xml:space="preserve">Dónde está hoy el dinero de los cuidados en la República Dominicana — y qué hay que verificar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Comunidades de Cuidado</w:t>
      </w:r>
      <w:r>
        <w:t xml:space="preserve"> </w:t>
      </w:r>
      <w:r>
        <w:t xml:space="preserve">—el piloto de la Política Nacional de Cuidados, en cuyo marco se presentó en 2023 el programa de asistencia personal—</w:t>
      </w:r>
      <w:r>
        <w:t xml:space="preserve"> </w:t>
      </w:r>
      <w:r>
        <w:rPr>
          <w:b/>
          <w:bCs/>
        </w:rPr>
        <w:t xml:space="preserve">se financia con el Fondo Conjunto para los ODS de las Naciones Unidas</w:t>
      </w:r>
      <w:r>
        <w:t xml:space="preserve">, recibido por primera vez por el país en 2022. Lo lideran</w:t>
      </w:r>
      <w:r>
        <w:t xml:space="preserve"> </w:t>
      </w:r>
      <w:r>
        <w:rPr>
          <w:b/>
          <w:bCs/>
        </w:rPr>
        <w:t xml:space="preserve">ONU Mujeres, la OIT, el UNFPA y el PNUD</w:t>
      </w:r>
      <w:r>
        <w:t xml:space="preserve">, articulando a once instituciones públicas, entre ellas el CONADIS.</w:t>
      </w:r>
      <w:r>
        <w:t xml:space="preserve"> </w:t>
      </w:r>
      <w:r>
        <w:rPr>
          <w:b/>
          <w:bCs/>
        </w:rPr>
        <w:t xml:space="preserve">Supérate</w:t>
      </w:r>
      <w:r>
        <w:t xml:space="preserve"> </w:t>
      </w:r>
      <w:r>
        <w:t xml:space="preserve">conduce la ejecución en el terreno desde 2021, pero</w:t>
      </w:r>
      <w:r>
        <w:t xml:space="preserve"> </w:t>
      </w:r>
      <w:r>
        <w:rPr>
          <w:b/>
          <w:bCs/>
        </w:rPr>
        <w:t xml:space="preserve">no es el origen de los fondos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rama de discapacidad de ese piloto es precisamente la que quedó detenida.</w:t>
      </w:r>
      <w:r>
        <w:t xml:space="preserve"> </w:t>
      </w:r>
      <w:r>
        <w:t xml:space="preserve">La primera pregunta a resolver con las contrapartes es si</w:t>
      </w:r>
      <w:r>
        <w:t xml:space="preserve"> </w:t>
      </w:r>
      <w:r>
        <w:rPr>
          <w:b/>
          <w:bCs/>
        </w:rPr>
        <w:t xml:space="preserve">los recursos ya asignados a esa rama pueden activarse</w:t>
      </w:r>
      <w:r>
        <w:t xml:space="preserve">, en lugar de buscar financiamiento nuevo para lo mismo.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FONADIS</w:t>
      </w:r>
      <w:r>
        <w:t xml:space="preserve"> </w:t>
      </w:r>
      <w:r>
        <w:t xml:space="preserve">— Fondo Nacional para la Discapacidad, creado por los</w:t>
      </w:r>
      <w:r>
        <w:t xml:space="preserve"> </w:t>
      </w:r>
      <w:r>
        <w:rPr>
          <w:b/>
          <w:bCs/>
        </w:rPr>
        <w:t xml:space="preserve">artículos 136 a 139 de la Ley 5-13</w:t>
      </w:r>
      <w:r>
        <w:t xml:space="preserve"> </w:t>
      </w:r>
      <w:r>
        <w:t xml:space="preserve">y reglamentado por el Directorio Nacional del CONADIS. Conviene precisar su alcance:</w:t>
      </w:r>
      <w:r>
        <w:t xml:space="preserve"> </w:t>
      </w:r>
      <w:r>
        <w:rPr>
          <w:b/>
          <w:bCs/>
        </w:rPr>
        <w:t xml:space="preserve">el artículo 137 enumera seis objetivos —crédito productivo, becas, dispositivos de apoyo y ayudas humanitarias, equipos tecnológicos, promoción de derechos y fortalecimiento de las organizaciones— y no menciona la prestación de servicios de apoyo humano.</w:t>
      </w:r>
      <w:r>
        <w:t xml:space="preserve"> </w:t>
      </w:r>
      <w:r>
        <w:t xml:space="preserve">(La Ley 5-13 tampoco emplea la expresión «asistencia personal».)</w:t>
      </w:r>
      <w:r>
        <w:t xml:space="preserve"> </w:t>
      </w:r>
      <w:r>
        <w:t xml:space="preserve">→ Habría que consultar con el CONADIS</w:t>
      </w:r>
      <w:r>
        <w:t xml:space="preserve"> </w:t>
      </w:r>
      <w:r>
        <w:rPr>
          <w:b/>
          <w:bCs/>
        </w:rPr>
        <w:t xml:space="preserve">si el FONADIS puede cubrir el pago de asistencia personal, o si haría falta una vía distinta.</w:t>
      </w:r>
      <w:r>
        <w:t xml:space="preserve"> </w:t>
      </w:r>
      <w:r>
        <w:t xml:space="preserve">En cambio, el</w:t>
      </w:r>
      <w:r>
        <w:t xml:space="preserve"> </w:t>
      </w:r>
      <w:r>
        <w:rPr>
          <w:b/>
          <w:bCs/>
        </w:rPr>
        <w:t xml:space="preserve">artículo 139.2</w:t>
      </w:r>
      <w:r>
        <w:t xml:space="preserve"> </w:t>
      </w:r>
      <w:r>
        <w:t xml:space="preserve">sí prevé expresamente que el fondo se nutra de</w:t>
      </w:r>
      <w:r>
        <w:t xml:space="preserve"> </w:t>
      </w:r>
      <w:r>
        <w:rPr>
          <w:b/>
          <w:bCs/>
        </w:rPr>
        <w:t xml:space="preserve">donaciones y aportes de la cooperación nacional e internacional</w:t>
      </w:r>
      <w:r>
        <w:t xml:space="preserve">: por ahí el FONADIS puede funcionar como</w:t>
      </w:r>
      <w:r>
        <w:t xml:space="preserve"> </w:t>
      </w:r>
      <w:r>
        <w:rPr>
          <w:b/>
          <w:bCs/>
        </w:rPr>
        <w:t xml:space="preserve">receptor</w:t>
      </w:r>
      <w:r>
        <w:t xml:space="preserve"> </w:t>
      </w:r>
      <w:r>
        <w:t xml:space="preserve">de financiamiento externo.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Ministerio de la Mujer</w:t>
      </w:r>
      <w:r>
        <w:t xml:space="preserve"> </w:t>
      </w:r>
      <w:r>
        <w:t xml:space="preserve">— impulsa la</w:t>
      </w:r>
      <w:r>
        <w:t xml:space="preserve"> </w:t>
      </w:r>
      <w:r>
        <w:rPr>
          <w:b/>
          <w:bCs/>
        </w:rPr>
        <w:t xml:space="preserve">Ley del Sistema Nacional de Cuidados</w:t>
      </w:r>
      <w:r>
        <w:t xml:space="preserve">, con apoyo de ONU Mujeres. Es la contraparte política del proyecto (§3).</w:t>
      </w:r>
    </w:p>
    <w:p>
      <w:pPr>
        <w:pStyle w:val="BlockText"/>
      </w:pPr>
      <w:r>
        <w:rPr>
          <w:b/>
          <w:bCs/>
        </w:rPr>
        <w:t xml:space="preserve">Nota sobre ONU Mujeres:</w:t>
      </w:r>
      <w:r>
        <w:t xml:space="preserve"> </w:t>
      </w:r>
      <w:r>
        <w:t xml:space="preserve">es la entidad líder de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y acompaña al Ministerio de la Mujer en la ley del sistema de cuidados.</w:t>
      </w:r>
      <w:r>
        <w:t xml:space="preserve"> </w:t>
      </w:r>
      <w:r>
        <w:rPr>
          <w:b/>
          <w:bCs/>
        </w:rPr>
        <w:t xml:space="preserve">Está, por tanto, en los dos extremos de este proyecto</w:t>
      </w:r>
      <w:r>
        <w:t xml:space="preserve">: el marco de género en el que se inscribe y el mecanismo que financia el piloto donde la asistencia personal quedó pendiente.</w:t>
      </w:r>
    </w:p>
    <w:p>
      <w:pPr>
        <w:pStyle w:val="FirstParagraph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23"/>
    <w:bookmarkStart w:id="24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Honorarios de Morpho</w:t>
            </w:r>
          </w:p>
        </w:tc>
        <w:tc>
          <w:tcPr/>
          <w:p>
            <w:pPr>
              <w:pStyle w:val="Compact"/>
            </w:pPr>
            <w:r>
              <w:t xml:space="preserve">capacitación en Costa Rica y asesoría en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asesoría en línea a cargo de Morpho;</w:t>
            </w:r>
            <w:r>
              <w:t xml:space="preserve"> </w:t>
            </w:r>
            <w:r>
              <w:rPr>
                <w:b/>
                <w:bCs/>
              </w:rPr>
              <w:t xml:space="preserve">la frecuencia (trimestral de partida) se revisa una vez en marcha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Origen del pago de AP</w:t>
            </w:r>
          </w:p>
        </w:tc>
        <w:tc>
          <w:tcPr/>
          <w:p>
            <w:pPr>
              <w:pStyle w:val="Compact"/>
            </w:pPr>
            <w:r>
              <w:t xml:space="preserve">si los recursos de la rama de discapacidad de</w:t>
            </w:r>
            <w:r>
              <w:t xml:space="preserve"> </w:t>
            </w:r>
            <w:r>
              <w:rPr>
                <w:i/>
                <w:iCs/>
              </w:rPr>
              <w:t xml:space="preserve">Comunidades de Cuidado</w:t>
            </w:r>
            <w:r>
              <w:t xml:space="preserve"> </w:t>
            </w:r>
            <w:r>
              <w:t xml:space="preserve">pueden activarse; si el FONADIS puede cubrir servicios de apoyo humano (art. 137 no lo contempla)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3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2026-09-02T04:28:01Z</dcterms:created>
  <dcterms:modified xsi:type="dcterms:W3CDTF">2026-09-02T04:28:01Z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