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172A"/>
          <w:sz w:val="64"/>
        </w:rPr>
        <w:t>Web3 Security Lab</w:t>
      </w:r>
    </w:p>
    <w:p>
      <w:pPr>
        <w:jc w:val="center"/>
      </w:pPr>
      <w:r>
        <w:rPr>
          <w:color w:val="64748B"/>
          <w:sz w:val="28"/>
        </w:rPr>
        <w:t>Interactive Smart Contract Security Learning Platform</w:t>
      </w:r>
    </w:p>
    <w:p/>
    <w:p>
      <w:pPr>
        <w:spacing w:before="0" w:after="40"/>
        <w:pBdr>
          <w:bottom w:val="single" w:sz="4" w:space="1" w:color="999999"/>
        </w:pBdr>
      </w:pPr>
    </w:p>
    <w:p>
      <w:pPr>
        <w:jc w:val="center"/>
      </w:pPr>
      <w:r>
        <w:rPr>
          <w:b/>
          <w:sz w:val="20"/>
        </w:rPr>
        <w:t xml:space="preserve">Project Type: </w:t>
      </w:r>
      <w:r>
        <w:rPr>
          <w:color w:val="64748B"/>
          <w:sz w:val="20"/>
        </w:rPr>
        <w:t>Web Application — Blockchain Security Education</w:t>
      </w:r>
    </w:p>
    <w:p>
      <w:pPr>
        <w:jc w:val="center"/>
      </w:pPr>
      <w:r>
        <w:rPr>
          <w:b/>
          <w:sz w:val="20"/>
        </w:rPr>
        <w:t xml:space="preserve">Tech Stack: </w:t>
      </w:r>
      <w:r>
        <w:rPr>
          <w:color w:val="64748B"/>
          <w:sz w:val="20"/>
        </w:rPr>
        <w:t>React, Vite, TypeScript, Ethers.js, Solidity, TailwindCSS</w:t>
      </w:r>
    </w:p>
    <w:p>
      <w:pPr>
        <w:jc w:val="center"/>
      </w:pPr>
      <w:r>
        <w:rPr>
          <w:b/>
          <w:sz w:val="20"/>
        </w:rPr>
        <w:t xml:space="preserve">Network: </w:t>
      </w:r>
      <w:r>
        <w:rPr>
          <w:color w:val="64748B"/>
          <w:sz w:val="20"/>
        </w:rPr>
        <w:t>Ethereum Sepolia Testnet</w:t>
      </w:r>
    </w:p>
    <w:p>
      <w:pPr>
        <w:jc w:val="center"/>
      </w:pPr>
      <w:r>
        <w:rPr>
          <w:b/>
          <w:sz w:val="20"/>
        </w:rPr>
        <w:t xml:space="preserve">Date: </w:t>
      </w:r>
      <w:r>
        <w:rPr>
          <w:color w:val="64748B"/>
          <w:sz w:val="20"/>
        </w:rPr>
        <w:t>March 2026</w:t>
      </w:r>
    </w:p>
    <w:p/>
    <w:p/>
    <w:p/>
    <w:p>
      <w:pPr>
        <w:jc w:val="center"/>
      </w:pPr>
      <w:r>
        <w:rPr>
          <w:sz w:val="22"/>
        </w:rPr>
        <w:t>Prepared By</w:t>
      </w:r>
    </w:p>
    <w:p>
      <w:pPr>
        <w:jc w:val="center"/>
      </w:pPr>
      <w:r>
        <w:rPr>
          <w:sz w:val="22"/>
        </w:rPr>
        <w:t>[Your Name]</w:t>
      </w:r>
    </w:p>
    <w:p>
      <w:pPr>
        <w:jc w:val="center"/>
      </w:pPr>
      <w:r>
        <w:rPr>
          <w:sz w:val="22"/>
        </w:rPr>
        <w:t>[Roll Number / ID]</w:t>
      </w:r>
    </w:p>
    <w:p>
      <w:pPr>
        <w:jc w:val="center"/>
      </w:pPr>
      <w:r>
        <w:rPr>
          <w:sz w:val="22"/>
        </w:rPr>
        <w:t>[Department / Institution]</w:t>
      </w:r>
    </w:p>
    <w:p>
      <w:pPr>
        <w:jc w:val="center"/>
      </w:pPr>
      <w:r>
        <w:rPr>
          <w:sz w:val="22"/>
        </w:rPr>
        <w:t>[Supervisor / Guide Name]</w:t>
      </w:r>
    </w:p>
    <w:p>
      <w:r>
        <w:br w:type="page"/>
      </w:r>
    </w:p>
    <w:p>
      <w:pPr>
        <w:pStyle w:val="Heading1"/>
      </w:pPr>
      <w:r>
        <w:t>1. Abstract</w:t>
      </w:r>
    </w:p>
    <w:p>
      <w:pPr>
        <w:spacing w:before="0" w:after="40"/>
        <w:pBdr>
          <w:bottom w:val="single" w:sz="4" w:space="1" w:color="999999"/>
        </w:pBdr>
      </w:pPr>
    </w:p>
    <w:p>
      <w:r>
        <w:t>Smart contracts — self-executing programs deployed on blockchain networks — now govern over $100 billion in digital assets. Their immutability means vulnerabilities cannot be patched after deployment, making security education critical. Since 2016, over $6 billion has been lost to exploits including The DAO hack ($60M, reentrancy), Parity Wallet ($150M, access control), and Wormhole Bridge ($320M, signature bypass).</w:t>
      </w:r>
    </w:p>
    <w:p>
      <w:r>
        <w:t>Web3 Security Lab is an interactive browser-based platform for learning smart contract security through hands-on exploitation. Users write, compile, deploy, and exploit vulnerable Solidity contracts on the Ethereum Sepolia testnet using an integrated Monaco editor and MetaMask wallet. Five progressive challenge levels cover Reentrancy (SWC-107), Access Control (SWC-105), Delegatecall (SWC-112), Integer Overflow (SWC-101), and Selfdestruct (SWC-132) — each with guided attack steps, hints, and post-exploitation security education mapped to Module 3.1 (Web Application Vulnerabilities) and Module 3.4 (Secure Code Review). Built with React, Vite, TypeScript, and TailwindCSS, the modular architecture allows new levels to be added with zero changes to existing code.</w:t>
      </w:r>
    </w:p>
    <w:p>
      <w:r>
        <w:rPr>
          <w:b/>
          <w:sz w:val="20"/>
        </w:rPr>
        <w:t xml:space="preserve">Keywords: </w:t>
      </w:r>
      <w:r>
        <w:rPr>
          <w:sz w:val="20"/>
        </w:rPr>
        <w:t>Smart Contract Security, Ethereum, Solidity, Reentrancy, DeFi, EVM, Blockchain, Security Scanners, Slither, OWASP ZAP, Sepolia Testnet</w:t>
      </w:r>
    </w:p>
    <w:p>
      <w:pPr>
        <w:pStyle w:val="Heading1"/>
      </w:pPr>
      <w:r>
        <w:t>2. Introduction</w:t>
      </w:r>
    </w:p>
    <w:p>
      <w:pPr>
        <w:spacing w:before="0" w:after="40"/>
        <w:pBdr>
          <w:bottom w:val="single" w:sz="4" w:space="1" w:color="999999"/>
        </w:pBdr>
      </w:pPr>
    </w:p>
    <w:p>
      <w:pPr>
        <w:pStyle w:val="Heading2"/>
      </w:pPr>
      <w:r>
        <w:t>2.1 Blockchain and Smart Contracts</w:t>
      </w:r>
    </w:p>
    <w:p>
      <w:r>
        <w:t>Blockchain technology, introduced by Satoshi Nakamoto in 2008, created a distributed, tamper-evident ledger where transactions are grouped into cryptographically linked blocks maintained by a decentralized network. Bitcoin proved trustless digital value transfer was possible, but its scripting language was intentionally limited. In 2013, Vitalik Buterin proposed Ethereum — a blockchain with a Turing-complete programming language enabling smart contracts: self-executing programs that automatically enforce agreement terms without intermediaries. Ethereum launched in 2015 and now hosts thousands of decentralized applications (dApps) and DeFi protocols with over $100 billion in total value locked.</w:t>
      </w:r>
    </w:p>
    <w:p>
      <w:r>
        <w:t>Unlike traditional software where bugs can be patched with server updates, deployed smart contract code is immutable and publicly visible. Anyone can read the bytecode, find vulnerabilities, and exploit them irreversibly. This asymmetry — permanent public code with no patching ability — makes smart contract security uniquely challenging. The financial consequences have been severe:</w:t>
      </w:r>
    </w:p>
    <w:tbl>
      <w:tblPr>
        <w:tblW w:type="auto" w:w="0"/>
        <w:jc w:val="center"/>
        <w:tblLook w:firstColumn="1" w:firstRow="1" w:lastColumn="0" w:lastRow="0" w:noHBand="0" w:noVBand="1" w:val="04A0"/>
      </w:tblPr>
      <w:tblGrid>
        <w:gridCol w:w="2436"/>
        <w:gridCol w:w="2436"/>
        <w:gridCol w:w="2436"/>
        <w:gridCol w:w="2436"/>
      </w:tblGrid>
      <w:tr>
        <w:tc>
          <w:tcPr>
            <w:tcW w:type="dxa" w:w="720"/>
            <w:shd w:fill="1a1a2e" w:val="clear"/>
          </w:tcPr>
          <w:p>
            <w:pPr>
              <w:spacing w:after="20"/>
              <w:jc w:val="center"/>
            </w:pPr>
            <w:r>
              <w:rPr>
                <w:b/>
                <w:color w:val="FFFFFF"/>
                <w:sz w:val="18"/>
              </w:rPr>
              <w:t>Year</w:t>
            </w:r>
          </w:p>
        </w:tc>
        <w:tc>
          <w:tcPr>
            <w:tcW w:type="dxa" w:w="1728"/>
            <w:shd w:fill="1a1a2e" w:val="clear"/>
          </w:tcPr>
          <w:p>
            <w:pPr>
              <w:spacing w:after="20"/>
              <w:jc w:val="center"/>
            </w:pPr>
            <w:r>
              <w:rPr>
                <w:b/>
                <w:color w:val="FFFFFF"/>
                <w:sz w:val="18"/>
              </w:rPr>
              <w:t>Incident</w:t>
            </w:r>
          </w:p>
        </w:tc>
        <w:tc>
          <w:tcPr>
            <w:tcW w:type="dxa" w:w="1440"/>
            <w:shd w:fill="1a1a2e" w:val="clear"/>
          </w:tcPr>
          <w:p>
            <w:pPr>
              <w:spacing w:after="20"/>
              <w:jc w:val="center"/>
            </w:pPr>
            <w:r>
              <w:rPr>
                <w:b/>
                <w:color w:val="FFFFFF"/>
                <w:sz w:val="18"/>
              </w:rPr>
              <w:t>Loss</w:t>
            </w:r>
          </w:p>
        </w:tc>
        <w:tc>
          <w:tcPr>
            <w:tcW w:type="dxa" w:w="4752"/>
            <w:shd w:fill="1a1a2e" w:val="clear"/>
          </w:tcPr>
          <w:p>
            <w:pPr>
              <w:spacing w:after="20"/>
              <w:jc w:val="center"/>
            </w:pPr>
            <w:r>
              <w:rPr>
                <w:b/>
                <w:color w:val="FFFFFF"/>
                <w:sz w:val="18"/>
              </w:rPr>
              <w:t>Vulnerability</w:t>
            </w:r>
          </w:p>
        </w:tc>
      </w:tr>
      <w:tr>
        <w:tc>
          <w:tcPr>
            <w:tcW w:type="dxa" w:w="720"/>
            <w:shd w:fill="F5F5F5" w:val="clear"/>
          </w:tcPr>
          <w:p>
            <w:pPr>
              <w:spacing w:after="20"/>
            </w:pPr>
            <w:r>
              <w:rPr>
                <w:sz w:val="18"/>
              </w:rPr>
              <w:t>2016</w:t>
            </w:r>
          </w:p>
        </w:tc>
        <w:tc>
          <w:tcPr>
            <w:tcW w:type="dxa" w:w="1728"/>
            <w:shd w:fill="F5F5F5" w:val="clear"/>
          </w:tcPr>
          <w:p>
            <w:pPr>
              <w:spacing w:after="20"/>
            </w:pPr>
            <w:r>
              <w:rPr>
                <w:sz w:val="18"/>
              </w:rPr>
              <w:t>The DAO</w:t>
            </w:r>
          </w:p>
        </w:tc>
        <w:tc>
          <w:tcPr>
            <w:tcW w:type="dxa" w:w="1440"/>
            <w:shd w:fill="F5F5F5" w:val="clear"/>
          </w:tcPr>
          <w:p>
            <w:pPr>
              <w:spacing w:after="20"/>
            </w:pPr>
            <w:r>
              <w:rPr>
                <w:sz w:val="18"/>
              </w:rPr>
              <w:t>$60M</w:t>
            </w:r>
          </w:p>
        </w:tc>
        <w:tc>
          <w:tcPr>
            <w:tcW w:type="dxa" w:w="4752"/>
            <w:shd w:fill="F5F5F5" w:val="clear"/>
          </w:tcPr>
          <w:p>
            <w:pPr>
              <w:spacing w:after="20"/>
            </w:pPr>
            <w:r>
              <w:rPr>
                <w:sz w:val="18"/>
              </w:rPr>
              <w:t>Reentrancy — recursive withdraw()</w:t>
            </w:r>
          </w:p>
        </w:tc>
      </w:tr>
      <w:tr>
        <w:tc>
          <w:tcPr>
            <w:tcW w:type="dxa" w:w="720"/>
            <w:shd w:fill="FFFFFF" w:val="clear"/>
          </w:tcPr>
          <w:p>
            <w:pPr>
              <w:spacing w:after="20"/>
            </w:pPr>
            <w:r>
              <w:rPr>
                <w:sz w:val="18"/>
              </w:rPr>
              <w:t>2017</w:t>
            </w:r>
          </w:p>
        </w:tc>
        <w:tc>
          <w:tcPr>
            <w:tcW w:type="dxa" w:w="1728"/>
            <w:shd w:fill="FFFFFF" w:val="clear"/>
          </w:tcPr>
          <w:p>
            <w:pPr>
              <w:spacing w:after="20"/>
            </w:pPr>
            <w:r>
              <w:rPr>
                <w:sz w:val="18"/>
              </w:rPr>
              <w:t>Parity Wallet</w:t>
            </w:r>
          </w:p>
        </w:tc>
        <w:tc>
          <w:tcPr>
            <w:tcW w:type="dxa" w:w="1440"/>
            <w:shd w:fill="FFFFFF" w:val="clear"/>
          </w:tcPr>
          <w:p>
            <w:pPr>
              <w:spacing w:after="20"/>
            </w:pPr>
            <w:r>
              <w:rPr>
                <w:sz w:val="18"/>
              </w:rPr>
              <w:t>$150M</w:t>
            </w:r>
          </w:p>
        </w:tc>
        <w:tc>
          <w:tcPr>
            <w:tcW w:type="dxa" w:w="4752"/>
            <w:shd w:fill="FFFFFF" w:val="clear"/>
          </w:tcPr>
          <w:p>
            <w:pPr>
              <w:spacing w:after="20"/>
            </w:pPr>
            <w:r>
              <w:rPr>
                <w:sz w:val="18"/>
              </w:rPr>
              <w:t>Unprotected delegatecall + kill()</w:t>
            </w:r>
          </w:p>
        </w:tc>
      </w:tr>
      <w:tr>
        <w:tc>
          <w:tcPr>
            <w:tcW w:type="dxa" w:w="720"/>
            <w:shd w:fill="F5F5F5" w:val="clear"/>
          </w:tcPr>
          <w:p>
            <w:pPr>
              <w:spacing w:after="20"/>
            </w:pPr>
            <w:r>
              <w:rPr>
                <w:sz w:val="18"/>
              </w:rPr>
              <w:t>2018</w:t>
            </w:r>
          </w:p>
        </w:tc>
        <w:tc>
          <w:tcPr>
            <w:tcW w:type="dxa" w:w="1728"/>
            <w:shd w:fill="F5F5F5" w:val="clear"/>
          </w:tcPr>
          <w:p>
            <w:pPr>
              <w:spacing w:after="20"/>
            </w:pPr>
            <w:r>
              <w:rPr>
                <w:sz w:val="18"/>
              </w:rPr>
              <w:t>BEC Token</w:t>
            </w:r>
          </w:p>
        </w:tc>
        <w:tc>
          <w:tcPr>
            <w:tcW w:type="dxa" w:w="1440"/>
            <w:shd w:fill="F5F5F5" w:val="clear"/>
          </w:tcPr>
          <w:p>
            <w:pPr>
              <w:spacing w:after="20"/>
            </w:pPr>
            <w:r>
              <w:rPr>
                <w:sz w:val="18"/>
              </w:rPr>
              <w:t>$900M mkt cap</w:t>
            </w:r>
          </w:p>
        </w:tc>
        <w:tc>
          <w:tcPr>
            <w:tcW w:type="dxa" w:w="4752"/>
            <w:shd w:fill="F5F5F5" w:val="clear"/>
          </w:tcPr>
          <w:p>
            <w:pPr>
              <w:spacing w:after="20"/>
            </w:pPr>
            <w:r>
              <w:rPr>
                <w:sz w:val="18"/>
              </w:rPr>
              <w:t>Integer overflow in batchTransfer()</w:t>
            </w:r>
          </w:p>
        </w:tc>
      </w:tr>
      <w:tr>
        <w:tc>
          <w:tcPr>
            <w:tcW w:type="dxa" w:w="720"/>
            <w:shd w:fill="FFFFFF" w:val="clear"/>
          </w:tcPr>
          <w:p>
            <w:pPr>
              <w:spacing w:after="20"/>
            </w:pPr>
            <w:r>
              <w:rPr>
                <w:sz w:val="18"/>
              </w:rPr>
              <w:t>2021</w:t>
            </w:r>
          </w:p>
        </w:tc>
        <w:tc>
          <w:tcPr>
            <w:tcW w:type="dxa" w:w="1728"/>
            <w:shd w:fill="FFFFFF" w:val="clear"/>
          </w:tcPr>
          <w:p>
            <w:pPr>
              <w:spacing w:after="20"/>
            </w:pPr>
            <w:r>
              <w:rPr>
                <w:sz w:val="18"/>
              </w:rPr>
              <w:t>Poly Network</w:t>
            </w:r>
          </w:p>
        </w:tc>
        <w:tc>
          <w:tcPr>
            <w:tcW w:type="dxa" w:w="1440"/>
            <w:shd w:fill="FFFFFF" w:val="clear"/>
          </w:tcPr>
          <w:p>
            <w:pPr>
              <w:spacing w:after="20"/>
            </w:pPr>
            <w:r>
              <w:rPr>
                <w:sz w:val="18"/>
              </w:rPr>
              <w:t>$611M</w:t>
            </w:r>
          </w:p>
        </w:tc>
        <w:tc>
          <w:tcPr>
            <w:tcW w:type="dxa" w:w="4752"/>
            <w:shd w:fill="FFFFFF" w:val="clear"/>
          </w:tcPr>
          <w:p>
            <w:pPr>
              <w:spacing w:after="20"/>
            </w:pPr>
            <w:r>
              <w:rPr>
                <w:sz w:val="18"/>
              </w:rPr>
              <w:t>Cross-chain access control bypass</w:t>
            </w:r>
          </w:p>
        </w:tc>
      </w:tr>
      <w:tr>
        <w:tc>
          <w:tcPr>
            <w:tcW w:type="dxa" w:w="720"/>
            <w:shd w:fill="F5F5F5" w:val="clear"/>
          </w:tcPr>
          <w:p>
            <w:pPr>
              <w:spacing w:after="20"/>
            </w:pPr>
            <w:r>
              <w:rPr>
                <w:sz w:val="18"/>
              </w:rPr>
              <w:t>2022</w:t>
            </w:r>
          </w:p>
        </w:tc>
        <w:tc>
          <w:tcPr>
            <w:tcW w:type="dxa" w:w="1728"/>
            <w:shd w:fill="F5F5F5" w:val="clear"/>
          </w:tcPr>
          <w:p>
            <w:pPr>
              <w:spacing w:after="20"/>
            </w:pPr>
            <w:r>
              <w:rPr>
                <w:sz w:val="18"/>
              </w:rPr>
              <w:t>Wormhole Bridge</w:t>
            </w:r>
          </w:p>
        </w:tc>
        <w:tc>
          <w:tcPr>
            <w:tcW w:type="dxa" w:w="1440"/>
            <w:shd w:fill="F5F5F5" w:val="clear"/>
          </w:tcPr>
          <w:p>
            <w:pPr>
              <w:spacing w:after="20"/>
            </w:pPr>
            <w:r>
              <w:rPr>
                <w:sz w:val="18"/>
              </w:rPr>
              <w:t>$320M</w:t>
            </w:r>
          </w:p>
        </w:tc>
        <w:tc>
          <w:tcPr>
            <w:tcW w:type="dxa" w:w="4752"/>
            <w:shd w:fill="F5F5F5" w:val="clear"/>
          </w:tcPr>
          <w:p>
            <w:pPr>
              <w:spacing w:after="20"/>
            </w:pPr>
            <w:r>
              <w:rPr>
                <w:sz w:val="18"/>
              </w:rPr>
              <w:t>Signature verification bypass</w:t>
            </w:r>
          </w:p>
        </w:tc>
      </w:tr>
      <w:tr>
        <w:tc>
          <w:tcPr>
            <w:tcW w:type="dxa" w:w="720"/>
            <w:shd w:fill="FFFFFF" w:val="clear"/>
          </w:tcPr>
          <w:p>
            <w:pPr>
              <w:spacing w:after="20"/>
            </w:pPr>
            <w:r>
              <w:rPr>
                <w:sz w:val="18"/>
              </w:rPr>
              <w:t>2022</w:t>
            </w:r>
          </w:p>
        </w:tc>
        <w:tc>
          <w:tcPr>
            <w:tcW w:type="dxa" w:w="1728"/>
            <w:shd w:fill="FFFFFF" w:val="clear"/>
          </w:tcPr>
          <w:p>
            <w:pPr>
              <w:spacing w:after="20"/>
            </w:pPr>
            <w:r>
              <w:rPr>
                <w:sz w:val="18"/>
              </w:rPr>
              <w:t>Ronin Bridge</w:t>
            </w:r>
          </w:p>
        </w:tc>
        <w:tc>
          <w:tcPr>
            <w:tcW w:type="dxa" w:w="1440"/>
            <w:shd w:fill="FFFFFF" w:val="clear"/>
          </w:tcPr>
          <w:p>
            <w:pPr>
              <w:spacing w:after="20"/>
            </w:pPr>
            <w:r>
              <w:rPr>
                <w:sz w:val="18"/>
              </w:rPr>
              <w:t>$625M</w:t>
            </w:r>
          </w:p>
        </w:tc>
        <w:tc>
          <w:tcPr>
            <w:tcW w:type="dxa" w:w="4752"/>
            <w:shd w:fill="FFFFFF" w:val="clear"/>
          </w:tcPr>
          <w:p>
            <w:pPr>
              <w:spacing w:after="20"/>
            </w:pPr>
            <w:r>
              <w:rPr>
                <w:sz w:val="18"/>
              </w:rPr>
              <w:t>Compromised validator keys</w:t>
            </w:r>
          </w:p>
        </w:tc>
      </w:tr>
      <w:tr>
        <w:tc>
          <w:tcPr>
            <w:tcW w:type="dxa" w:w="720"/>
            <w:shd w:fill="F5F5F5" w:val="clear"/>
          </w:tcPr>
          <w:p>
            <w:pPr>
              <w:spacing w:after="20"/>
            </w:pPr>
            <w:r>
              <w:rPr>
                <w:sz w:val="18"/>
              </w:rPr>
              <w:t>2023</w:t>
            </w:r>
          </w:p>
        </w:tc>
        <w:tc>
          <w:tcPr>
            <w:tcW w:type="dxa" w:w="1728"/>
            <w:shd w:fill="F5F5F5" w:val="clear"/>
          </w:tcPr>
          <w:p>
            <w:pPr>
              <w:spacing w:after="20"/>
            </w:pPr>
            <w:r>
              <w:rPr>
                <w:sz w:val="18"/>
              </w:rPr>
              <w:t>Euler Finance</w:t>
            </w:r>
          </w:p>
        </w:tc>
        <w:tc>
          <w:tcPr>
            <w:tcW w:type="dxa" w:w="1440"/>
            <w:shd w:fill="F5F5F5" w:val="clear"/>
          </w:tcPr>
          <w:p>
            <w:pPr>
              <w:spacing w:after="20"/>
            </w:pPr>
            <w:r>
              <w:rPr>
                <w:sz w:val="18"/>
              </w:rPr>
              <w:t>$197M</w:t>
            </w:r>
          </w:p>
        </w:tc>
        <w:tc>
          <w:tcPr>
            <w:tcW w:type="dxa" w:w="4752"/>
            <w:shd w:fill="F5F5F5" w:val="clear"/>
          </w:tcPr>
          <w:p>
            <w:pPr>
              <w:spacing w:after="20"/>
            </w:pPr>
            <w:r>
              <w:rPr>
                <w:sz w:val="18"/>
              </w:rPr>
              <w:t>Donation attack + liquidation flaw</w:t>
            </w:r>
          </w:p>
        </w:tc>
      </w:tr>
    </w:tbl>
    <w:p>
      <w:pPr>
        <w:spacing w:after="40"/>
      </w:pPr>
    </w:p>
    <w:p>
      <w:pPr>
        <w:pStyle w:val="Heading2"/>
      </w:pPr>
      <w:r>
        <w:t>2.2 Problem Statement &amp; Motivation</w:t>
      </w:r>
    </w:p>
    <w:p>
      <w:r>
        <w:t>The security crisis is fundamentally an education crisis — most exploited vulnerabilities are well-documented with known defenses, yet developers keep shipping vulnerable code. Existing educational resources suffer from: (1) Theory-practice gap — courses cover concepts but rarely let students execute real exploits on live blockchains; (2) Fragmented tooling — learning requires juggling Remix, MetaMask, Etherscan, and Hardhat separately; (3) Steep CTF learning curves with no guided walkthroughs; (4) Missing defensive context — platforms teach attack but not defense; (5) No academic curriculum mapping. Web3 Security Lab addresses all five by providing an all-in-one browser platform with integrated editing, deployment, guided exploitation, and structured post-attack education.</w:t>
      </w:r>
    </w:p>
    <w:p>
      <w:pPr>
        <w:pStyle w:val="Heading2"/>
      </w:pPr>
      <w:r>
        <w:t>2.3 Objectives</w:t>
      </w:r>
    </w:p>
    <w:p>
      <w:pPr>
        <w:pStyle w:val="ListBullet"/>
        <w:spacing w:after="20" w:before="0"/>
      </w:pPr>
      <w:r>
        <w:rPr>
          <w:sz w:val="22"/>
        </w:rPr>
        <w:t>Build an interactive browser platform for learning smart contract security through hands-on exploitation.</w:t>
      </w:r>
    </w:p>
    <w:p>
      <w:pPr>
        <w:pStyle w:val="ListBullet"/>
        <w:spacing w:after="20" w:before="0"/>
      </w:pPr>
      <w:r>
        <w:rPr>
          <w:sz w:val="22"/>
        </w:rPr>
        <w:t>Implement in-browser Solidity edit/compile/deploy workflow with MetaMask wallet integration.</w:t>
      </w:r>
    </w:p>
    <w:p>
      <w:pPr>
        <w:pStyle w:val="ListBullet"/>
        <w:spacing w:after="20" w:before="0"/>
      </w:pPr>
      <w:r>
        <w:rPr>
          <w:sz w:val="22"/>
        </w:rPr>
        <w:t>Create 5 gamified levels covering Reentrancy, Access Control, Delegatecall, Overflow, Selfdestruct.</w:t>
      </w:r>
    </w:p>
    <w:p>
      <w:pPr>
        <w:pStyle w:val="ListBullet"/>
        <w:spacing w:after="20" w:before="0"/>
      </w:pPr>
      <w:r>
        <w:rPr>
          <w:sz w:val="22"/>
        </w:rPr>
        <w:t>Provide step-by-step attack dashboards with state visualization and post-exploit security education.</w:t>
      </w:r>
    </w:p>
    <w:p>
      <w:pPr>
        <w:pStyle w:val="ListBullet"/>
        <w:spacing w:after="20" w:before="0"/>
      </w:pPr>
      <w:r>
        <w:rPr>
          <w:sz w:val="22"/>
        </w:rPr>
        <w:t>Demonstrate security scanning tools: Slither, Mythril, OWASP ZAP, Nmap for vulnerability assessment.</w:t>
      </w:r>
    </w:p>
    <w:p>
      <w:pPr>
        <w:pStyle w:val="ListBullet"/>
        <w:spacing w:after="20" w:before="0"/>
      </w:pPr>
      <w:r>
        <w:rPr>
          <w:sz w:val="22"/>
        </w:rPr>
        <w:t>Map all content to Module 3.1 (Web App Vulnerabilities) and Module 3.4 (Secure Code Review).</w:t>
      </w:r>
    </w:p>
    <w:p>
      <w:r>
        <w:br w:type="page"/>
      </w:r>
    </w:p>
    <w:p>
      <w:pPr>
        <w:pStyle w:val="Heading1"/>
      </w:pPr>
      <w:r>
        <w:t>3. Theoretical Foundation</w:t>
      </w:r>
    </w:p>
    <w:p>
      <w:pPr>
        <w:spacing w:before="0" w:after="40"/>
        <w:pBdr>
          <w:bottom w:val="single" w:sz="4" w:space="1" w:color="999999"/>
        </w:pBdr>
      </w:pPr>
    </w:p>
    <w:p>
      <w:pPr>
        <w:pStyle w:val="Heading2"/>
      </w:pPr>
      <w:r>
        <w:t>3.1 Ethereum Virtual Machine (EVM)</w:t>
      </w:r>
    </w:p>
    <w:p>
      <w:r>
        <w:t>The EVM is a stack-based virtual machine with 256-bit word size that executes smart contract bytecode. Each contract has persistent storage (256-bit key-value slots), volatile memory, and an execution stack (max 1024 depth). State variables are assigned to sequential storage slots starting from slot 0 — this deterministic layout is the root cause of delegatecall storage collisions. Every opcode costs gas (e.g., ADD=3, SSTORE=5000-20000), metering computation to prevent DoS. When a contract sends ETH via call{value}(""), execution transfers to the recipient — if the recipient is malicious, it can call back into the sender before state updates complete, enabling reentrancy.</w:t>
      </w:r>
    </w:p>
    <w:p>
      <w:pPr>
        <w:pStyle w:val="Heading2"/>
      </w:pPr>
      <w:r>
        <w:t>3.2 Solidity Security-Critical Features</w:t>
      </w:r>
    </w:p>
    <w:p>
      <w:r>
        <w:t>Solidity is the primary smart contract language. Security-critical features include: Visibility modifiers (public/external/internal/private) — forgetting to restrict sensitive functions is the root cause of access control vulnerabilities. Fallback and receive() functions — triggered on ETH receipt, attackers place exploit callbacks here. Delegatecall — executes target code in the caller's storage context, enabling proxy upgrades but causing storage slot collisions when layouts mismatch. Arithmetic — before Solidity 0.8.0, arithmetic silently overflows/underflows (uint256: 0 - 1 = 2^256 - 1). Since 0.8.0, automatic overflow checks revert the transaction. Constructors run once at deployment; for upgradeable proxies, initialize() functions need one-time guards to prevent attackers from re-initializing and claiming ownership.</w:t>
      </w:r>
    </w:p>
    <w:p>
      <w:pPr>
        <w:pStyle w:val="Heading1"/>
      </w:pPr>
      <w:r>
        <w:t>4. Smart Contract Vulnerabilities — Deep Dive</w:t>
      </w:r>
    </w:p>
    <w:p>
      <w:pPr>
        <w:spacing w:before="0" w:after="40"/>
        <w:pBdr>
          <w:bottom w:val="single" w:sz="4" w:space="1" w:color="999999"/>
        </w:pBdr>
      </w:pPr>
    </w:p>
    <w:p>
      <w:pPr>
        <w:pStyle w:val="Heading2"/>
      </w:pPr>
      <w:r>
        <w:t>4.1 Reentrancy (SWC-107)</w:t>
      </w:r>
    </w:p>
    <w:p>
      <w:r>
        <w:t>The most devastating vulnerability class in blockchain history, responsible for The DAO's $60M loss. A vulnerable withdraw() function sends ETH via call{value: bal}("") before setting balances[msg.sender] = 0. The attacker's contract places a callback to withdraw() inside its receive() function. When ETH arrives, receive() fires, calling withdraw() again — since the balance hasn't been zeroed yet, the check passes and ETH is sent again, recursively draining the contract. Defense — Checks-Effects-Interactions (CEI) pattern: check conditions, update state, then make external calls. Even if re-entered, the balance is already zero. OpenZeppelin's ReentrancyGuard adds a mutex lock that reverts on re-entry.</w:t>
      </w:r>
    </w:p>
    <w:p>
      <w:pPr>
        <w:spacing w:before="40" w:after="40"/>
      </w:pPr>
      <w:r>
        <w:rPr>
          <w:rFonts w:ascii="Consolas" w:hAnsi="Consolas"/>
          <w:color w:val="1E293B"/>
          <w:sz w:val="16"/>
        </w:rPr>
        <w:t>// VULNERABLE                              // SECURE (CEI Pattern)</w:t>
        <w:br/>
        <w:t>function withdraw() public {               function withdraw() public {</w:t>
        <w:br/>
        <w:t xml:space="preserve">  uint b = balances[msg.sender];             uint b = balances[msg.sender];</w:t>
        <w:br/>
        <w:t xml:space="preserve">  msg.sender.call{value: b}("");  // 1st     balances[msg.sender] = 0;     // Effect FIRST</w:t>
        <w:br/>
        <w:t xml:space="preserve">  balances[msg.sender] = 0;       // 2nd     msg.sender.call{value: b}(""); // Interact SECOND</w:t>
        <w:br/>
        <w:t>}                                          }</w:t>
      </w:r>
    </w:p>
    <w:p>
      <w:pPr>
        <w:pStyle w:val="Heading2"/>
      </w:pPr>
      <w:r>
        <w:t>4.2 Access Control Failures (SWC-105)</w:t>
      </w:r>
    </w:p>
    <w:p>
      <w:r>
        <w:t>Occurs when privileged functions lack authorization checks. The Parity Wallet hack exploited an unprotected initWallet() function — anyone could call it to become owner and drain $31M. In a second incident, an accidental kill() call destroyed the library contract, freezing $150M permanently. Defense — Set owner in constructor (runs once), use onlyOwner modifiers on all sensitive functions. For upgradeable proxies, use OpenZeppelin's Initializable with an initialized flag preventing re-call.</w:t>
      </w:r>
    </w:p>
    <w:p>
      <w:pPr>
        <w:pStyle w:val="Heading2"/>
      </w:pPr>
      <w:r>
        <w:t>4.3 Delegatecall Storage Collision (SWC-112)</w:t>
      </w:r>
    </w:p>
    <w:p>
      <w:r>
        <w:t>Delegatecall executes target code in the caller's storage context. If a Proxy stores owner in slot 0 and delegatecalls to a Logic contract where slot 0 is uint256 num, calling setNum(attackerAddress) overwrites the proxy's owner. The Parity multisig hack ($150M frozen) exploited this pattern. Defense — EIP-1967 standardized storage slots: proxy admin data is stored at pseudo-random positions derived from keccak256 hashes (e.g., bytes32(uint256(keccak256("eip1967.proxy.admin")) - 1)), making collision with normal variables virtually impossible.</w:t>
      </w:r>
    </w:p>
    <w:p>
      <w:pPr>
        <w:pStyle w:val="Heading2"/>
      </w:pPr>
      <w:r>
        <w:t>4.4 Integer Overflow/Underflow (SWC-101)</w:t>
      </w:r>
    </w:p>
    <w:p>
      <w:r>
        <w:t>Pre-0.8.0 Solidity: uint256 arithmetic wraps silently. The BEC Token exploit used batchTransfer() where amount * receivers.length overflowed to a small value passing the balance check, while each receiver got the enormous pre-overflow amount — generating billions of tokens from nothing and crashing $900M market cap to zero. Defense — use Solidity &gt;= 0.8.0 (built-in checks) or SafeMath library for older versions.</w:t>
      </w:r>
    </w:p>
    <w:p>
      <w:pPr>
        <w:pStyle w:val="Heading2"/>
      </w:pPr>
      <w:r>
        <w:t>4.5 Forced ETH via Selfdestruct (SWC-132)</w:t>
      </w:r>
    </w:p>
    <w:p>
      <w:r>
        <w:t>selfdestruct(address) destroys the calling contract and forcibly sends its ETH to the target — bypassing receive()/fallback(). Contracts using address(this).balance for logic (e.g., "winner is whoever makes balance exactly 7 ETH") can be broken by force-sending ETH past the threshold. The game becomes permanently stuck. Defense — never use address(this).balance for logic; maintain an internal accounting variable (uint256 totalDeposits) that can only change through explicit deposit/withdraw functions.</w:t>
      </w:r>
    </w:p>
    <w:p>
      <w:r>
        <w:br w:type="page"/>
      </w:r>
    </w:p>
    <w:p>
      <w:pPr>
        <w:pStyle w:val="Heading1"/>
      </w:pPr>
      <w:r>
        <w:t>5. Security Scanning Tools — Theory &amp; Execution</w:t>
      </w:r>
    </w:p>
    <w:p>
      <w:pPr>
        <w:spacing w:before="0" w:after="40"/>
        <w:pBdr>
          <w:bottom w:val="single" w:sz="4" w:space="1" w:color="999999"/>
        </w:pBdr>
      </w:pPr>
    </w:p>
    <w:p>
      <w:pPr>
        <w:pStyle w:val="Heading2"/>
      </w:pPr>
      <w:r>
        <w:t>5.1 Slither — Smart Contract Static Analysis</w:t>
      </w:r>
    </w:p>
    <w:p>
      <w:r>
        <w:t>Slither (Trail of Bits) is the industry-standard static analysis framework for Solidity. It converts source code into an intermediate representation preserving control/data flow, then runs 90+ detectors matching vulnerability patterns. It detects reentrancy, unprotected upgrades, unchecked return values, dangerous delegatecalls, and more — categorized as High/Medium/Low/Informational severity.</w:t>
      </w:r>
    </w:p>
    <w:p>
      <w:pPr>
        <w:spacing w:before="40" w:after="40"/>
      </w:pPr>
      <w:r>
        <w:rPr>
          <w:rFonts w:ascii="Consolas" w:hAnsi="Consolas"/>
          <w:color w:val="1E293B"/>
          <w:sz w:val="16"/>
        </w:rPr>
        <w:t>pip3 install slither-analyzer</w:t>
        <w:br/>
        <w:t>slither contracts/EtherStore.sol                              # Full analysis</w:t>
        <w:br/>
        <w:t>slither contracts/EtherStore.sol --detect reentrancy-eth      # Specific detector</w:t>
        <w:br/>
        <w:t>slither contracts/EtherStore.sol --print human-summary        # Summary report</w:t>
      </w:r>
    </w:p>
    <w:p>
      <w:r>
        <w:t>On our Level 1 EtherStore contract, Slither reports: Reentrancy in withdraw() — external call before state update (High), dangerous call value usage (Medium), missing events for state changes (Info).</w:t>
      </w:r>
    </w:p>
    <w:p>
      <w:pPr>
        <w:spacing w:before="80" w:after="0"/>
        <w:jc w:val="center"/>
        <w:pBdr>
          <w:top w:val="single" w:sz="4" w:space="6" w:color="AAAAAA"/>
          <w:left w:val="single" w:sz="4" w:space="6" w:color="AAAAAA"/>
          <w:bottom w:val="single" w:sz="4" w:space="6" w:color="AAAAAA"/>
          <w:right w:val="single" w:sz="4" w:space="6" w:color="AAAAAA"/>
        </w:pBdr>
      </w:pPr>
      <w:r>
        <w:rPr>
          <w:i/>
          <w:color w:val="999999"/>
          <w:sz w:val="20"/>
        </w:rPr>
        <w:br/>
        <w:t>[ Insert Screenshot ]</w:t>
        <w:br/>
      </w:r>
    </w:p>
    <w:p>
      <w:pPr>
        <w:spacing w:after="80"/>
        <w:jc w:val="center"/>
      </w:pPr>
      <w:r>
        <w:rPr>
          <w:i/>
          <w:color w:val="666666"/>
          <w:sz w:val="18"/>
        </w:rPr>
        <w:t>Fig 5.1: Slither output detecting reentrancy in EtherStore.sol</w:t>
      </w:r>
    </w:p>
    <w:p>
      <w:pPr>
        <w:pStyle w:val="Heading2"/>
      </w:pPr>
      <w:r>
        <w:t>5.2 Mythril — Symbolic Execution Engine</w:t>
      </w:r>
    </w:p>
    <w:p>
      <w:r>
        <w:t>Mythril (ConsenSys) uses symbolic execution and the Z3 SMT solver to explore execution paths by treating inputs as symbolic variables. Unlike Slither's pattern matching, Mythril can detect vulnerabilities requiring complex multi-transaction conditions. It analyzes EVM bytecode directly — works even without source code (e.g., unverified mainnet contracts).</w:t>
      </w:r>
    </w:p>
    <w:p>
      <w:pPr>
        <w:spacing w:before="40" w:after="40"/>
      </w:pPr>
      <w:r>
        <w:rPr>
          <w:rFonts w:ascii="Consolas" w:hAnsi="Consolas"/>
          <w:color w:val="1E293B"/>
          <w:sz w:val="16"/>
        </w:rPr>
        <w:t>pip3 install mythril</w:t>
        <w:br/>
        <w:t>myth analyze contracts/EtherStore.sol --solv 0.8.20           # Source analysis</w:t>
        <w:br/>
        <w:t>myth analyze --rpc infura-sepolia -a 0xContractAddr           # On-chain bytecode</w:t>
        <w:br/>
        <w:t>myth analyze contracts/EtherStore.sol --execution-timeout 120  # Extended analysis</w:t>
      </w:r>
    </w:p>
    <w:p>
      <w:pPr>
        <w:spacing w:before="80" w:after="0"/>
        <w:jc w:val="center"/>
        <w:pBdr>
          <w:top w:val="single" w:sz="4" w:space="6" w:color="AAAAAA"/>
          <w:left w:val="single" w:sz="4" w:space="6" w:color="AAAAAA"/>
          <w:bottom w:val="single" w:sz="4" w:space="6" w:color="AAAAAA"/>
          <w:right w:val="single" w:sz="4" w:space="6" w:color="AAAAAA"/>
        </w:pBdr>
      </w:pPr>
      <w:r>
        <w:rPr>
          <w:i/>
          <w:color w:val="999999"/>
          <w:sz w:val="20"/>
        </w:rPr>
        <w:br/>
        <w:t>[ Insert Screenshot ]</w:t>
        <w:br/>
      </w:r>
    </w:p>
    <w:p>
      <w:pPr>
        <w:spacing w:after="80"/>
        <w:jc w:val="center"/>
      </w:pPr>
      <w:r>
        <w:rPr>
          <w:i/>
          <w:color w:val="666666"/>
          <w:sz w:val="18"/>
        </w:rPr>
        <w:t>Fig 5.2: Mythril symbolic execution results with SWC-107 finding</w:t>
      </w:r>
    </w:p>
    <w:p>
      <w:pPr>
        <w:pStyle w:val="Heading2"/>
      </w:pPr>
      <w:r>
        <w:t>5.3 Nmap — Network Scanner</w:t>
      </w:r>
    </w:p>
    <w:p>
      <w:r>
        <w:t>Nmap discovers hosts, open ports, and running services on the infrastructure hosting Web3 frontends and RPC nodes. A critical finding: exposed Ethereum RPC port 8545 without authentication allows attackers to call eth_sendTransaction and drain unlocked accounts. Nmap also detects outdated TLS, unnecessary services, and misconfigured HTTP headers on dApp servers.</w:t>
      </w:r>
    </w:p>
    <w:p>
      <w:pPr>
        <w:spacing w:before="40" w:after="40"/>
      </w:pPr>
      <w:r>
        <w:rPr>
          <w:rFonts w:ascii="Consolas" w:hAnsi="Consolas"/>
          <w:color w:val="1E293B"/>
          <w:sz w:val="16"/>
        </w:rPr>
        <w:t>nmap -sV -sC target-server.com                    # Service version + default scripts</w:t>
        <w:br/>
        <w:t>nmap -p 80,443,8545 -sV target-server.com         # Web + RPC port scan</w:t>
        <w:br/>
        <w:t>nmap -A -T4 target-server.com                     # Aggressive: OS detect + scripts</w:t>
        <w:br/>
        <w:t>nmap --script vuln target-server.com               # Vulnerability-specific scripts</w:t>
      </w:r>
    </w:p>
    <w:p>
      <w:pPr>
        <w:spacing w:before="80" w:after="0"/>
        <w:jc w:val="center"/>
        <w:pBdr>
          <w:top w:val="single" w:sz="4" w:space="6" w:color="AAAAAA"/>
          <w:left w:val="single" w:sz="4" w:space="6" w:color="AAAAAA"/>
          <w:bottom w:val="single" w:sz="4" w:space="6" w:color="AAAAAA"/>
          <w:right w:val="single" w:sz="4" w:space="6" w:color="AAAAAA"/>
        </w:pBdr>
      </w:pPr>
      <w:r>
        <w:rPr>
          <w:i/>
          <w:color w:val="999999"/>
          <w:sz w:val="20"/>
        </w:rPr>
        <w:br/>
        <w:t>[ Insert Screenshot ]</w:t>
        <w:br/>
      </w:r>
    </w:p>
    <w:p>
      <w:pPr>
        <w:spacing w:after="80"/>
        <w:jc w:val="center"/>
      </w:pPr>
      <w:r>
        <w:rPr>
          <w:i/>
          <w:color w:val="666666"/>
          <w:sz w:val="18"/>
        </w:rPr>
        <w:t>Fig 5.3: Nmap scan showing open ports and service versions</w:t>
      </w:r>
    </w:p>
    <w:p>
      <w:pPr>
        <w:pStyle w:val="Heading2"/>
      </w:pPr>
      <w:r>
        <w:t>5.4 OWASP ZAP — Web Application Scanner</w:t>
      </w:r>
    </w:p>
    <w:p>
      <w:r>
        <w:t>OWASP ZAP is a DAST (Dynamic Application Security Testing) proxy that intercepts browser-to-server traffic to detect XSS, CSRF, missing security headers, information leakage, and more. For Web3 dApps, an XSS vulnerability could inject JavaScript that modifies transaction parameters (changing recipient address) before MetaMask signing. ZAP's Ajax Spider handles React SPAs, and its Active Scanner sends attack payloads to identify exploitable inputs.</w:t>
      </w:r>
    </w:p>
    <w:p>
      <w:pPr>
        <w:spacing w:before="40" w:after="40"/>
      </w:pPr>
      <w:r>
        <w:rPr>
          <w:rFonts w:ascii="Consolas" w:hAnsi="Consolas"/>
          <w:color w:val="1E293B"/>
          <w:sz w:val="16"/>
        </w:rPr>
        <w:t># GUI: zaproxy → configure browser proxy to localhost:8080</w:t>
        <w:br/>
        <w:t># Browse the dApp → ZAP records traffic → Right-click → Active Scan</w:t>
        <w:br/>
        <w:t>zap-cli quick-scan --self-contained http://localhost:5173     # CLI automated scan</w:t>
        <w:br/>
        <w:t>zap-cli report -o zap_report.html -f html                    # Generate report</w:t>
      </w:r>
    </w:p>
    <w:p>
      <w:pPr>
        <w:spacing w:before="80" w:after="0"/>
        <w:jc w:val="center"/>
        <w:pBdr>
          <w:top w:val="single" w:sz="4" w:space="6" w:color="AAAAAA"/>
          <w:left w:val="single" w:sz="4" w:space="6" w:color="AAAAAA"/>
          <w:bottom w:val="single" w:sz="4" w:space="6" w:color="AAAAAA"/>
          <w:right w:val="single" w:sz="4" w:space="6" w:color="AAAAAA"/>
        </w:pBdr>
      </w:pPr>
      <w:r>
        <w:rPr>
          <w:i/>
          <w:color w:val="999999"/>
          <w:sz w:val="20"/>
        </w:rPr>
        <w:br/>
        <w:t>[ Insert Screenshot ]</w:t>
        <w:br/>
      </w:r>
    </w:p>
    <w:p>
      <w:pPr>
        <w:spacing w:after="80"/>
        <w:jc w:val="center"/>
      </w:pPr>
      <w:r>
        <w:rPr>
          <w:i/>
          <w:color w:val="666666"/>
          <w:sz w:val="18"/>
        </w:rPr>
        <w:t>Fig 5.4: OWASP ZAP alerts categorized by risk level</w:t>
      </w:r>
    </w:p>
    <w:p>
      <w:pPr>
        <w:pStyle w:val="Heading2"/>
      </w:pPr>
      <w:r>
        <w:t>5.5 Additional Tools</w:t>
      </w:r>
    </w:p>
    <w:p>
      <w:r>
        <w:t>Nikto scans web servers for 6700+ dangerous files, outdated versions, and misconfigurations (exposed .env files, missing CSP headers). Burp Suite intercepts JSON-RPC calls between the dApp and Ethereum nodes for manual analysis. MythX combines static analysis, symbolic execution, and fuzzing in a cloud service. VirusTotal aggregates 70+ antivirus engines to scan wallet software and dApp URLs for malware/phishing.</w:t>
      </w:r>
    </w:p>
    <w:tbl>
      <w:tblPr>
        <w:tblW w:type="auto" w:w="0"/>
        <w:jc w:val="center"/>
        <w:tblLook w:firstColumn="1" w:firstRow="1" w:lastColumn="0" w:lastRow="0" w:noHBand="0" w:noVBand="1" w:val="04A0"/>
      </w:tblPr>
      <w:tblGrid>
        <w:gridCol w:w="2436"/>
        <w:gridCol w:w="2436"/>
        <w:gridCol w:w="2436"/>
        <w:gridCol w:w="2436"/>
      </w:tblGrid>
      <w:tr>
        <w:tc>
          <w:tcPr>
            <w:tcW w:type="dxa" w:w="1440"/>
            <w:shd w:fill="1a1a2e" w:val="clear"/>
          </w:tcPr>
          <w:p>
            <w:pPr>
              <w:spacing w:after="20"/>
              <w:jc w:val="center"/>
            </w:pPr>
            <w:r>
              <w:rPr>
                <w:b/>
                <w:color w:val="FFFFFF"/>
                <w:sz w:val="18"/>
              </w:rPr>
              <w:t>Tool</w:t>
            </w:r>
          </w:p>
        </w:tc>
        <w:tc>
          <w:tcPr>
            <w:tcW w:type="dxa" w:w="1440"/>
            <w:shd w:fill="1a1a2e" w:val="clear"/>
          </w:tcPr>
          <w:p>
            <w:pPr>
              <w:spacing w:after="20"/>
              <w:jc w:val="center"/>
            </w:pPr>
            <w:r>
              <w:rPr>
                <w:b/>
                <w:color w:val="FFFFFF"/>
                <w:sz w:val="18"/>
              </w:rPr>
              <w:t>Category</w:t>
            </w:r>
          </w:p>
        </w:tc>
        <w:tc>
          <w:tcPr>
            <w:tcW w:type="dxa" w:w="1728"/>
            <w:shd w:fill="1a1a2e" w:val="clear"/>
          </w:tcPr>
          <w:p>
            <w:pPr>
              <w:spacing w:after="20"/>
              <w:jc w:val="center"/>
            </w:pPr>
            <w:r>
              <w:rPr>
                <w:b/>
                <w:color w:val="FFFFFF"/>
                <w:sz w:val="18"/>
              </w:rPr>
              <w:t>Analysis Type</w:t>
            </w:r>
          </w:p>
        </w:tc>
        <w:tc>
          <w:tcPr>
            <w:tcW w:type="dxa" w:w="4032"/>
            <w:shd w:fill="1a1a2e" w:val="clear"/>
          </w:tcPr>
          <w:p>
            <w:pPr>
              <w:spacing w:after="20"/>
              <w:jc w:val="center"/>
            </w:pPr>
            <w:r>
              <w:rPr>
                <w:b/>
                <w:color w:val="FFFFFF"/>
                <w:sz w:val="18"/>
              </w:rPr>
              <w:t>Key Strength</w:t>
            </w:r>
          </w:p>
        </w:tc>
      </w:tr>
      <w:tr>
        <w:tc>
          <w:tcPr>
            <w:tcW w:type="dxa" w:w="1440"/>
            <w:shd w:fill="F5F5F5" w:val="clear"/>
          </w:tcPr>
          <w:p>
            <w:pPr>
              <w:spacing w:after="20"/>
            </w:pPr>
            <w:r>
              <w:rPr>
                <w:sz w:val="18"/>
              </w:rPr>
              <w:t>Slither</w:t>
            </w:r>
          </w:p>
        </w:tc>
        <w:tc>
          <w:tcPr>
            <w:tcW w:type="dxa" w:w="1440"/>
            <w:shd w:fill="F5F5F5" w:val="clear"/>
          </w:tcPr>
          <w:p>
            <w:pPr>
              <w:spacing w:after="20"/>
            </w:pPr>
            <w:r>
              <w:rPr>
                <w:sz w:val="18"/>
              </w:rPr>
              <w:t>Smart Contract</w:t>
            </w:r>
          </w:p>
        </w:tc>
        <w:tc>
          <w:tcPr>
            <w:tcW w:type="dxa" w:w="1728"/>
            <w:shd w:fill="F5F5F5" w:val="clear"/>
          </w:tcPr>
          <w:p>
            <w:pPr>
              <w:spacing w:after="20"/>
            </w:pPr>
            <w:r>
              <w:rPr>
                <w:sz w:val="18"/>
              </w:rPr>
              <w:t>Static (source)</w:t>
            </w:r>
          </w:p>
        </w:tc>
        <w:tc>
          <w:tcPr>
            <w:tcW w:type="dxa" w:w="4032"/>
            <w:shd w:fill="F5F5F5" w:val="clear"/>
          </w:tcPr>
          <w:p>
            <w:pPr>
              <w:spacing w:after="20"/>
            </w:pPr>
            <w:r>
              <w:rPr>
                <w:sz w:val="18"/>
              </w:rPr>
              <w:t>90+ detectors, CI-integrated, fast</w:t>
            </w:r>
          </w:p>
        </w:tc>
      </w:tr>
      <w:tr>
        <w:tc>
          <w:tcPr>
            <w:tcW w:type="dxa" w:w="1440"/>
            <w:shd w:fill="FFFFFF" w:val="clear"/>
          </w:tcPr>
          <w:p>
            <w:pPr>
              <w:spacing w:after="20"/>
            </w:pPr>
            <w:r>
              <w:rPr>
                <w:sz w:val="18"/>
              </w:rPr>
              <w:t>Mythril</w:t>
            </w:r>
          </w:p>
        </w:tc>
        <w:tc>
          <w:tcPr>
            <w:tcW w:type="dxa" w:w="1440"/>
            <w:shd w:fill="FFFFFF" w:val="clear"/>
          </w:tcPr>
          <w:p>
            <w:pPr>
              <w:spacing w:after="20"/>
            </w:pPr>
            <w:r>
              <w:rPr>
                <w:sz w:val="18"/>
              </w:rPr>
              <w:t>Smart Contract</w:t>
            </w:r>
          </w:p>
        </w:tc>
        <w:tc>
          <w:tcPr>
            <w:tcW w:type="dxa" w:w="1728"/>
            <w:shd w:fill="FFFFFF" w:val="clear"/>
          </w:tcPr>
          <w:p>
            <w:pPr>
              <w:spacing w:after="20"/>
            </w:pPr>
            <w:r>
              <w:rPr>
                <w:sz w:val="18"/>
              </w:rPr>
              <w:t>Symbolic (bytecode)</w:t>
            </w:r>
          </w:p>
        </w:tc>
        <w:tc>
          <w:tcPr>
            <w:tcW w:type="dxa" w:w="4032"/>
            <w:shd w:fill="FFFFFF" w:val="clear"/>
          </w:tcPr>
          <w:p>
            <w:pPr>
              <w:spacing w:after="20"/>
            </w:pPr>
            <w:r>
              <w:rPr>
                <w:sz w:val="18"/>
              </w:rPr>
              <w:t>Finds multi-tx complex bugs via Z3</w:t>
            </w:r>
          </w:p>
        </w:tc>
      </w:tr>
      <w:tr>
        <w:tc>
          <w:tcPr>
            <w:tcW w:type="dxa" w:w="1440"/>
            <w:shd w:fill="F5F5F5" w:val="clear"/>
          </w:tcPr>
          <w:p>
            <w:pPr>
              <w:spacing w:after="20"/>
            </w:pPr>
            <w:r>
              <w:rPr>
                <w:sz w:val="18"/>
              </w:rPr>
              <w:t>Nmap</w:t>
            </w:r>
          </w:p>
        </w:tc>
        <w:tc>
          <w:tcPr>
            <w:tcW w:type="dxa" w:w="1440"/>
            <w:shd w:fill="F5F5F5" w:val="clear"/>
          </w:tcPr>
          <w:p>
            <w:pPr>
              <w:spacing w:after="20"/>
            </w:pPr>
            <w:r>
              <w:rPr>
                <w:sz w:val="18"/>
              </w:rPr>
              <w:t>Network</w:t>
            </w:r>
          </w:p>
        </w:tc>
        <w:tc>
          <w:tcPr>
            <w:tcW w:type="dxa" w:w="1728"/>
            <w:shd w:fill="F5F5F5" w:val="clear"/>
          </w:tcPr>
          <w:p>
            <w:pPr>
              <w:spacing w:after="20"/>
            </w:pPr>
            <w:r>
              <w:rPr>
                <w:sz w:val="18"/>
              </w:rPr>
              <w:t>Port/service scan</w:t>
            </w:r>
          </w:p>
        </w:tc>
        <w:tc>
          <w:tcPr>
            <w:tcW w:type="dxa" w:w="4032"/>
            <w:shd w:fill="F5F5F5" w:val="clear"/>
          </w:tcPr>
          <w:p>
            <w:pPr>
              <w:spacing w:after="20"/>
            </w:pPr>
            <w:r>
              <w:rPr>
                <w:sz w:val="18"/>
              </w:rPr>
              <w:t>Discovers exposed RPC &amp; services</w:t>
            </w:r>
          </w:p>
        </w:tc>
      </w:tr>
      <w:tr>
        <w:tc>
          <w:tcPr>
            <w:tcW w:type="dxa" w:w="1440"/>
            <w:shd w:fill="FFFFFF" w:val="clear"/>
          </w:tcPr>
          <w:p>
            <w:pPr>
              <w:spacing w:after="20"/>
            </w:pPr>
            <w:r>
              <w:rPr>
                <w:sz w:val="18"/>
              </w:rPr>
              <w:t>OWASP ZAP</w:t>
            </w:r>
          </w:p>
        </w:tc>
        <w:tc>
          <w:tcPr>
            <w:tcW w:type="dxa" w:w="1440"/>
            <w:shd w:fill="FFFFFF" w:val="clear"/>
          </w:tcPr>
          <w:p>
            <w:pPr>
              <w:spacing w:after="20"/>
            </w:pPr>
            <w:r>
              <w:rPr>
                <w:sz w:val="18"/>
              </w:rPr>
              <w:t>Web App</w:t>
            </w:r>
          </w:p>
        </w:tc>
        <w:tc>
          <w:tcPr>
            <w:tcW w:type="dxa" w:w="1728"/>
            <w:shd w:fill="FFFFFF" w:val="clear"/>
          </w:tcPr>
          <w:p>
            <w:pPr>
              <w:spacing w:after="20"/>
            </w:pPr>
            <w:r>
              <w:rPr>
                <w:sz w:val="18"/>
              </w:rPr>
              <w:t>DAST (dynamic proxy)</w:t>
            </w:r>
          </w:p>
        </w:tc>
        <w:tc>
          <w:tcPr>
            <w:tcW w:type="dxa" w:w="4032"/>
            <w:shd w:fill="FFFFFF" w:val="clear"/>
          </w:tcPr>
          <w:p>
            <w:pPr>
              <w:spacing w:after="20"/>
            </w:pPr>
            <w:r>
              <w:rPr>
                <w:sz w:val="18"/>
              </w:rPr>
              <w:t>XSS, CSRF, header analysis for dApps</w:t>
            </w:r>
          </w:p>
        </w:tc>
      </w:tr>
      <w:tr>
        <w:tc>
          <w:tcPr>
            <w:tcW w:type="dxa" w:w="1440"/>
            <w:shd w:fill="F5F5F5" w:val="clear"/>
          </w:tcPr>
          <w:p>
            <w:pPr>
              <w:spacing w:after="20"/>
            </w:pPr>
            <w:r>
              <w:rPr>
                <w:sz w:val="18"/>
              </w:rPr>
              <w:t>Nikto</w:t>
            </w:r>
          </w:p>
        </w:tc>
        <w:tc>
          <w:tcPr>
            <w:tcW w:type="dxa" w:w="1440"/>
            <w:shd w:fill="F5F5F5" w:val="clear"/>
          </w:tcPr>
          <w:p>
            <w:pPr>
              <w:spacing w:after="20"/>
            </w:pPr>
            <w:r>
              <w:rPr>
                <w:sz w:val="18"/>
              </w:rPr>
              <w:t>Web Server</w:t>
            </w:r>
          </w:p>
        </w:tc>
        <w:tc>
          <w:tcPr>
            <w:tcW w:type="dxa" w:w="1728"/>
            <w:shd w:fill="F5F5F5" w:val="clear"/>
          </w:tcPr>
          <w:p>
            <w:pPr>
              <w:spacing w:after="20"/>
            </w:pPr>
            <w:r>
              <w:rPr>
                <w:sz w:val="18"/>
              </w:rPr>
              <w:t>Config scanning</w:t>
            </w:r>
          </w:p>
        </w:tc>
        <w:tc>
          <w:tcPr>
            <w:tcW w:type="dxa" w:w="4032"/>
            <w:shd w:fill="F5F5F5" w:val="clear"/>
          </w:tcPr>
          <w:p>
            <w:pPr>
              <w:spacing w:after="20"/>
            </w:pPr>
            <w:r>
              <w:rPr>
                <w:sz w:val="18"/>
              </w:rPr>
              <w:t>Detects server misconfigurations</w:t>
            </w:r>
          </w:p>
        </w:tc>
      </w:tr>
      <w:tr>
        <w:tc>
          <w:tcPr>
            <w:tcW w:type="dxa" w:w="1440"/>
            <w:shd w:fill="FFFFFF" w:val="clear"/>
          </w:tcPr>
          <w:p>
            <w:pPr>
              <w:spacing w:after="20"/>
            </w:pPr>
            <w:r>
              <w:rPr>
                <w:sz w:val="18"/>
              </w:rPr>
              <w:t>Burp Suite</w:t>
            </w:r>
          </w:p>
        </w:tc>
        <w:tc>
          <w:tcPr>
            <w:tcW w:type="dxa" w:w="1440"/>
            <w:shd w:fill="FFFFFF" w:val="clear"/>
          </w:tcPr>
          <w:p>
            <w:pPr>
              <w:spacing w:after="20"/>
            </w:pPr>
            <w:r>
              <w:rPr>
                <w:sz w:val="18"/>
              </w:rPr>
              <w:t>Web App</w:t>
            </w:r>
          </w:p>
        </w:tc>
        <w:tc>
          <w:tcPr>
            <w:tcW w:type="dxa" w:w="1728"/>
            <w:shd w:fill="FFFFFF" w:val="clear"/>
          </w:tcPr>
          <w:p>
            <w:pPr>
              <w:spacing w:after="20"/>
            </w:pPr>
            <w:r>
              <w:rPr>
                <w:sz w:val="18"/>
              </w:rPr>
              <w:t>Proxy + manual</w:t>
            </w:r>
          </w:p>
        </w:tc>
        <w:tc>
          <w:tcPr>
            <w:tcW w:type="dxa" w:w="4032"/>
            <w:shd w:fill="FFFFFF" w:val="clear"/>
          </w:tcPr>
          <w:p>
            <w:pPr>
              <w:spacing w:after="20"/>
            </w:pPr>
            <w:r>
              <w:rPr>
                <w:sz w:val="18"/>
              </w:rPr>
              <w:t>Intercept/replay JSON-RPC calls</w:t>
            </w:r>
          </w:p>
        </w:tc>
      </w:tr>
      <w:tr>
        <w:tc>
          <w:tcPr>
            <w:tcW w:type="dxa" w:w="1440"/>
            <w:shd w:fill="F5F5F5" w:val="clear"/>
          </w:tcPr>
          <w:p>
            <w:pPr>
              <w:spacing w:after="20"/>
            </w:pPr>
            <w:r>
              <w:rPr>
                <w:sz w:val="18"/>
              </w:rPr>
              <w:t>MythX</w:t>
            </w:r>
          </w:p>
        </w:tc>
        <w:tc>
          <w:tcPr>
            <w:tcW w:type="dxa" w:w="1440"/>
            <w:shd w:fill="F5F5F5" w:val="clear"/>
          </w:tcPr>
          <w:p>
            <w:pPr>
              <w:spacing w:after="20"/>
            </w:pPr>
            <w:r>
              <w:rPr>
                <w:sz w:val="18"/>
              </w:rPr>
              <w:t>Smart Contract</w:t>
            </w:r>
          </w:p>
        </w:tc>
        <w:tc>
          <w:tcPr>
            <w:tcW w:type="dxa" w:w="1728"/>
            <w:shd w:fill="F5F5F5" w:val="clear"/>
          </w:tcPr>
          <w:p>
            <w:pPr>
              <w:spacing w:after="20"/>
            </w:pPr>
            <w:r>
              <w:rPr>
                <w:sz w:val="18"/>
              </w:rPr>
              <w:t>Cloud multi-engine</w:t>
            </w:r>
          </w:p>
        </w:tc>
        <w:tc>
          <w:tcPr>
            <w:tcW w:type="dxa" w:w="4032"/>
            <w:shd w:fill="F5F5F5" w:val="clear"/>
          </w:tcPr>
          <w:p>
            <w:pPr>
              <w:spacing w:after="20"/>
            </w:pPr>
            <w:r>
              <w:rPr>
                <w:sz w:val="18"/>
              </w:rPr>
              <w:t>Combined static + symbolic + fuzzing</w:t>
            </w:r>
          </w:p>
        </w:tc>
      </w:tr>
      <w:tr>
        <w:tc>
          <w:tcPr>
            <w:tcW w:type="dxa" w:w="1440"/>
            <w:shd w:fill="FFFFFF" w:val="clear"/>
          </w:tcPr>
          <w:p>
            <w:pPr>
              <w:spacing w:after="20"/>
            </w:pPr>
            <w:r>
              <w:rPr>
                <w:sz w:val="18"/>
              </w:rPr>
              <w:t>VirusTotal</w:t>
            </w:r>
          </w:p>
        </w:tc>
        <w:tc>
          <w:tcPr>
            <w:tcW w:type="dxa" w:w="1440"/>
            <w:shd w:fill="FFFFFF" w:val="clear"/>
          </w:tcPr>
          <w:p>
            <w:pPr>
              <w:spacing w:after="20"/>
            </w:pPr>
            <w:r>
              <w:rPr>
                <w:sz w:val="18"/>
              </w:rPr>
              <w:t>General</w:t>
            </w:r>
          </w:p>
        </w:tc>
        <w:tc>
          <w:tcPr>
            <w:tcW w:type="dxa" w:w="1728"/>
            <w:shd w:fill="FFFFFF" w:val="clear"/>
          </w:tcPr>
          <w:p>
            <w:pPr>
              <w:spacing w:after="20"/>
            </w:pPr>
            <w:r>
              <w:rPr>
                <w:sz w:val="18"/>
              </w:rPr>
              <w:t>Multi-AV scan</w:t>
            </w:r>
          </w:p>
        </w:tc>
        <w:tc>
          <w:tcPr>
            <w:tcW w:type="dxa" w:w="4032"/>
            <w:shd w:fill="FFFFFF" w:val="clear"/>
          </w:tcPr>
          <w:p>
            <w:pPr>
              <w:spacing w:after="20"/>
            </w:pPr>
            <w:r>
              <w:rPr>
                <w:sz w:val="18"/>
              </w:rPr>
              <w:t>70+ engines, phishing URL detection</w:t>
            </w:r>
          </w:p>
        </w:tc>
      </w:tr>
    </w:tbl>
    <w:p>
      <w:pPr>
        <w:spacing w:after="40"/>
      </w:pPr>
    </w:p>
    <w:p>
      <w:r>
        <w:br w:type="page"/>
      </w:r>
    </w:p>
    <w:p>
      <w:pPr>
        <w:pStyle w:val="Heading1"/>
      </w:pPr>
      <w:r>
        <w:t>6. System Architecture &amp; Implementation</w:t>
      </w:r>
    </w:p>
    <w:p>
      <w:pPr>
        <w:spacing w:before="0" w:after="40"/>
        <w:pBdr>
          <w:bottom w:val="single" w:sz="4" w:space="1" w:color="999999"/>
        </w:pBdr>
      </w:pPr>
    </w:p>
    <w:p>
      <w:pPr>
        <w:pStyle w:val="Heading2"/>
      </w:pPr>
      <w:r>
        <w:t>6.1 Architecture</w:t>
      </w:r>
    </w:p>
    <w:p>
      <w:r>
        <w:t>Web3 Security Lab is a client-side SPA communicating directly with Ethereum Sepolia via MetaMask. No backend server — all compilation, state management, and UI run in the browser, minimizing attack surface. Data flow: user writes Solidity in Monaco Editor → browser compiler generates ABI/bytecode → ethers.js constructs deployment tx → MetaMask signs → tx broadcast to Sepolia → contract address returned → user interacts via ethers.js → results displayed in console.</w:t>
      </w:r>
    </w:p>
    <w:p>
      <w:pPr>
        <w:spacing w:before="80" w:after="0"/>
        <w:jc w:val="center"/>
        <w:pBdr>
          <w:top w:val="single" w:sz="4" w:space="6" w:color="AAAAAA"/>
          <w:left w:val="single" w:sz="4" w:space="6" w:color="AAAAAA"/>
          <w:bottom w:val="single" w:sz="4" w:space="6" w:color="AAAAAA"/>
          <w:right w:val="single" w:sz="4" w:space="6" w:color="AAAAAA"/>
        </w:pBdr>
      </w:pPr>
      <w:r>
        <w:rPr>
          <w:i/>
          <w:color w:val="999999"/>
          <w:sz w:val="20"/>
        </w:rPr>
        <w:br/>
        <w:t>[ Insert Screenshot ]</w:t>
        <w:br/>
      </w:r>
    </w:p>
    <w:p>
      <w:pPr>
        <w:spacing w:after="80"/>
        <w:jc w:val="center"/>
      </w:pPr>
      <w:r>
        <w:rPr>
          <w:i/>
          <w:color w:val="666666"/>
          <w:sz w:val="18"/>
        </w:rPr>
        <w:t>Fig 6.1: System Architecture Diagram</w:t>
      </w:r>
    </w:p>
    <w:p>
      <w:pPr>
        <w:pStyle w:val="Heading2"/>
      </w:pPr>
      <w:r>
        <w:t>6.2 Tech Stack</w:t>
      </w:r>
    </w:p>
    <w:tbl>
      <w:tblPr>
        <w:tblW w:type="auto" w:w="0"/>
        <w:jc w:val="center"/>
        <w:tblLook w:firstColumn="1" w:firstRow="1" w:lastColumn="0" w:lastRow="0" w:noHBand="0" w:noVBand="1" w:val="04A0"/>
      </w:tblPr>
      <w:tblGrid>
        <w:gridCol w:w="3249"/>
        <w:gridCol w:w="3249"/>
        <w:gridCol w:w="3249"/>
      </w:tblGrid>
      <w:tr>
        <w:tc>
          <w:tcPr>
            <w:tcW w:type="dxa" w:w="1728"/>
            <w:shd w:fill="1a1a2e" w:val="clear"/>
          </w:tcPr>
          <w:p>
            <w:pPr>
              <w:spacing w:after="20"/>
              <w:jc w:val="center"/>
            </w:pPr>
            <w:r>
              <w:rPr>
                <w:b/>
                <w:color w:val="FFFFFF"/>
                <w:sz w:val="18"/>
              </w:rPr>
              <w:t>Technology</w:t>
            </w:r>
          </w:p>
        </w:tc>
        <w:tc>
          <w:tcPr>
            <w:tcW w:type="dxa" w:w="864"/>
            <w:shd w:fill="1a1a2e" w:val="clear"/>
          </w:tcPr>
          <w:p>
            <w:pPr>
              <w:spacing w:after="20"/>
              <w:jc w:val="center"/>
            </w:pPr>
            <w:r>
              <w:rPr>
                <w:b/>
                <w:color w:val="FFFFFF"/>
                <w:sz w:val="18"/>
              </w:rPr>
              <w:t>Version</w:t>
            </w:r>
          </w:p>
        </w:tc>
        <w:tc>
          <w:tcPr>
            <w:tcW w:type="dxa" w:w="6048"/>
            <w:shd w:fill="1a1a2e" w:val="clear"/>
          </w:tcPr>
          <w:p>
            <w:pPr>
              <w:spacing w:after="20"/>
              <w:jc w:val="center"/>
            </w:pPr>
            <w:r>
              <w:rPr>
                <w:b/>
                <w:color w:val="FFFFFF"/>
                <w:sz w:val="18"/>
              </w:rPr>
              <w:t>Purpose</w:t>
            </w:r>
          </w:p>
        </w:tc>
      </w:tr>
      <w:tr>
        <w:tc>
          <w:tcPr>
            <w:tcW w:type="dxa" w:w="1728"/>
            <w:shd w:fill="F5F5F5" w:val="clear"/>
          </w:tcPr>
          <w:p>
            <w:pPr>
              <w:spacing w:after="20"/>
            </w:pPr>
            <w:r>
              <w:rPr>
                <w:sz w:val="18"/>
              </w:rPr>
              <w:t>React</w:t>
            </w:r>
          </w:p>
        </w:tc>
        <w:tc>
          <w:tcPr>
            <w:tcW w:type="dxa" w:w="864"/>
            <w:shd w:fill="F5F5F5" w:val="clear"/>
          </w:tcPr>
          <w:p>
            <w:pPr>
              <w:spacing w:after="20"/>
            </w:pPr>
            <w:r>
              <w:rPr>
                <w:sz w:val="18"/>
              </w:rPr>
              <w:t>19.2</w:t>
            </w:r>
          </w:p>
        </w:tc>
        <w:tc>
          <w:tcPr>
            <w:tcW w:type="dxa" w:w="6048"/>
            <w:shd w:fill="F5F5F5" w:val="clear"/>
          </w:tcPr>
          <w:p>
            <w:pPr>
              <w:spacing w:after="20"/>
            </w:pPr>
            <w:r>
              <w:rPr>
                <w:sz w:val="18"/>
              </w:rPr>
              <w:t>Component UI with hooks, concurrent rendering</w:t>
            </w:r>
          </w:p>
        </w:tc>
      </w:tr>
      <w:tr>
        <w:tc>
          <w:tcPr>
            <w:tcW w:type="dxa" w:w="1728"/>
            <w:shd w:fill="FFFFFF" w:val="clear"/>
          </w:tcPr>
          <w:p>
            <w:pPr>
              <w:spacing w:after="20"/>
            </w:pPr>
            <w:r>
              <w:rPr>
                <w:sz w:val="18"/>
              </w:rPr>
              <w:t>TypeScript</w:t>
            </w:r>
          </w:p>
        </w:tc>
        <w:tc>
          <w:tcPr>
            <w:tcW w:type="dxa" w:w="864"/>
            <w:shd w:fill="FFFFFF" w:val="clear"/>
          </w:tcPr>
          <w:p>
            <w:pPr>
              <w:spacing w:after="20"/>
            </w:pPr>
            <w:r>
              <w:rPr>
                <w:sz w:val="18"/>
              </w:rPr>
              <w:t>5.9</w:t>
            </w:r>
          </w:p>
        </w:tc>
        <w:tc>
          <w:tcPr>
            <w:tcW w:type="dxa" w:w="6048"/>
            <w:shd w:fill="FFFFFF" w:val="clear"/>
          </w:tcPr>
          <w:p>
            <w:pPr>
              <w:spacing w:after="20"/>
            </w:pPr>
            <w:r>
              <w:rPr>
                <w:sz w:val="18"/>
              </w:rPr>
              <w:t>Type safety across 29 source files</w:t>
            </w:r>
          </w:p>
        </w:tc>
      </w:tr>
      <w:tr>
        <w:tc>
          <w:tcPr>
            <w:tcW w:type="dxa" w:w="1728"/>
            <w:shd w:fill="F5F5F5" w:val="clear"/>
          </w:tcPr>
          <w:p>
            <w:pPr>
              <w:spacing w:after="20"/>
            </w:pPr>
            <w:r>
              <w:rPr>
                <w:sz w:val="18"/>
              </w:rPr>
              <w:t>Vite</w:t>
            </w:r>
          </w:p>
        </w:tc>
        <w:tc>
          <w:tcPr>
            <w:tcW w:type="dxa" w:w="864"/>
            <w:shd w:fill="F5F5F5" w:val="clear"/>
          </w:tcPr>
          <w:p>
            <w:pPr>
              <w:spacing w:after="20"/>
            </w:pPr>
            <w:r>
              <w:rPr>
                <w:sz w:val="18"/>
              </w:rPr>
              <w:t>8.0</w:t>
            </w:r>
          </w:p>
        </w:tc>
        <w:tc>
          <w:tcPr>
            <w:tcW w:type="dxa" w:w="6048"/>
            <w:shd w:fill="F5F5F5" w:val="clear"/>
          </w:tcPr>
          <w:p>
            <w:pPr>
              <w:spacing w:after="20"/>
            </w:pPr>
            <w:r>
              <w:rPr>
                <w:sz w:val="18"/>
              </w:rPr>
              <w:t>Build tool — 10x faster HMR than Webpack</w:t>
            </w:r>
          </w:p>
        </w:tc>
      </w:tr>
      <w:tr>
        <w:tc>
          <w:tcPr>
            <w:tcW w:type="dxa" w:w="1728"/>
            <w:shd w:fill="FFFFFF" w:val="clear"/>
          </w:tcPr>
          <w:p>
            <w:pPr>
              <w:spacing w:after="20"/>
            </w:pPr>
            <w:r>
              <w:rPr>
                <w:sz w:val="18"/>
              </w:rPr>
              <w:t>TailwindCSS</w:t>
            </w:r>
          </w:p>
        </w:tc>
        <w:tc>
          <w:tcPr>
            <w:tcW w:type="dxa" w:w="864"/>
            <w:shd w:fill="FFFFFF" w:val="clear"/>
          </w:tcPr>
          <w:p>
            <w:pPr>
              <w:spacing w:after="20"/>
            </w:pPr>
            <w:r>
              <w:rPr>
                <w:sz w:val="18"/>
              </w:rPr>
              <w:t>4.2</w:t>
            </w:r>
          </w:p>
        </w:tc>
        <w:tc>
          <w:tcPr>
            <w:tcW w:type="dxa" w:w="6048"/>
            <w:shd w:fill="FFFFFF" w:val="clear"/>
          </w:tcPr>
          <w:p>
            <w:pPr>
              <w:spacing w:after="20"/>
            </w:pPr>
            <w:r>
              <w:rPr>
                <w:sz w:val="18"/>
              </w:rPr>
              <w:t>Utility-first dark-theme styling</w:t>
            </w:r>
          </w:p>
        </w:tc>
      </w:tr>
      <w:tr>
        <w:tc>
          <w:tcPr>
            <w:tcW w:type="dxa" w:w="1728"/>
            <w:shd w:fill="F5F5F5" w:val="clear"/>
          </w:tcPr>
          <w:p>
            <w:pPr>
              <w:spacing w:after="20"/>
            </w:pPr>
            <w:r>
              <w:rPr>
                <w:sz w:val="18"/>
              </w:rPr>
              <w:t>ethers.js</w:t>
            </w:r>
          </w:p>
        </w:tc>
        <w:tc>
          <w:tcPr>
            <w:tcW w:type="dxa" w:w="864"/>
            <w:shd w:fill="F5F5F5" w:val="clear"/>
          </w:tcPr>
          <w:p>
            <w:pPr>
              <w:spacing w:after="20"/>
            </w:pPr>
            <w:r>
              <w:rPr>
                <w:sz w:val="18"/>
              </w:rPr>
              <w:t>6.16</w:t>
            </w:r>
          </w:p>
        </w:tc>
        <w:tc>
          <w:tcPr>
            <w:tcW w:type="dxa" w:w="6048"/>
            <w:shd w:fill="F5F5F5" w:val="clear"/>
          </w:tcPr>
          <w:p>
            <w:pPr>
              <w:spacing w:after="20"/>
            </w:pPr>
            <w:r>
              <w:rPr>
                <w:sz w:val="18"/>
              </w:rPr>
              <w:t>Wallet connection, contract deploy &amp; interaction</w:t>
            </w:r>
          </w:p>
        </w:tc>
      </w:tr>
      <w:tr>
        <w:tc>
          <w:tcPr>
            <w:tcW w:type="dxa" w:w="1728"/>
            <w:shd w:fill="FFFFFF" w:val="clear"/>
          </w:tcPr>
          <w:p>
            <w:pPr>
              <w:spacing w:after="20"/>
            </w:pPr>
            <w:r>
              <w:rPr>
                <w:sz w:val="18"/>
              </w:rPr>
              <w:t>Monaco Editor</w:t>
            </w:r>
          </w:p>
        </w:tc>
        <w:tc>
          <w:tcPr>
            <w:tcW w:type="dxa" w:w="864"/>
            <w:shd w:fill="FFFFFF" w:val="clear"/>
          </w:tcPr>
          <w:p>
            <w:pPr>
              <w:spacing w:after="20"/>
            </w:pPr>
            <w:r>
              <w:rPr>
                <w:sz w:val="18"/>
              </w:rPr>
              <w:t>4.7</w:t>
            </w:r>
          </w:p>
        </w:tc>
        <w:tc>
          <w:tcPr>
            <w:tcW w:type="dxa" w:w="6048"/>
            <w:shd w:fill="FFFFFF" w:val="clear"/>
          </w:tcPr>
          <w:p>
            <w:pPr>
              <w:spacing w:after="20"/>
            </w:pPr>
            <w:r>
              <w:rPr>
                <w:sz w:val="18"/>
              </w:rPr>
              <w:t>VS Code engine for Solidity editing</w:t>
            </w:r>
          </w:p>
        </w:tc>
      </w:tr>
      <w:tr>
        <w:tc>
          <w:tcPr>
            <w:tcW w:type="dxa" w:w="1728"/>
            <w:shd w:fill="F5F5F5" w:val="clear"/>
          </w:tcPr>
          <w:p>
            <w:pPr>
              <w:spacing w:after="20"/>
            </w:pPr>
            <w:r>
              <w:rPr>
                <w:sz w:val="18"/>
              </w:rPr>
              <w:t>Zustand</w:t>
            </w:r>
          </w:p>
        </w:tc>
        <w:tc>
          <w:tcPr>
            <w:tcW w:type="dxa" w:w="864"/>
            <w:shd w:fill="F5F5F5" w:val="clear"/>
          </w:tcPr>
          <w:p>
            <w:pPr>
              <w:spacing w:after="20"/>
            </w:pPr>
            <w:r>
              <w:rPr>
                <w:sz w:val="18"/>
              </w:rPr>
              <w:t>5.0</w:t>
            </w:r>
          </w:p>
        </w:tc>
        <w:tc>
          <w:tcPr>
            <w:tcW w:type="dxa" w:w="6048"/>
            <w:shd w:fill="F5F5F5" w:val="clear"/>
          </w:tcPr>
          <w:p>
            <w:pPr>
              <w:spacing w:after="20"/>
            </w:pPr>
            <w:r>
              <w:rPr>
                <w:sz w:val="18"/>
              </w:rPr>
              <w:t>State management with localStorage persistence</w:t>
            </w:r>
          </w:p>
        </w:tc>
      </w:tr>
      <w:tr>
        <w:tc>
          <w:tcPr>
            <w:tcW w:type="dxa" w:w="1728"/>
            <w:shd w:fill="FFFFFF" w:val="clear"/>
          </w:tcPr>
          <w:p>
            <w:pPr>
              <w:spacing w:after="20"/>
            </w:pPr>
            <w:r>
              <w:rPr>
                <w:sz w:val="18"/>
              </w:rPr>
              <w:t>solc-js</w:t>
            </w:r>
          </w:p>
        </w:tc>
        <w:tc>
          <w:tcPr>
            <w:tcW w:type="dxa" w:w="864"/>
            <w:shd w:fill="FFFFFF" w:val="clear"/>
          </w:tcPr>
          <w:p>
            <w:pPr>
              <w:spacing w:after="20"/>
            </w:pPr>
            <w:r>
              <w:rPr>
                <w:sz w:val="18"/>
              </w:rPr>
              <w:t>0.8.34</w:t>
            </w:r>
          </w:p>
        </w:tc>
        <w:tc>
          <w:tcPr>
            <w:tcW w:type="dxa" w:w="6048"/>
            <w:shd w:fill="FFFFFF" w:val="clear"/>
          </w:tcPr>
          <w:p>
            <w:pPr>
              <w:spacing w:after="20"/>
            </w:pPr>
            <w:r>
              <w:rPr>
                <w:sz w:val="18"/>
              </w:rPr>
              <w:t>Browser-based Solidity compiler</w:t>
            </w:r>
          </w:p>
        </w:tc>
      </w:tr>
    </w:tbl>
    <w:p>
      <w:pPr>
        <w:spacing w:after="40"/>
      </w:pPr>
    </w:p>
    <w:p>
      <w:pPr>
        <w:pStyle w:val="Heading2"/>
      </w:pPr>
      <w:r>
        <w:t>6.3 Key Modules</w:t>
      </w:r>
    </w:p>
    <w:p>
      <w:r>
        <w:t>Code Playground: Monaco Editor with vs-dark theme, Compile/Deploy/Reset toolbar. Wallet Integration: useWallet hook detects MetaMask, requests accounts, auto-switches to Sepolia (chainId 0xaa36a7), listens for account/chain changes. Attack Dashboard: Displays level's attack steps as sequential checklist (pending → active → completed) with state change annotations showing how contract storage evolves during the exploit. Insights Panel: Post-completion education with vulnerability explanation, secure coding patterns (Solidity code examples), real-world incident case study, and Module 3.1/3.4 references. Console: Terminal-style output — cyan/green/red/yellow/purple messages, clickable Etherscan tx links. Leaderboard: Rankings by levels completed (desc), hints used (asc), localStorage-persisted via Zustand.</w:t>
      </w:r>
    </w:p>
    <w:p>
      <w:pPr>
        <w:pStyle w:val="Heading2"/>
      </w:pPr>
      <w:r>
        <w:t>6.4 Directory Structure</w:t>
      </w:r>
    </w:p>
    <w:p>
      <w:pPr>
        <w:spacing w:before="40" w:after="40"/>
      </w:pPr>
      <w:r>
        <w:rPr>
          <w:rFonts w:ascii="Consolas" w:hAnsi="Consolas"/>
          <w:color w:val="1E293B"/>
          <w:sz w:val="16"/>
        </w:rPr>
        <w:t>src/</w:t>
        <w:br/>
        <w:t>├── components/   # 15 components: ui/ layout/ editor/ console/ wallet/ challenge/ leaderboard/</w:t>
        <w:br/>
        <w:t>├── levels/       # 5 challenge modules with compilable Solidity contracts</w:t>
        <w:br/>
        <w:t>├── hooks/        # useWallet (MetaMask), useCompiler (compile + deploy)</w:t>
        <w:br/>
        <w:t>├── lib/          # compiler.ts, deployer.ts, storage.ts</w:t>
        <w:br/>
        <w:t>├── store/        # Zustand store with persist middleware</w:t>
        <w:br/>
        <w:t>├── types/        # Level, ConsoleMessage, WalletState, CompilationResult interfaces</w:t>
        <w:br/>
        <w:t>└── App.tsx       # Header + Sidebar + SplitLayout(Editor|Challenge|Leaderboard | Console|Dashboard|Insights)</w:t>
      </w:r>
    </w:p>
    <w:p>
      <w:r>
        <w:br w:type="page"/>
      </w:r>
    </w:p>
    <w:p>
      <w:pPr>
        <w:pStyle w:val="Heading1"/>
      </w:pPr>
      <w:r>
        <w:t>7. Challenge Levels</w:t>
      </w:r>
    </w:p>
    <w:p>
      <w:pPr>
        <w:spacing w:before="0" w:after="40"/>
        <w:pBdr>
          <w:bottom w:val="single" w:sz="4" w:space="1" w:color="999999"/>
        </w:pBdr>
      </w:pPr>
    </w:p>
    <w:tbl>
      <w:tblPr>
        <w:tblW w:type="auto" w:w="0"/>
        <w:jc w:val="center"/>
        <w:tblLook w:firstColumn="1" w:firstRow="1" w:lastColumn="0" w:lastRow="0" w:noHBand="0" w:noVBand="1" w:val="04A0"/>
      </w:tblPr>
      <w:tblGrid>
        <w:gridCol w:w="1624"/>
        <w:gridCol w:w="1624"/>
        <w:gridCol w:w="1624"/>
        <w:gridCol w:w="1624"/>
        <w:gridCol w:w="1624"/>
        <w:gridCol w:w="1624"/>
      </w:tblGrid>
      <w:tr>
        <w:tc>
          <w:tcPr>
            <w:tcW w:type="dxa" w:w="432"/>
            <w:shd w:fill="1a1a2e" w:val="clear"/>
          </w:tcPr>
          <w:p>
            <w:pPr>
              <w:spacing w:after="20"/>
              <w:jc w:val="center"/>
            </w:pPr>
            <w:r>
              <w:rPr>
                <w:b/>
                <w:color w:val="FFFFFF"/>
                <w:sz w:val="18"/>
              </w:rPr>
              <w:t>#</w:t>
            </w:r>
          </w:p>
        </w:tc>
        <w:tc>
          <w:tcPr>
            <w:tcW w:type="dxa" w:w="1584"/>
            <w:shd w:fill="1a1a2e" w:val="clear"/>
          </w:tcPr>
          <w:p>
            <w:pPr>
              <w:spacing w:after="20"/>
              <w:jc w:val="center"/>
            </w:pPr>
            <w:r>
              <w:rPr>
                <w:b/>
                <w:color w:val="FFFFFF"/>
                <w:sz w:val="18"/>
              </w:rPr>
              <w:t>Level</w:t>
            </w:r>
          </w:p>
        </w:tc>
        <w:tc>
          <w:tcPr>
            <w:tcW w:type="dxa" w:w="1008"/>
            <w:shd w:fill="1a1a2e" w:val="clear"/>
          </w:tcPr>
          <w:p>
            <w:pPr>
              <w:spacing w:after="20"/>
              <w:jc w:val="center"/>
            </w:pPr>
            <w:r>
              <w:rPr>
                <w:b/>
                <w:color w:val="FFFFFF"/>
                <w:sz w:val="18"/>
              </w:rPr>
              <w:t>Difficulty</w:t>
            </w:r>
          </w:p>
        </w:tc>
        <w:tc>
          <w:tcPr>
            <w:tcW w:type="dxa" w:w="576"/>
            <w:shd w:fill="1a1a2e" w:val="clear"/>
          </w:tcPr>
          <w:p>
            <w:pPr>
              <w:spacing w:after="20"/>
              <w:jc w:val="center"/>
            </w:pPr>
            <w:r>
              <w:rPr>
                <w:b/>
                <w:color w:val="FFFFFF"/>
                <w:sz w:val="18"/>
              </w:rPr>
              <w:t>SWC</w:t>
            </w:r>
          </w:p>
        </w:tc>
        <w:tc>
          <w:tcPr>
            <w:tcW w:type="dxa" w:w="2592"/>
            <w:shd w:fill="1a1a2e" w:val="clear"/>
          </w:tcPr>
          <w:p>
            <w:pPr>
              <w:spacing w:after="20"/>
              <w:jc w:val="center"/>
            </w:pPr>
            <w:r>
              <w:rPr>
                <w:b/>
                <w:color w:val="FFFFFF"/>
                <w:sz w:val="18"/>
              </w:rPr>
              <w:t>Attack Vector</w:t>
            </w:r>
          </w:p>
        </w:tc>
        <w:tc>
          <w:tcPr>
            <w:tcW w:type="dxa" w:w="2448"/>
            <w:shd w:fill="1a1a2e" w:val="clear"/>
          </w:tcPr>
          <w:p>
            <w:pPr>
              <w:spacing w:after="20"/>
              <w:jc w:val="center"/>
            </w:pPr>
            <w:r>
              <w:rPr>
                <w:b/>
                <w:color w:val="FFFFFF"/>
                <w:sz w:val="18"/>
              </w:rPr>
              <w:t>Defense Pattern</w:t>
            </w:r>
          </w:p>
        </w:tc>
      </w:tr>
      <w:tr>
        <w:tc>
          <w:tcPr>
            <w:tcW w:type="dxa" w:w="432"/>
            <w:shd w:fill="F5F5F5" w:val="clear"/>
          </w:tcPr>
          <w:p>
            <w:pPr>
              <w:spacing w:after="20"/>
            </w:pPr>
            <w:r>
              <w:rPr>
                <w:sz w:val="18"/>
              </w:rPr>
              <w:t>1</w:t>
            </w:r>
          </w:p>
        </w:tc>
        <w:tc>
          <w:tcPr>
            <w:tcW w:type="dxa" w:w="1584"/>
            <w:shd w:fill="F5F5F5" w:val="clear"/>
          </w:tcPr>
          <w:p>
            <w:pPr>
              <w:spacing w:after="20"/>
            </w:pPr>
            <w:r>
              <w:rPr>
                <w:sz w:val="18"/>
              </w:rPr>
              <w:t>Reentrancy</w:t>
            </w:r>
          </w:p>
        </w:tc>
        <w:tc>
          <w:tcPr>
            <w:tcW w:type="dxa" w:w="1008"/>
            <w:shd w:fill="F5F5F5" w:val="clear"/>
          </w:tcPr>
          <w:p>
            <w:pPr>
              <w:spacing w:after="20"/>
            </w:pPr>
            <w:r>
              <w:rPr>
                <w:sz w:val="18"/>
              </w:rPr>
              <w:t>Easy</w:t>
            </w:r>
          </w:p>
        </w:tc>
        <w:tc>
          <w:tcPr>
            <w:tcW w:type="dxa" w:w="576"/>
            <w:shd w:fill="F5F5F5" w:val="clear"/>
          </w:tcPr>
          <w:p>
            <w:pPr>
              <w:spacing w:after="20"/>
            </w:pPr>
            <w:r>
              <w:rPr>
                <w:sz w:val="18"/>
              </w:rPr>
              <w:t>107</w:t>
            </w:r>
          </w:p>
        </w:tc>
        <w:tc>
          <w:tcPr>
            <w:tcW w:type="dxa" w:w="2592"/>
            <w:shd w:fill="F5F5F5" w:val="clear"/>
          </w:tcPr>
          <w:p>
            <w:pPr>
              <w:spacing w:after="20"/>
            </w:pPr>
            <w:r>
              <w:rPr>
                <w:sz w:val="18"/>
              </w:rPr>
              <w:t>Recursive withdraw via receive()</w:t>
            </w:r>
          </w:p>
        </w:tc>
        <w:tc>
          <w:tcPr>
            <w:tcW w:type="dxa" w:w="2448"/>
            <w:shd w:fill="F5F5F5" w:val="clear"/>
          </w:tcPr>
          <w:p>
            <w:pPr>
              <w:spacing w:after="20"/>
            </w:pPr>
            <w:r>
              <w:rPr>
                <w:sz w:val="18"/>
              </w:rPr>
              <w:t>CEI + ReentrancyGuard</w:t>
            </w:r>
          </w:p>
        </w:tc>
      </w:tr>
      <w:tr>
        <w:tc>
          <w:tcPr>
            <w:tcW w:type="dxa" w:w="432"/>
            <w:shd w:fill="FFFFFF" w:val="clear"/>
          </w:tcPr>
          <w:p>
            <w:pPr>
              <w:spacing w:after="20"/>
            </w:pPr>
            <w:r>
              <w:rPr>
                <w:sz w:val="18"/>
              </w:rPr>
              <w:t>2</w:t>
            </w:r>
          </w:p>
        </w:tc>
        <w:tc>
          <w:tcPr>
            <w:tcW w:type="dxa" w:w="1584"/>
            <w:shd w:fill="FFFFFF" w:val="clear"/>
          </w:tcPr>
          <w:p>
            <w:pPr>
              <w:spacing w:after="20"/>
            </w:pPr>
            <w:r>
              <w:rPr>
                <w:sz w:val="18"/>
              </w:rPr>
              <w:t>Ownership Takeover</w:t>
            </w:r>
          </w:p>
        </w:tc>
        <w:tc>
          <w:tcPr>
            <w:tcW w:type="dxa" w:w="1008"/>
            <w:shd w:fill="FFFFFF" w:val="clear"/>
          </w:tcPr>
          <w:p>
            <w:pPr>
              <w:spacing w:after="20"/>
            </w:pPr>
            <w:r>
              <w:rPr>
                <w:sz w:val="18"/>
              </w:rPr>
              <w:t>Easy</w:t>
            </w:r>
          </w:p>
        </w:tc>
        <w:tc>
          <w:tcPr>
            <w:tcW w:type="dxa" w:w="576"/>
            <w:shd w:fill="FFFFFF" w:val="clear"/>
          </w:tcPr>
          <w:p>
            <w:pPr>
              <w:spacing w:after="20"/>
            </w:pPr>
            <w:r>
              <w:rPr>
                <w:sz w:val="18"/>
              </w:rPr>
              <w:t>105</w:t>
            </w:r>
          </w:p>
        </w:tc>
        <w:tc>
          <w:tcPr>
            <w:tcW w:type="dxa" w:w="2592"/>
            <w:shd w:fill="FFFFFF" w:val="clear"/>
          </w:tcPr>
          <w:p>
            <w:pPr>
              <w:spacing w:after="20"/>
            </w:pPr>
            <w:r>
              <w:rPr>
                <w:sz w:val="18"/>
              </w:rPr>
              <w:t>Call unprotected initOwner()</w:t>
            </w:r>
          </w:p>
        </w:tc>
        <w:tc>
          <w:tcPr>
            <w:tcW w:type="dxa" w:w="2448"/>
            <w:shd w:fill="FFFFFF" w:val="clear"/>
          </w:tcPr>
          <w:p>
            <w:pPr>
              <w:spacing w:after="20"/>
            </w:pPr>
            <w:r>
              <w:rPr>
                <w:sz w:val="18"/>
              </w:rPr>
              <w:t>Constructor + onlyOwner</w:t>
            </w:r>
          </w:p>
        </w:tc>
      </w:tr>
      <w:tr>
        <w:tc>
          <w:tcPr>
            <w:tcW w:type="dxa" w:w="432"/>
            <w:shd w:fill="F5F5F5" w:val="clear"/>
          </w:tcPr>
          <w:p>
            <w:pPr>
              <w:spacing w:after="20"/>
            </w:pPr>
            <w:r>
              <w:rPr>
                <w:sz w:val="18"/>
              </w:rPr>
              <w:t>3</w:t>
            </w:r>
          </w:p>
        </w:tc>
        <w:tc>
          <w:tcPr>
            <w:tcW w:type="dxa" w:w="1584"/>
            <w:shd w:fill="F5F5F5" w:val="clear"/>
          </w:tcPr>
          <w:p>
            <w:pPr>
              <w:spacing w:after="20"/>
            </w:pPr>
            <w:r>
              <w:rPr>
                <w:sz w:val="18"/>
              </w:rPr>
              <w:t>Delegatecall</w:t>
            </w:r>
          </w:p>
        </w:tc>
        <w:tc>
          <w:tcPr>
            <w:tcW w:type="dxa" w:w="1008"/>
            <w:shd w:fill="F5F5F5" w:val="clear"/>
          </w:tcPr>
          <w:p>
            <w:pPr>
              <w:spacing w:after="20"/>
            </w:pPr>
            <w:r>
              <w:rPr>
                <w:sz w:val="18"/>
              </w:rPr>
              <w:t>Medium</w:t>
            </w:r>
          </w:p>
        </w:tc>
        <w:tc>
          <w:tcPr>
            <w:tcW w:type="dxa" w:w="576"/>
            <w:shd w:fill="F5F5F5" w:val="clear"/>
          </w:tcPr>
          <w:p>
            <w:pPr>
              <w:spacing w:after="20"/>
            </w:pPr>
            <w:r>
              <w:rPr>
                <w:sz w:val="18"/>
              </w:rPr>
              <w:t>112</w:t>
            </w:r>
          </w:p>
        </w:tc>
        <w:tc>
          <w:tcPr>
            <w:tcW w:type="dxa" w:w="2592"/>
            <w:shd w:fill="F5F5F5" w:val="clear"/>
          </w:tcPr>
          <w:p>
            <w:pPr>
              <w:spacing w:after="20"/>
            </w:pPr>
            <w:r>
              <w:rPr>
                <w:sz w:val="18"/>
              </w:rPr>
              <w:t>Overwrite slot 0 via proxy</w:t>
            </w:r>
          </w:p>
        </w:tc>
        <w:tc>
          <w:tcPr>
            <w:tcW w:type="dxa" w:w="2448"/>
            <w:shd w:fill="F5F5F5" w:val="clear"/>
          </w:tcPr>
          <w:p>
            <w:pPr>
              <w:spacing w:after="20"/>
            </w:pPr>
            <w:r>
              <w:rPr>
                <w:sz w:val="18"/>
              </w:rPr>
              <w:t>EIP-1967 storage slots</w:t>
            </w:r>
          </w:p>
        </w:tc>
      </w:tr>
      <w:tr>
        <w:tc>
          <w:tcPr>
            <w:tcW w:type="dxa" w:w="432"/>
            <w:shd w:fill="FFFFFF" w:val="clear"/>
          </w:tcPr>
          <w:p>
            <w:pPr>
              <w:spacing w:after="20"/>
            </w:pPr>
            <w:r>
              <w:rPr>
                <w:sz w:val="18"/>
              </w:rPr>
              <w:t>4</w:t>
            </w:r>
          </w:p>
        </w:tc>
        <w:tc>
          <w:tcPr>
            <w:tcW w:type="dxa" w:w="1584"/>
            <w:shd w:fill="FFFFFF" w:val="clear"/>
          </w:tcPr>
          <w:p>
            <w:pPr>
              <w:spacing w:after="20"/>
            </w:pPr>
            <w:r>
              <w:rPr>
                <w:sz w:val="18"/>
              </w:rPr>
              <w:t>Integer Overflow</w:t>
            </w:r>
          </w:p>
        </w:tc>
        <w:tc>
          <w:tcPr>
            <w:tcW w:type="dxa" w:w="1008"/>
            <w:shd w:fill="FFFFFF" w:val="clear"/>
          </w:tcPr>
          <w:p>
            <w:pPr>
              <w:spacing w:after="20"/>
            </w:pPr>
            <w:r>
              <w:rPr>
                <w:sz w:val="18"/>
              </w:rPr>
              <w:t>Medium</w:t>
            </w:r>
          </w:p>
        </w:tc>
        <w:tc>
          <w:tcPr>
            <w:tcW w:type="dxa" w:w="576"/>
            <w:shd w:fill="FFFFFF" w:val="clear"/>
          </w:tcPr>
          <w:p>
            <w:pPr>
              <w:spacing w:after="20"/>
            </w:pPr>
            <w:r>
              <w:rPr>
                <w:sz w:val="18"/>
              </w:rPr>
              <w:t>101</w:t>
            </w:r>
          </w:p>
        </w:tc>
        <w:tc>
          <w:tcPr>
            <w:tcW w:type="dxa" w:w="2592"/>
            <w:shd w:fill="FFFFFF" w:val="clear"/>
          </w:tcPr>
          <w:p>
            <w:pPr>
              <w:spacing w:after="20"/>
            </w:pPr>
            <w:r>
              <w:rPr>
                <w:sz w:val="18"/>
              </w:rPr>
              <w:t>Underflow balance in transfer</w:t>
            </w:r>
          </w:p>
        </w:tc>
        <w:tc>
          <w:tcPr>
            <w:tcW w:type="dxa" w:w="2448"/>
            <w:shd w:fill="FFFFFF" w:val="clear"/>
          </w:tcPr>
          <w:p>
            <w:pPr>
              <w:spacing w:after="20"/>
            </w:pPr>
            <w:r>
              <w:rPr>
                <w:sz w:val="18"/>
              </w:rPr>
              <w:t>SafeMath / Solidity &gt;=0.8</w:t>
            </w:r>
          </w:p>
        </w:tc>
      </w:tr>
      <w:tr>
        <w:tc>
          <w:tcPr>
            <w:tcW w:type="dxa" w:w="432"/>
            <w:shd w:fill="F5F5F5" w:val="clear"/>
          </w:tcPr>
          <w:p>
            <w:pPr>
              <w:spacing w:after="20"/>
            </w:pPr>
            <w:r>
              <w:rPr>
                <w:sz w:val="18"/>
              </w:rPr>
              <w:t>5</w:t>
            </w:r>
          </w:p>
        </w:tc>
        <w:tc>
          <w:tcPr>
            <w:tcW w:type="dxa" w:w="1584"/>
            <w:shd w:fill="F5F5F5" w:val="clear"/>
          </w:tcPr>
          <w:p>
            <w:pPr>
              <w:spacing w:after="20"/>
            </w:pPr>
            <w:r>
              <w:rPr>
                <w:sz w:val="18"/>
              </w:rPr>
              <w:t>Selfdestruct</w:t>
            </w:r>
          </w:p>
        </w:tc>
        <w:tc>
          <w:tcPr>
            <w:tcW w:type="dxa" w:w="1008"/>
            <w:shd w:fill="F5F5F5" w:val="clear"/>
          </w:tcPr>
          <w:p>
            <w:pPr>
              <w:spacing w:after="20"/>
            </w:pPr>
            <w:r>
              <w:rPr>
                <w:sz w:val="18"/>
              </w:rPr>
              <w:t>Hard</w:t>
            </w:r>
          </w:p>
        </w:tc>
        <w:tc>
          <w:tcPr>
            <w:tcW w:type="dxa" w:w="576"/>
            <w:shd w:fill="F5F5F5" w:val="clear"/>
          </w:tcPr>
          <w:p>
            <w:pPr>
              <w:spacing w:after="20"/>
            </w:pPr>
            <w:r>
              <w:rPr>
                <w:sz w:val="18"/>
              </w:rPr>
              <w:t>132</w:t>
            </w:r>
          </w:p>
        </w:tc>
        <w:tc>
          <w:tcPr>
            <w:tcW w:type="dxa" w:w="2592"/>
            <w:shd w:fill="F5F5F5" w:val="clear"/>
          </w:tcPr>
          <w:p>
            <w:pPr>
              <w:spacing w:after="20"/>
            </w:pPr>
            <w:r>
              <w:rPr>
                <w:sz w:val="18"/>
              </w:rPr>
              <w:t>Force ETH to break invariant</w:t>
            </w:r>
          </w:p>
        </w:tc>
        <w:tc>
          <w:tcPr>
            <w:tcW w:type="dxa" w:w="2448"/>
            <w:shd w:fill="F5F5F5" w:val="clear"/>
          </w:tcPr>
          <w:p>
            <w:pPr>
              <w:spacing w:after="20"/>
            </w:pPr>
            <w:r>
              <w:rPr>
                <w:sz w:val="18"/>
              </w:rPr>
              <w:t>Internal accounting variable</w:t>
            </w:r>
          </w:p>
        </w:tc>
      </w:tr>
    </w:tbl>
    <w:p>
      <w:pPr>
        <w:spacing w:after="40"/>
      </w:pPr>
    </w:p>
    <w:p>
      <w:r>
        <w:t>Each level contains: compilable vulnerable + attack Solidity contracts, 3 progressive hints (basic → specific → near-solution), step-by-step attack instructions with state change annotations, and post-exploit education (vulnerability explanation, secure coding pattern, real-world incident, Module 3.1/3.4 mapping). The modular architecture means new levels require only a new src/levels/ folder — zero UI/state changes.</w:t>
      </w:r>
    </w:p>
    <w:p>
      <w:pPr>
        <w:pStyle w:val="Heading1"/>
      </w:pPr>
      <w:r>
        <w:t>8. Secure Coding Patterns</w:t>
      </w:r>
    </w:p>
    <w:p>
      <w:pPr>
        <w:spacing w:before="0" w:after="40"/>
        <w:pBdr>
          <w:bottom w:val="single" w:sz="4" w:space="1" w:color="999999"/>
        </w:pBdr>
      </w:pPr>
    </w:p>
    <w:p>
      <w:r>
        <w:t>This section consolidates the defensive patterns taught across all five levels:</w:t>
      </w:r>
    </w:p>
    <w:tbl>
      <w:tblPr>
        <w:tblW w:type="auto" w:w="0"/>
        <w:jc w:val="center"/>
        <w:tblLook w:firstColumn="1" w:firstRow="1" w:lastColumn="0" w:lastRow="0" w:noHBand="0" w:noVBand="1" w:val="04A0"/>
      </w:tblPr>
      <w:tblGrid>
        <w:gridCol w:w="2436"/>
        <w:gridCol w:w="2436"/>
        <w:gridCol w:w="2436"/>
        <w:gridCol w:w="2436"/>
      </w:tblGrid>
      <w:tr>
        <w:tc>
          <w:tcPr>
            <w:tcW w:type="dxa" w:w="1872"/>
            <w:shd w:fill="1a1a2e" w:val="clear"/>
          </w:tcPr>
          <w:p>
            <w:pPr>
              <w:spacing w:after="20"/>
              <w:jc w:val="center"/>
            </w:pPr>
            <w:r>
              <w:rPr>
                <w:b/>
                <w:color w:val="FFFFFF"/>
                <w:sz w:val="18"/>
              </w:rPr>
              <w:t>Pattern</w:t>
            </w:r>
          </w:p>
        </w:tc>
        <w:tc>
          <w:tcPr>
            <w:tcW w:type="dxa" w:w="1440"/>
            <w:shd w:fill="1a1a2e" w:val="clear"/>
          </w:tcPr>
          <w:p>
            <w:pPr>
              <w:spacing w:after="20"/>
              <w:jc w:val="center"/>
            </w:pPr>
            <w:r>
              <w:rPr>
                <w:b/>
                <w:color w:val="FFFFFF"/>
                <w:sz w:val="18"/>
              </w:rPr>
              <w:t>Defends Against</w:t>
            </w:r>
          </w:p>
        </w:tc>
        <w:tc>
          <w:tcPr>
            <w:tcW w:type="dxa" w:w="3312"/>
            <w:shd w:fill="1a1a2e" w:val="clear"/>
          </w:tcPr>
          <w:p>
            <w:pPr>
              <w:spacing w:after="20"/>
              <w:jc w:val="center"/>
            </w:pPr>
            <w:r>
              <w:rPr>
                <w:b/>
                <w:color w:val="FFFFFF"/>
                <w:sz w:val="18"/>
              </w:rPr>
              <w:t>How It Works</w:t>
            </w:r>
          </w:p>
        </w:tc>
        <w:tc>
          <w:tcPr>
            <w:tcW w:type="dxa" w:w="864"/>
            <w:shd w:fill="1a1a2e" w:val="clear"/>
          </w:tcPr>
          <w:p>
            <w:pPr>
              <w:spacing w:after="20"/>
              <w:jc w:val="center"/>
            </w:pPr>
            <w:r>
              <w:rPr>
                <w:b/>
                <w:color w:val="FFFFFF"/>
                <w:sz w:val="18"/>
              </w:rPr>
              <w:t>Module</w:t>
            </w:r>
          </w:p>
        </w:tc>
      </w:tr>
      <w:tr>
        <w:tc>
          <w:tcPr>
            <w:tcW w:type="dxa" w:w="1872"/>
            <w:shd w:fill="F5F5F5" w:val="clear"/>
          </w:tcPr>
          <w:p>
            <w:pPr>
              <w:spacing w:after="20"/>
            </w:pPr>
            <w:r>
              <w:rPr>
                <w:sz w:val="18"/>
              </w:rPr>
              <w:t>Checks-Effects-Interactions</w:t>
            </w:r>
          </w:p>
        </w:tc>
        <w:tc>
          <w:tcPr>
            <w:tcW w:type="dxa" w:w="1440"/>
            <w:shd w:fill="F5F5F5" w:val="clear"/>
          </w:tcPr>
          <w:p>
            <w:pPr>
              <w:spacing w:after="20"/>
            </w:pPr>
            <w:r>
              <w:rPr>
                <w:sz w:val="18"/>
              </w:rPr>
              <w:t>Reentrancy</w:t>
            </w:r>
          </w:p>
        </w:tc>
        <w:tc>
          <w:tcPr>
            <w:tcW w:type="dxa" w:w="3312"/>
            <w:shd w:fill="F5F5F5" w:val="clear"/>
          </w:tcPr>
          <w:p>
            <w:pPr>
              <w:spacing w:after="20"/>
            </w:pPr>
            <w:r>
              <w:rPr>
                <w:sz w:val="18"/>
              </w:rPr>
              <w:t>Update state before external calls</w:t>
            </w:r>
          </w:p>
        </w:tc>
        <w:tc>
          <w:tcPr>
            <w:tcW w:type="dxa" w:w="864"/>
            <w:shd w:fill="F5F5F5" w:val="clear"/>
          </w:tcPr>
          <w:p>
            <w:pPr>
              <w:spacing w:after="20"/>
            </w:pPr>
            <w:r>
              <w:rPr>
                <w:sz w:val="18"/>
              </w:rPr>
              <w:t>3.1 / 3.4</w:t>
            </w:r>
          </w:p>
        </w:tc>
      </w:tr>
      <w:tr>
        <w:tc>
          <w:tcPr>
            <w:tcW w:type="dxa" w:w="1872"/>
            <w:shd w:fill="FFFFFF" w:val="clear"/>
          </w:tcPr>
          <w:p>
            <w:pPr>
              <w:spacing w:after="20"/>
            </w:pPr>
            <w:r>
              <w:rPr>
                <w:sz w:val="18"/>
              </w:rPr>
              <w:t>ReentrancyGuard</w:t>
            </w:r>
          </w:p>
        </w:tc>
        <w:tc>
          <w:tcPr>
            <w:tcW w:type="dxa" w:w="1440"/>
            <w:shd w:fill="FFFFFF" w:val="clear"/>
          </w:tcPr>
          <w:p>
            <w:pPr>
              <w:spacing w:after="20"/>
            </w:pPr>
            <w:r>
              <w:rPr>
                <w:sz w:val="18"/>
              </w:rPr>
              <w:t>Reentrancy</w:t>
            </w:r>
          </w:p>
        </w:tc>
        <w:tc>
          <w:tcPr>
            <w:tcW w:type="dxa" w:w="3312"/>
            <w:shd w:fill="FFFFFF" w:val="clear"/>
          </w:tcPr>
          <w:p>
            <w:pPr>
              <w:spacing w:after="20"/>
            </w:pPr>
            <w:r>
              <w:rPr>
                <w:sz w:val="18"/>
              </w:rPr>
              <w:t>Mutex lock reverts on re-entry</w:t>
            </w:r>
          </w:p>
        </w:tc>
        <w:tc>
          <w:tcPr>
            <w:tcW w:type="dxa" w:w="864"/>
            <w:shd w:fill="FFFFFF" w:val="clear"/>
          </w:tcPr>
          <w:p>
            <w:pPr>
              <w:spacing w:after="20"/>
            </w:pPr>
            <w:r>
              <w:rPr>
                <w:sz w:val="18"/>
              </w:rPr>
              <w:t>3.1</w:t>
            </w:r>
          </w:p>
        </w:tc>
      </w:tr>
      <w:tr>
        <w:tc>
          <w:tcPr>
            <w:tcW w:type="dxa" w:w="1872"/>
            <w:shd w:fill="F5F5F5" w:val="clear"/>
          </w:tcPr>
          <w:p>
            <w:pPr>
              <w:spacing w:after="20"/>
            </w:pPr>
            <w:r>
              <w:rPr>
                <w:sz w:val="18"/>
              </w:rPr>
              <w:t>onlyOwner modifier</w:t>
            </w:r>
          </w:p>
        </w:tc>
        <w:tc>
          <w:tcPr>
            <w:tcW w:type="dxa" w:w="1440"/>
            <w:shd w:fill="F5F5F5" w:val="clear"/>
          </w:tcPr>
          <w:p>
            <w:pPr>
              <w:spacing w:after="20"/>
            </w:pPr>
            <w:r>
              <w:rPr>
                <w:sz w:val="18"/>
              </w:rPr>
              <w:t>Access Control</w:t>
            </w:r>
          </w:p>
        </w:tc>
        <w:tc>
          <w:tcPr>
            <w:tcW w:type="dxa" w:w="3312"/>
            <w:shd w:fill="F5F5F5" w:val="clear"/>
          </w:tcPr>
          <w:p>
            <w:pPr>
              <w:spacing w:after="20"/>
            </w:pPr>
            <w:r>
              <w:rPr>
                <w:sz w:val="18"/>
              </w:rPr>
              <w:t>Constructor sets owner; modifier gates functions</w:t>
            </w:r>
          </w:p>
        </w:tc>
        <w:tc>
          <w:tcPr>
            <w:tcW w:type="dxa" w:w="864"/>
            <w:shd w:fill="F5F5F5" w:val="clear"/>
          </w:tcPr>
          <w:p>
            <w:pPr>
              <w:spacing w:after="20"/>
            </w:pPr>
            <w:r>
              <w:rPr>
                <w:sz w:val="18"/>
              </w:rPr>
              <w:t>3.4</w:t>
            </w:r>
          </w:p>
        </w:tc>
      </w:tr>
      <w:tr>
        <w:tc>
          <w:tcPr>
            <w:tcW w:type="dxa" w:w="1872"/>
            <w:shd w:fill="FFFFFF" w:val="clear"/>
          </w:tcPr>
          <w:p>
            <w:pPr>
              <w:spacing w:after="20"/>
            </w:pPr>
            <w:r>
              <w:rPr>
                <w:sz w:val="18"/>
              </w:rPr>
              <w:t>Initializable</w:t>
            </w:r>
          </w:p>
        </w:tc>
        <w:tc>
          <w:tcPr>
            <w:tcW w:type="dxa" w:w="1440"/>
            <w:shd w:fill="FFFFFF" w:val="clear"/>
          </w:tcPr>
          <w:p>
            <w:pPr>
              <w:spacing w:after="20"/>
            </w:pPr>
            <w:r>
              <w:rPr>
                <w:sz w:val="18"/>
              </w:rPr>
              <w:t>Access Control</w:t>
            </w:r>
          </w:p>
        </w:tc>
        <w:tc>
          <w:tcPr>
            <w:tcW w:type="dxa" w:w="3312"/>
            <w:shd w:fill="FFFFFF" w:val="clear"/>
          </w:tcPr>
          <w:p>
            <w:pPr>
              <w:spacing w:after="20"/>
            </w:pPr>
            <w:r>
              <w:rPr>
                <w:sz w:val="18"/>
              </w:rPr>
              <w:t>One-time flag prevents re-initialization</w:t>
            </w:r>
          </w:p>
        </w:tc>
        <w:tc>
          <w:tcPr>
            <w:tcW w:type="dxa" w:w="864"/>
            <w:shd w:fill="FFFFFF" w:val="clear"/>
          </w:tcPr>
          <w:p>
            <w:pPr>
              <w:spacing w:after="20"/>
            </w:pPr>
            <w:r>
              <w:rPr>
                <w:sz w:val="18"/>
              </w:rPr>
              <w:t>3.4</w:t>
            </w:r>
          </w:p>
        </w:tc>
      </w:tr>
      <w:tr>
        <w:tc>
          <w:tcPr>
            <w:tcW w:type="dxa" w:w="1872"/>
            <w:shd w:fill="F5F5F5" w:val="clear"/>
          </w:tcPr>
          <w:p>
            <w:pPr>
              <w:spacing w:after="20"/>
            </w:pPr>
            <w:r>
              <w:rPr>
                <w:sz w:val="18"/>
              </w:rPr>
              <w:t>EIP-1967 Storage</w:t>
            </w:r>
          </w:p>
        </w:tc>
        <w:tc>
          <w:tcPr>
            <w:tcW w:type="dxa" w:w="1440"/>
            <w:shd w:fill="F5F5F5" w:val="clear"/>
          </w:tcPr>
          <w:p>
            <w:pPr>
              <w:spacing w:after="20"/>
            </w:pPr>
            <w:r>
              <w:rPr>
                <w:sz w:val="18"/>
              </w:rPr>
              <w:t>Delegatecall</w:t>
            </w:r>
          </w:p>
        </w:tc>
        <w:tc>
          <w:tcPr>
            <w:tcW w:type="dxa" w:w="3312"/>
            <w:shd w:fill="F5F5F5" w:val="clear"/>
          </w:tcPr>
          <w:p>
            <w:pPr>
              <w:spacing w:after="20"/>
            </w:pPr>
            <w:r>
              <w:rPr>
                <w:sz w:val="18"/>
              </w:rPr>
              <w:t>Hash-derived slot positions prevent collision</w:t>
            </w:r>
          </w:p>
        </w:tc>
        <w:tc>
          <w:tcPr>
            <w:tcW w:type="dxa" w:w="864"/>
            <w:shd w:fill="F5F5F5" w:val="clear"/>
          </w:tcPr>
          <w:p>
            <w:pPr>
              <w:spacing w:after="20"/>
            </w:pPr>
            <w:r>
              <w:rPr>
                <w:sz w:val="18"/>
              </w:rPr>
              <w:t>3.4</w:t>
            </w:r>
          </w:p>
        </w:tc>
      </w:tr>
      <w:tr>
        <w:tc>
          <w:tcPr>
            <w:tcW w:type="dxa" w:w="1872"/>
            <w:shd w:fill="FFFFFF" w:val="clear"/>
          </w:tcPr>
          <w:p>
            <w:pPr>
              <w:spacing w:after="20"/>
            </w:pPr>
            <w:r>
              <w:rPr>
                <w:sz w:val="18"/>
              </w:rPr>
              <w:t>Solidity &gt;= 0.8</w:t>
            </w:r>
          </w:p>
        </w:tc>
        <w:tc>
          <w:tcPr>
            <w:tcW w:type="dxa" w:w="1440"/>
            <w:shd w:fill="FFFFFF" w:val="clear"/>
          </w:tcPr>
          <w:p>
            <w:pPr>
              <w:spacing w:after="20"/>
            </w:pPr>
            <w:r>
              <w:rPr>
                <w:sz w:val="18"/>
              </w:rPr>
              <w:t>Integer Overflow</w:t>
            </w:r>
          </w:p>
        </w:tc>
        <w:tc>
          <w:tcPr>
            <w:tcW w:type="dxa" w:w="3312"/>
            <w:shd w:fill="FFFFFF" w:val="clear"/>
          </w:tcPr>
          <w:p>
            <w:pPr>
              <w:spacing w:after="20"/>
            </w:pPr>
            <w:r>
              <w:rPr>
                <w:sz w:val="18"/>
              </w:rPr>
              <w:t>Built-in arithmetic revert on overflow</w:t>
            </w:r>
          </w:p>
        </w:tc>
        <w:tc>
          <w:tcPr>
            <w:tcW w:type="dxa" w:w="864"/>
            <w:shd w:fill="FFFFFF" w:val="clear"/>
          </w:tcPr>
          <w:p>
            <w:pPr>
              <w:spacing w:after="20"/>
            </w:pPr>
            <w:r>
              <w:rPr>
                <w:sz w:val="18"/>
              </w:rPr>
              <w:t>3.1</w:t>
            </w:r>
          </w:p>
        </w:tc>
      </w:tr>
      <w:tr>
        <w:tc>
          <w:tcPr>
            <w:tcW w:type="dxa" w:w="1872"/>
            <w:shd w:fill="F5F5F5" w:val="clear"/>
          </w:tcPr>
          <w:p>
            <w:pPr>
              <w:spacing w:after="20"/>
            </w:pPr>
            <w:r>
              <w:rPr>
                <w:sz w:val="18"/>
              </w:rPr>
              <w:t>SafeMath library</w:t>
            </w:r>
          </w:p>
        </w:tc>
        <w:tc>
          <w:tcPr>
            <w:tcW w:type="dxa" w:w="1440"/>
            <w:shd w:fill="F5F5F5" w:val="clear"/>
          </w:tcPr>
          <w:p>
            <w:pPr>
              <w:spacing w:after="20"/>
            </w:pPr>
            <w:r>
              <w:rPr>
                <w:sz w:val="18"/>
              </w:rPr>
              <w:t>Integer Overflow</w:t>
            </w:r>
          </w:p>
        </w:tc>
        <w:tc>
          <w:tcPr>
            <w:tcW w:type="dxa" w:w="3312"/>
            <w:shd w:fill="F5F5F5" w:val="clear"/>
          </w:tcPr>
          <w:p>
            <w:pPr>
              <w:spacing w:after="20"/>
            </w:pPr>
            <w:r>
              <w:rPr>
                <w:sz w:val="18"/>
              </w:rPr>
              <w:t>Checked add/sub/mul for pre-0.8 contracts</w:t>
            </w:r>
          </w:p>
        </w:tc>
        <w:tc>
          <w:tcPr>
            <w:tcW w:type="dxa" w:w="864"/>
            <w:shd w:fill="F5F5F5" w:val="clear"/>
          </w:tcPr>
          <w:p>
            <w:pPr>
              <w:spacing w:after="20"/>
            </w:pPr>
            <w:r>
              <w:rPr>
                <w:sz w:val="18"/>
              </w:rPr>
              <w:t>3.1</w:t>
            </w:r>
          </w:p>
        </w:tc>
      </w:tr>
      <w:tr>
        <w:tc>
          <w:tcPr>
            <w:tcW w:type="dxa" w:w="1872"/>
            <w:shd w:fill="FFFFFF" w:val="clear"/>
          </w:tcPr>
          <w:p>
            <w:pPr>
              <w:spacing w:after="20"/>
            </w:pPr>
            <w:r>
              <w:rPr>
                <w:sz w:val="18"/>
              </w:rPr>
              <w:t>Internal Accounting</w:t>
            </w:r>
          </w:p>
        </w:tc>
        <w:tc>
          <w:tcPr>
            <w:tcW w:type="dxa" w:w="1440"/>
            <w:shd w:fill="FFFFFF" w:val="clear"/>
          </w:tcPr>
          <w:p>
            <w:pPr>
              <w:spacing w:after="20"/>
            </w:pPr>
            <w:r>
              <w:rPr>
                <w:sz w:val="18"/>
              </w:rPr>
              <w:t>Forced ETH</w:t>
            </w:r>
          </w:p>
        </w:tc>
        <w:tc>
          <w:tcPr>
            <w:tcW w:type="dxa" w:w="3312"/>
            <w:shd w:fill="FFFFFF" w:val="clear"/>
          </w:tcPr>
          <w:p>
            <w:pPr>
              <w:spacing w:after="20"/>
            </w:pPr>
            <w:r>
              <w:rPr>
                <w:sz w:val="18"/>
              </w:rPr>
              <w:t>Track balance in variable, not address(this).balance</w:t>
            </w:r>
          </w:p>
        </w:tc>
        <w:tc>
          <w:tcPr>
            <w:tcW w:type="dxa" w:w="864"/>
            <w:shd w:fill="FFFFFF" w:val="clear"/>
          </w:tcPr>
          <w:p>
            <w:pPr>
              <w:spacing w:after="20"/>
            </w:pPr>
            <w:r>
              <w:rPr>
                <w:sz w:val="18"/>
              </w:rPr>
              <w:t>3.4</w:t>
            </w:r>
          </w:p>
        </w:tc>
      </w:tr>
      <w:tr>
        <w:tc>
          <w:tcPr>
            <w:tcW w:type="dxa" w:w="1872"/>
            <w:shd w:fill="F5F5F5" w:val="clear"/>
          </w:tcPr>
          <w:p>
            <w:pPr>
              <w:spacing w:after="20"/>
            </w:pPr>
            <w:r>
              <w:rPr>
                <w:sz w:val="18"/>
              </w:rPr>
              <w:t>Pull over Push</w:t>
            </w:r>
          </w:p>
        </w:tc>
        <w:tc>
          <w:tcPr>
            <w:tcW w:type="dxa" w:w="1440"/>
            <w:shd w:fill="F5F5F5" w:val="clear"/>
          </w:tcPr>
          <w:p>
            <w:pPr>
              <w:spacing w:after="20"/>
            </w:pPr>
            <w:r>
              <w:rPr>
                <w:sz w:val="18"/>
              </w:rPr>
              <w:t>Multiple</w:t>
            </w:r>
          </w:p>
        </w:tc>
        <w:tc>
          <w:tcPr>
            <w:tcW w:type="dxa" w:w="3312"/>
            <w:shd w:fill="F5F5F5" w:val="clear"/>
          </w:tcPr>
          <w:p>
            <w:pPr>
              <w:spacing w:after="20"/>
            </w:pPr>
            <w:r>
              <w:rPr>
                <w:sz w:val="18"/>
              </w:rPr>
              <w:t>Users withdraw; contract never pushes ETH</w:t>
            </w:r>
          </w:p>
        </w:tc>
        <w:tc>
          <w:tcPr>
            <w:tcW w:type="dxa" w:w="864"/>
            <w:shd w:fill="F5F5F5" w:val="clear"/>
          </w:tcPr>
          <w:p>
            <w:pPr>
              <w:spacing w:after="20"/>
            </w:pPr>
            <w:r>
              <w:rPr>
                <w:sz w:val="18"/>
              </w:rPr>
              <w:t>3.1 / 3.4</w:t>
            </w:r>
          </w:p>
        </w:tc>
      </w:tr>
    </w:tbl>
    <w:p>
      <w:pPr>
        <w:spacing w:after="40"/>
      </w:pPr>
    </w:p>
    <w:p>
      <w:pPr>
        <w:spacing w:before="40" w:after="40"/>
      </w:pPr>
      <w:r>
        <w:rPr>
          <w:rFonts w:ascii="Consolas" w:hAnsi="Consolas"/>
          <w:color w:val="1E293B"/>
          <w:sz w:val="16"/>
        </w:rPr>
        <w:t>// Checks-Effects-Interactions — the most important pattern in Solidity:</w:t>
        <w:br/>
        <w:t>function withdraw() public {</w:t>
        <w:br/>
        <w:t xml:space="preserve">    uint bal = balances[msg.sender];        // CHECK</w:t>
        <w:br/>
        <w:t xml:space="preserve">    require(bal &gt; 0);</w:t>
        <w:br/>
        <w:t xml:space="preserve">    balances[msg.sender] = 0;               // EFFECT (state update BEFORE external call)</w:t>
        <w:br/>
        <w:t xml:space="preserve">    (bool ok, ) = msg.sender.call{value: bal}("");  // INTERACTION</w:t>
        <w:br/>
        <w:t xml:space="preserve">    require(ok);</w:t>
        <w:br/>
        <w:t>}</w:t>
      </w:r>
    </w:p>
    <w:p>
      <w:r>
        <w:br w:type="page"/>
      </w:r>
    </w:p>
    <w:p>
      <w:pPr>
        <w:pStyle w:val="Heading1"/>
      </w:pPr>
      <w:r>
        <w:t>9. UI/UX Design &amp; Testing</w:t>
      </w:r>
    </w:p>
    <w:p>
      <w:pPr>
        <w:spacing w:before="0" w:after="40"/>
        <w:pBdr>
          <w:bottom w:val="single" w:sz="4" w:space="1" w:color="999999"/>
        </w:pBdr>
      </w:pPr>
    </w:p>
    <w:p>
      <w:pPr>
        <w:pStyle w:val="Heading2"/>
      </w:pPr>
      <w:r>
        <w:t>9.1 Design</w:t>
      </w:r>
    </w:p>
    <w:p>
      <w:r>
        <w:t>Dark theme (#030712 background) for developer comfort. Split-screen layout: left pane (Code Editor / Challenge / Leaderboard tabs), right pane (Console / Attack Dashboard / Insights tabs). Fixed sidebar (288px) with level navigation, difficulty badges, completion checkmarks, and progress bar. Monospace font (JetBrains Mono). Color-coded console: cyan=info, green=success, red=error, yellow=warning, purple=transactions with clickable Etherscan links.</w:t>
      </w:r>
    </w:p>
    <w:p>
      <w:pPr>
        <w:spacing w:before="40" w:after="40"/>
      </w:pPr>
      <w:r>
        <w:rPr>
          <w:rFonts w:ascii="Consolas" w:hAnsi="Consolas"/>
          <w:color w:val="1E293B"/>
          <w:sz w:val="16"/>
        </w:rPr>
        <w:t>App → Header (logo, network badge, wallet) → Sidebar (levels) → SplitLayout</w:t>
        <w:br/>
        <w:t xml:space="preserve">  Left Tabs: Editor | Challenge | Leaderboard</w:t>
        <w:br/>
        <w:t xml:space="preserve">  Right Tabs: Console | Attack Dashboard | Insights</w:t>
      </w:r>
    </w:p>
    <w:p>
      <w:pPr>
        <w:pStyle w:val="Heading2"/>
      </w:pPr>
      <w:r>
        <w:t>9.2 Testing Results</w:t>
      </w:r>
    </w:p>
    <w:tbl>
      <w:tblPr>
        <w:tblW w:type="auto" w:w="0"/>
        <w:jc w:val="center"/>
        <w:tblLook w:firstColumn="1" w:firstRow="1" w:lastColumn="0" w:lastRow="0" w:noHBand="0" w:noVBand="1" w:val="04A0"/>
      </w:tblPr>
      <w:tblGrid>
        <w:gridCol w:w="3249"/>
        <w:gridCol w:w="3249"/>
        <w:gridCol w:w="3249"/>
      </w:tblGrid>
      <w:tr>
        <w:tc>
          <w:tcPr>
            <w:tcW w:type="dxa" w:w="1152"/>
            <w:shd w:fill="1a1a2e" w:val="clear"/>
          </w:tcPr>
          <w:p>
            <w:pPr>
              <w:spacing w:after="20"/>
              <w:jc w:val="center"/>
            </w:pPr>
            <w:r>
              <w:rPr>
                <w:b/>
                <w:color w:val="FFFFFF"/>
                <w:sz w:val="18"/>
              </w:rPr>
              <w:t>Test</w:t>
            </w:r>
          </w:p>
        </w:tc>
        <w:tc>
          <w:tcPr>
            <w:tcW w:type="dxa" w:w="4608"/>
            <w:shd w:fill="1a1a2e" w:val="clear"/>
          </w:tcPr>
          <w:p>
            <w:pPr>
              <w:spacing w:after="20"/>
              <w:jc w:val="center"/>
            </w:pPr>
            <w:r>
              <w:rPr>
                <w:b/>
                <w:color w:val="FFFFFF"/>
                <w:sz w:val="18"/>
              </w:rPr>
              <w:t>Scenario</w:t>
            </w:r>
          </w:p>
        </w:tc>
        <w:tc>
          <w:tcPr>
            <w:tcW w:type="dxa" w:w="864"/>
            <w:shd w:fill="1a1a2e" w:val="clear"/>
          </w:tcPr>
          <w:p>
            <w:pPr>
              <w:spacing w:after="20"/>
              <w:jc w:val="center"/>
            </w:pPr>
            <w:r>
              <w:rPr>
                <w:b/>
                <w:color w:val="FFFFFF"/>
                <w:sz w:val="18"/>
              </w:rPr>
              <w:t>Status</w:t>
            </w:r>
          </w:p>
        </w:tc>
      </w:tr>
      <w:tr>
        <w:tc>
          <w:tcPr>
            <w:tcW w:type="dxa" w:w="1152"/>
            <w:shd w:fill="F5F5F5" w:val="clear"/>
          </w:tcPr>
          <w:p>
            <w:pPr>
              <w:spacing w:after="20"/>
            </w:pPr>
            <w:r>
              <w:rPr>
                <w:sz w:val="18"/>
              </w:rPr>
              <w:t>Build</w:t>
            </w:r>
          </w:p>
        </w:tc>
        <w:tc>
          <w:tcPr>
            <w:tcW w:type="dxa" w:w="4608"/>
            <w:shd w:fill="F5F5F5" w:val="clear"/>
          </w:tcPr>
          <w:p>
            <w:pPr>
              <w:spacing w:after="20"/>
            </w:pPr>
            <w:r>
              <w:rPr>
                <w:sz w:val="18"/>
              </w:rPr>
              <w:t>TypeScript strict-mode: 0 errors / 29 files, Vite build: 565KB JS</w:t>
            </w:r>
          </w:p>
        </w:tc>
        <w:tc>
          <w:tcPr>
            <w:tcW w:type="dxa" w:w="864"/>
            <w:shd w:fill="F5F5F5" w:val="clear"/>
          </w:tcPr>
          <w:p>
            <w:pPr>
              <w:spacing w:after="20"/>
            </w:pPr>
            <w:r>
              <w:rPr>
                <w:sz w:val="18"/>
              </w:rPr>
              <w:t>Pass</w:t>
            </w:r>
          </w:p>
        </w:tc>
      </w:tr>
      <w:tr>
        <w:tc>
          <w:tcPr>
            <w:tcW w:type="dxa" w:w="1152"/>
            <w:shd w:fill="FFFFFF" w:val="clear"/>
          </w:tcPr>
          <w:p>
            <w:pPr>
              <w:spacing w:after="20"/>
            </w:pPr>
            <w:r>
              <w:rPr>
                <w:sz w:val="18"/>
              </w:rPr>
              <w:t>Wallet</w:t>
            </w:r>
          </w:p>
        </w:tc>
        <w:tc>
          <w:tcPr>
            <w:tcW w:type="dxa" w:w="4608"/>
            <w:shd w:fill="FFFFFF" w:val="clear"/>
          </w:tcPr>
          <w:p>
            <w:pPr>
              <w:spacing w:after="20"/>
            </w:pPr>
            <w:r>
              <w:rPr>
                <w:sz w:val="18"/>
              </w:rPr>
              <w:t>MetaMask connect + auto Sepolia switch</w:t>
            </w:r>
          </w:p>
        </w:tc>
        <w:tc>
          <w:tcPr>
            <w:tcW w:type="dxa" w:w="864"/>
            <w:shd w:fill="FFFFFF" w:val="clear"/>
          </w:tcPr>
          <w:p>
            <w:pPr>
              <w:spacing w:after="20"/>
            </w:pPr>
            <w:r>
              <w:rPr>
                <w:sz w:val="18"/>
              </w:rPr>
              <w:t>Pass</w:t>
            </w:r>
          </w:p>
        </w:tc>
      </w:tr>
      <w:tr>
        <w:tc>
          <w:tcPr>
            <w:tcW w:type="dxa" w:w="1152"/>
            <w:shd w:fill="F5F5F5" w:val="clear"/>
          </w:tcPr>
          <w:p>
            <w:pPr>
              <w:spacing w:after="20"/>
            </w:pPr>
            <w:r>
              <w:rPr>
                <w:sz w:val="18"/>
              </w:rPr>
              <w:t>Editor</w:t>
            </w:r>
          </w:p>
        </w:tc>
        <w:tc>
          <w:tcPr>
            <w:tcW w:type="dxa" w:w="4608"/>
            <w:shd w:fill="F5F5F5" w:val="clear"/>
          </w:tcPr>
          <w:p>
            <w:pPr>
              <w:spacing w:after="20"/>
            </w:pPr>
            <w:r>
              <w:rPr>
                <w:sz w:val="18"/>
              </w:rPr>
              <w:t>Load contract, compile, deploy to Sepolia</w:t>
            </w:r>
          </w:p>
        </w:tc>
        <w:tc>
          <w:tcPr>
            <w:tcW w:type="dxa" w:w="864"/>
            <w:shd w:fill="F5F5F5" w:val="clear"/>
          </w:tcPr>
          <w:p>
            <w:pPr>
              <w:spacing w:after="20"/>
            </w:pPr>
            <w:r>
              <w:rPr>
                <w:sz w:val="18"/>
              </w:rPr>
              <w:t>Pass</w:t>
            </w:r>
          </w:p>
        </w:tc>
      </w:tr>
      <w:tr>
        <w:tc>
          <w:tcPr>
            <w:tcW w:type="dxa" w:w="1152"/>
            <w:shd w:fill="FFFFFF" w:val="clear"/>
          </w:tcPr>
          <w:p>
            <w:pPr>
              <w:spacing w:after="20"/>
            </w:pPr>
            <w:r>
              <w:rPr>
                <w:sz w:val="18"/>
              </w:rPr>
              <w:t>Console</w:t>
            </w:r>
          </w:p>
        </w:tc>
        <w:tc>
          <w:tcPr>
            <w:tcW w:type="dxa" w:w="4608"/>
            <w:shd w:fill="FFFFFF" w:val="clear"/>
          </w:tcPr>
          <w:p>
            <w:pPr>
              <w:spacing w:after="20"/>
            </w:pPr>
            <w:r>
              <w:rPr>
                <w:sz w:val="18"/>
              </w:rPr>
              <w:t>Color-coded messages, clickable tx hashes</w:t>
            </w:r>
          </w:p>
        </w:tc>
        <w:tc>
          <w:tcPr>
            <w:tcW w:type="dxa" w:w="864"/>
            <w:shd w:fill="FFFFFF" w:val="clear"/>
          </w:tcPr>
          <w:p>
            <w:pPr>
              <w:spacing w:after="20"/>
            </w:pPr>
            <w:r>
              <w:rPr>
                <w:sz w:val="18"/>
              </w:rPr>
              <w:t>Pass</w:t>
            </w:r>
          </w:p>
        </w:tc>
      </w:tr>
      <w:tr>
        <w:tc>
          <w:tcPr>
            <w:tcW w:type="dxa" w:w="1152"/>
            <w:shd w:fill="F5F5F5" w:val="clear"/>
          </w:tcPr>
          <w:p>
            <w:pPr>
              <w:spacing w:after="20"/>
            </w:pPr>
            <w:r>
              <w:rPr>
                <w:sz w:val="18"/>
              </w:rPr>
              <w:t>Sidebar</w:t>
            </w:r>
          </w:p>
        </w:tc>
        <w:tc>
          <w:tcPr>
            <w:tcW w:type="dxa" w:w="4608"/>
            <w:shd w:fill="F5F5F5" w:val="clear"/>
          </w:tcPr>
          <w:p>
            <w:pPr>
              <w:spacing w:after="20"/>
            </w:pPr>
            <w:r>
              <w:rPr>
                <w:sz w:val="18"/>
              </w:rPr>
              <w:t>Level switching, progress display</w:t>
            </w:r>
          </w:p>
        </w:tc>
        <w:tc>
          <w:tcPr>
            <w:tcW w:type="dxa" w:w="864"/>
            <w:shd w:fill="F5F5F5" w:val="clear"/>
          </w:tcPr>
          <w:p>
            <w:pPr>
              <w:spacing w:after="20"/>
            </w:pPr>
            <w:r>
              <w:rPr>
                <w:sz w:val="18"/>
              </w:rPr>
              <w:t>Pass</w:t>
            </w:r>
          </w:p>
        </w:tc>
      </w:tr>
      <w:tr>
        <w:tc>
          <w:tcPr>
            <w:tcW w:type="dxa" w:w="1152"/>
            <w:shd w:fill="FFFFFF" w:val="clear"/>
          </w:tcPr>
          <w:p>
            <w:pPr>
              <w:spacing w:after="20"/>
            </w:pPr>
            <w:r>
              <w:rPr>
                <w:sz w:val="18"/>
              </w:rPr>
              <w:t>Hints</w:t>
            </w:r>
          </w:p>
        </w:tc>
        <w:tc>
          <w:tcPr>
            <w:tcW w:type="dxa" w:w="4608"/>
            <w:shd w:fill="FFFFFF" w:val="clear"/>
          </w:tcPr>
          <w:p>
            <w:pPr>
              <w:spacing w:after="20"/>
            </w:pPr>
            <w:r>
              <w:rPr>
                <w:sz w:val="18"/>
              </w:rPr>
              <w:t>Progressive 3-tier reveal per level</w:t>
            </w:r>
          </w:p>
        </w:tc>
        <w:tc>
          <w:tcPr>
            <w:tcW w:type="dxa" w:w="864"/>
            <w:shd w:fill="FFFFFF" w:val="clear"/>
          </w:tcPr>
          <w:p>
            <w:pPr>
              <w:spacing w:after="20"/>
            </w:pPr>
            <w:r>
              <w:rPr>
                <w:sz w:val="18"/>
              </w:rPr>
              <w:t>Pass</w:t>
            </w:r>
          </w:p>
        </w:tc>
      </w:tr>
      <w:tr>
        <w:tc>
          <w:tcPr>
            <w:tcW w:type="dxa" w:w="1152"/>
            <w:shd w:fill="F5F5F5" w:val="clear"/>
          </w:tcPr>
          <w:p>
            <w:pPr>
              <w:spacing w:after="20"/>
            </w:pPr>
            <w:r>
              <w:rPr>
                <w:sz w:val="18"/>
              </w:rPr>
              <w:t>Dashboard</w:t>
            </w:r>
          </w:p>
        </w:tc>
        <w:tc>
          <w:tcPr>
            <w:tcW w:type="dxa" w:w="4608"/>
            <w:shd w:fill="F5F5F5" w:val="clear"/>
          </w:tcPr>
          <w:p>
            <w:pPr>
              <w:spacing w:after="20"/>
            </w:pPr>
            <w:r>
              <w:rPr>
                <w:sz w:val="18"/>
              </w:rPr>
              <w:t>Step-through attack with state annotations</w:t>
            </w:r>
          </w:p>
        </w:tc>
        <w:tc>
          <w:tcPr>
            <w:tcW w:type="dxa" w:w="864"/>
            <w:shd w:fill="F5F5F5" w:val="clear"/>
          </w:tcPr>
          <w:p>
            <w:pPr>
              <w:spacing w:after="20"/>
            </w:pPr>
            <w:r>
              <w:rPr>
                <w:sz w:val="18"/>
              </w:rPr>
              <w:t>Pass</w:t>
            </w:r>
          </w:p>
        </w:tc>
      </w:tr>
      <w:tr>
        <w:tc>
          <w:tcPr>
            <w:tcW w:type="dxa" w:w="1152"/>
            <w:shd w:fill="FFFFFF" w:val="clear"/>
          </w:tcPr>
          <w:p>
            <w:pPr>
              <w:spacing w:after="20"/>
            </w:pPr>
            <w:r>
              <w:rPr>
                <w:sz w:val="18"/>
              </w:rPr>
              <w:t>Insights</w:t>
            </w:r>
          </w:p>
        </w:tc>
        <w:tc>
          <w:tcPr>
            <w:tcW w:type="dxa" w:w="4608"/>
            <w:shd w:fill="FFFFFF" w:val="clear"/>
          </w:tcPr>
          <w:p>
            <w:pPr>
              <w:spacing w:after="20"/>
            </w:pPr>
            <w:r>
              <w:rPr>
                <w:sz w:val="18"/>
              </w:rPr>
              <w:t>Post-completion education display</w:t>
            </w:r>
          </w:p>
        </w:tc>
        <w:tc>
          <w:tcPr>
            <w:tcW w:type="dxa" w:w="864"/>
            <w:shd w:fill="FFFFFF" w:val="clear"/>
          </w:tcPr>
          <w:p>
            <w:pPr>
              <w:spacing w:after="20"/>
            </w:pPr>
            <w:r>
              <w:rPr>
                <w:sz w:val="18"/>
              </w:rPr>
              <w:t>Pass</w:t>
            </w:r>
          </w:p>
        </w:tc>
      </w:tr>
      <w:tr>
        <w:tc>
          <w:tcPr>
            <w:tcW w:type="dxa" w:w="1152"/>
            <w:shd w:fill="F5F5F5" w:val="clear"/>
          </w:tcPr>
          <w:p>
            <w:pPr>
              <w:spacing w:after="20"/>
            </w:pPr>
            <w:r>
              <w:rPr>
                <w:sz w:val="18"/>
              </w:rPr>
              <w:t>Leaderboard</w:t>
            </w:r>
          </w:p>
        </w:tc>
        <w:tc>
          <w:tcPr>
            <w:tcW w:type="dxa" w:w="4608"/>
            <w:shd w:fill="F5F5F5" w:val="clear"/>
          </w:tcPr>
          <w:p>
            <w:pPr>
              <w:spacing w:after="20"/>
            </w:pPr>
            <w:r>
              <w:rPr>
                <w:sz w:val="18"/>
              </w:rPr>
              <w:t>Rankings update after level completion</w:t>
            </w:r>
          </w:p>
        </w:tc>
        <w:tc>
          <w:tcPr>
            <w:tcW w:type="dxa" w:w="864"/>
            <w:shd w:fill="F5F5F5" w:val="clear"/>
          </w:tcPr>
          <w:p>
            <w:pPr>
              <w:spacing w:after="20"/>
            </w:pPr>
            <w:r>
              <w:rPr>
                <w:sz w:val="18"/>
              </w:rPr>
              <w:t>Pass</w:t>
            </w:r>
          </w:p>
        </w:tc>
      </w:tr>
    </w:tbl>
    <w:p>
      <w:pPr>
        <w:spacing w:after="40"/>
      </w:pPr>
    </w:p>
    <w:p>
      <w:r>
        <w:br w:type="page"/>
      </w:r>
    </w:p>
    <w:p>
      <w:pPr>
        <w:pStyle w:val="Heading1"/>
      </w:pPr>
      <w:r>
        <w:t>10. Screenshots</w:t>
      </w:r>
    </w:p>
    <w:p>
      <w:pPr>
        <w:spacing w:before="0" w:after="40"/>
        <w:pBdr>
          <w:bottom w:val="single" w:sz="4" w:space="1" w:color="999999"/>
        </w:pBdr>
      </w:pPr>
    </w:p>
    <w:p>
      <w:pPr>
        <w:spacing w:before="80" w:after="0"/>
        <w:jc w:val="center"/>
        <w:pBdr>
          <w:top w:val="single" w:sz="4" w:space="6" w:color="AAAAAA"/>
          <w:left w:val="single" w:sz="4" w:space="6" w:color="AAAAAA"/>
          <w:bottom w:val="single" w:sz="4" w:space="6" w:color="AAAAAA"/>
          <w:right w:val="single" w:sz="4" w:space="6" w:color="AAAAAA"/>
        </w:pBdr>
      </w:pPr>
      <w:r>
        <w:rPr>
          <w:i/>
          <w:color w:val="999999"/>
          <w:sz w:val="20"/>
        </w:rPr>
        <w:br/>
        <w:t>[ Insert Screenshot ]</w:t>
        <w:br/>
      </w:r>
    </w:p>
    <w:p>
      <w:pPr>
        <w:spacing w:after="80"/>
        <w:jc w:val="center"/>
      </w:pPr>
      <w:r>
        <w:rPr>
          <w:i/>
          <w:color w:val="666666"/>
          <w:sz w:val="18"/>
        </w:rPr>
        <w:t>Fig 10.1: Main Interface — sidebar, code editor, console split-screen</w:t>
      </w:r>
    </w:p>
    <w:p>
      <w:pPr>
        <w:spacing w:before="80" w:after="0"/>
        <w:jc w:val="center"/>
        <w:pBdr>
          <w:top w:val="single" w:sz="4" w:space="6" w:color="AAAAAA"/>
          <w:left w:val="single" w:sz="4" w:space="6" w:color="AAAAAA"/>
          <w:bottom w:val="single" w:sz="4" w:space="6" w:color="AAAAAA"/>
          <w:right w:val="single" w:sz="4" w:space="6" w:color="AAAAAA"/>
        </w:pBdr>
      </w:pPr>
      <w:r>
        <w:rPr>
          <w:i/>
          <w:color w:val="999999"/>
          <w:sz w:val="20"/>
        </w:rPr>
        <w:br/>
        <w:t>[ Insert Screenshot ]</w:t>
        <w:br/>
      </w:r>
    </w:p>
    <w:p>
      <w:pPr>
        <w:spacing w:after="80"/>
        <w:jc w:val="center"/>
      </w:pPr>
      <w:r>
        <w:rPr>
          <w:i/>
          <w:color w:val="666666"/>
          <w:sz w:val="18"/>
        </w:rPr>
        <w:t>Fig 10.2: MetaMask wallet connected with Sepolia network badge</w:t>
      </w:r>
    </w:p>
    <w:p>
      <w:pPr>
        <w:spacing w:before="80" w:after="0"/>
        <w:jc w:val="center"/>
        <w:pBdr>
          <w:top w:val="single" w:sz="4" w:space="6" w:color="AAAAAA"/>
          <w:left w:val="single" w:sz="4" w:space="6" w:color="AAAAAA"/>
          <w:bottom w:val="single" w:sz="4" w:space="6" w:color="AAAAAA"/>
          <w:right w:val="single" w:sz="4" w:space="6" w:color="AAAAAA"/>
        </w:pBdr>
      </w:pPr>
      <w:r>
        <w:rPr>
          <w:i/>
          <w:color w:val="999999"/>
          <w:sz w:val="20"/>
        </w:rPr>
        <w:br/>
        <w:t>[ Insert Screenshot ]</w:t>
        <w:br/>
      </w:r>
    </w:p>
    <w:p>
      <w:pPr>
        <w:spacing w:after="80"/>
        <w:jc w:val="center"/>
      </w:pPr>
      <w:r>
        <w:rPr>
          <w:i/>
          <w:color w:val="666666"/>
          <w:sz w:val="18"/>
        </w:rPr>
        <w:t>Fig 10.3: Code Editor with vulnerable EtherStore contract</w:t>
      </w:r>
    </w:p>
    <w:p>
      <w:pPr>
        <w:spacing w:before="80" w:after="0"/>
        <w:jc w:val="center"/>
        <w:pBdr>
          <w:top w:val="single" w:sz="4" w:space="6" w:color="AAAAAA"/>
          <w:left w:val="single" w:sz="4" w:space="6" w:color="AAAAAA"/>
          <w:bottom w:val="single" w:sz="4" w:space="6" w:color="AAAAAA"/>
          <w:right w:val="single" w:sz="4" w:space="6" w:color="AAAAAA"/>
        </w:pBdr>
      </w:pPr>
      <w:r>
        <w:rPr>
          <w:i/>
          <w:color w:val="999999"/>
          <w:sz w:val="20"/>
        </w:rPr>
        <w:br/>
        <w:t>[ Insert Screenshot ]</w:t>
        <w:br/>
      </w:r>
    </w:p>
    <w:p>
      <w:pPr>
        <w:spacing w:after="80"/>
        <w:jc w:val="center"/>
      </w:pPr>
      <w:r>
        <w:rPr>
          <w:i/>
          <w:color w:val="666666"/>
          <w:sz w:val="18"/>
        </w:rPr>
        <w:t>Fig 10.4: Console showing compilation result and deployed contract address</w:t>
      </w:r>
    </w:p>
    <w:p>
      <w:pPr>
        <w:spacing w:before="80" w:after="0"/>
        <w:jc w:val="center"/>
        <w:pBdr>
          <w:top w:val="single" w:sz="4" w:space="6" w:color="AAAAAA"/>
          <w:left w:val="single" w:sz="4" w:space="6" w:color="AAAAAA"/>
          <w:bottom w:val="single" w:sz="4" w:space="6" w:color="AAAAAA"/>
          <w:right w:val="single" w:sz="4" w:space="6" w:color="AAAAAA"/>
        </w:pBdr>
      </w:pPr>
      <w:r>
        <w:rPr>
          <w:i/>
          <w:color w:val="999999"/>
          <w:sz w:val="20"/>
        </w:rPr>
        <w:br/>
        <w:t>[ Insert Screenshot ]</w:t>
        <w:br/>
      </w:r>
    </w:p>
    <w:p>
      <w:pPr>
        <w:spacing w:after="80"/>
        <w:jc w:val="center"/>
      </w:pPr>
      <w:r>
        <w:rPr>
          <w:i/>
          <w:color w:val="666666"/>
          <w:sz w:val="18"/>
        </w:rPr>
        <w:t>Fig 10.5: Challenge Panel with hints, attack steps, and completion button</w:t>
      </w:r>
    </w:p>
    <w:p>
      <w:pPr>
        <w:spacing w:before="80" w:after="0"/>
        <w:jc w:val="center"/>
        <w:pBdr>
          <w:top w:val="single" w:sz="4" w:space="6" w:color="AAAAAA"/>
          <w:left w:val="single" w:sz="4" w:space="6" w:color="AAAAAA"/>
          <w:bottom w:val="single" w:sz="4" w:space="6" w:color="AAAAAA"/>
          <w:right w:val="single" w:sz="4" w:space="6" w:color="AAAAAA"/>
        </w:pBdr>
      </w:pPr>
      <w:r>
        <w:rPr>
          <w:i/>
          <w:color w:val="999999"/>
          <w:sz w:val="20"/>
        </w:rPr>
        <w:br/>
        <w:t>[ Insert Screenshot ]</w:t>
        <w:br/>
      </w:r>
    </w:p>
    <w:p>
      <w:pPr>
        <w:spacing w:after="80"/>
        <w:jc w:val="center"/>
      </w:pPr>
      <w:r>
        <w:rPr>
          <w:i/>
          <w:color w:val="666666"/>
          <w:sz w:val="18"/>
        </w:rPr>
        <w:t>Fig 10.6: Attack Dashboard — step-by-step reentrancy exploit</w:t>
      </w:r>
    </w:p>
    <w:p>
      <w:pPr>
        <w:spacing w:before="80" w:after="0"/>
        <w:jc w:val="center"/>
        <w:pBdr>
          <w:top w:val="single" w:sz="4" w:space="6" w:color="AAAAAA"/>
          <w:left w:val="single" w:sz="4" w:space="6" w:color="AAAAAA"/>
          <w:bottom w:val="single" w:sz="4" w:space="6" w:color="AAAAAA"/>
          <w:right w:val="single" w:sz="4" w:space="6" w:color="AAAAAA"/>
        </w:pBdr>
      </w:pPr>
      <w:r>
        <w:rPr>
          <w:i/>
          <w:color w:val="999999"/>
          <w:sz w:val="20"/>
        </w:rPr>
        <w:br/>
        <w:t>[ Insert Screenshot ]</w:t>
        <w:br/>
      </w:r>
    </w:p>
    <w:p>
      <w:pPr>
        <w:spacing w:after="80"/>
        <w:jc w:val="center"/>
      </w:pPr>
      <w:r>
        <w:rPr>
          <w:i/>
          <w:color w:val="666666"/>
          <w:sz w:val="18"/>
        </w:rPr>
        <w:t>Fig 10.7: Security Insights — vulnerability explanation, CEI pattern, DAO hack reference</w:t>
      </w:r>
    </w:p>
    <w:p>
      <w:pPr>
        <w:spacing w:before="80" w:after="0"/>
        <w:jc w:val="center"/>
        <w:pBdr>
          <w:top w:val="single" w:sz="4" w:space="6" w:color="AAAAAA"/>
          <w:left w:val="single" w:sz="4" w:space="6" w:color="AAAAAA"/>
          <w:bottom w:val="single" w:sz="4" w:space="6" w:color="AAAAAA"/>
          <w:right w:val="single" w:sz="4" w:space="6" w:color="AAAAAA"/>
        </w:pBdr>
      </w:pPr>
      <w:r>
        <w:rPr>
          <w:i/>
          <w:color w:val="999999"/>
          <w:sz w:val="20"/>
        </w:rPr>
        <w:br/>
        <w:t>[ Insert Screenshot ]</w:t>
        <w:br/>
      </w:r>
    </w:p>
    <w:p>
      <w:pPr>
        <w:spacing w:after="80"/>
        <w:jc w:val="center"/>
      </w:pPr>
      <w:r>
        <w:rPr>
          <w:i/>
          <w:color w:val="666666"/>
          <w:sz w:val="18"/>
        </w:rPr>
        <w:t>Fig 10.8: Leaderboard rankings</w:t>
      </w:r>
    </w:p>
    <w:p>
      <w:r>
        <w:br w:type="page"/>
      </w:r>
    </w:p>
    <w:p>
      <w:pPr>
        <w:pStyle w:val="Heading1"/>
      </w:pPr>
      <w:r>
        <w:t>11. Future Enhancements</w:t>
      </w:r>
    </w:p>
    <w:p>
      <w:pPr>
        <w:spacing w:before="0" w:after="40"/>
        <w:pBdr>
          <w:bottom w:val="single" w:sz="4" w:space="1" w:color="999999"/>
        </w:pBdr>
      </w:pPr>
    </w:p>
    <w:p>
      <w:pPr>
        <w:pStyle w:val="ListBullet"/>
        <w:spacing w:after="20" w:before="0"/>
      </w:pPr>
      <w:r>
        <w:rPr>
          <w:sz w:val="22"/>
        </w:rPr>
        <w:t>New levels: flash loan attacks, front-running/MEV, oracle manipulation, signature replay, proxy hijacking.</w:t>
      </w:r>
    </w:p>
    <w:p>
      <w:pPr>
        <w:pStyle w:val="ListBullet"/>
        <w:spacing w:after="20" w:before="0"/>
      </w:pPr>
      <w:r>
        <w:rPr>
          <w:sz w:val="22"/>
        </w:rPr>
        <w:t>Full solc-js Web Worker compilation with version selection and optimization settings.</w:t>
      </w:r>
    </w:p>
    <w:p>
      <w:pPr>
        <w:pStyle w:val="ListBullet"/>
        <w:spacing w:after="20" w:before="0"/>
      </w:pPr>
      <w:r>
        <w:rPr>
          <w:sz w:val="22"/>
        </w:rPr>
        <w:t>Attack replay animation with visual state transition diagrams.</w:t>
      </w:r>
    </w:p>
    <w:p>
      <w:pPr>
        <w:pStyle w:val="ListBullet"/>
        <w:spacing w:after="20" w:before="0"/>
      </w:pPr>
      <w:r>
        <w:rPr>
          <w:sz w:val="22"/>
        </w:rPr>
        <w:t>Firebase backend for cloud-synced accounts, global leaderboard, instructor analytics.</w:t>
      </w:r>
    </w:p>
    <w:p>
      <w:pPr>
        <w:pStyle w:val="ListBullet"/>
        <w:spacing w:after="20" w:before="0"/>
      </w:pPr>
      <w:r>
        <w:rPr>
          <w:sz w:val="22"/>
        </w:rPr>
        <w:t>Multi-chain support: Polygon Amoy, Arbitrum Sepolia, Base Sepolia.</w:t>
      </w:r>
    </w:p>
    <w:p>
      <w:pPr>
        <w:pStyle w:val="ListBullet"/>
        <w:spacing w:after="20" w:before="0"/>
      </w:pPr>
      <w:r>
        <w:rPr>
          <w:sz w:val="22"/>
        </w:rPr>
        <w:t>On-chain ERC-721 completion certificates as verifiable credentials.</w:t>
      </w:r>
    </w:p>
    <w:p>
      <w:pPr>
        <w:pStyle w:val="ListBullet"/>
        <w:spacing w:after="20" w:before="0"/>
      </w:pPr>
      <w:r>
        <w:rPr>
          <w:sz w:val="22"/>
        </w:rPr>
        <w:t>Slither/Mythril integration: run automated scans on user code directly from the browser.</w:t>
      </w:r>
    </w:p>
    <w:p>
      <w:pPr>
        <w:pStyle w:val="Heading1"/>
      </w:pPr>
      <w:r>
        <w:t>12. Conclusion</w:t>
      </w:r>
    </w:p>
    <w:p>
      <w:pPr>
        <w:spacing w:before="0" w:after="40"/>
        <w:pBdr>
          <w:bottom w:val="single" w:sz="4" w:space="1" w:color="999999"/>
        </w:pBdr>
      </w:pPr>
    </w:p>
    <w:p>
      <w:r>
        <w:t>The smart contract security crisis is an education crisis — over $6 billion lost to well-known, preventable vulnerability classes. Web3 Security Lab addresses this by providing an interactive platform where learners exploit vulnerable contracts on Sepolia, then immediately study the defensive patterns that prevent each attack. The "learn by breaking" pedagogy mirrors professional auditing methodology and produces deeper understanding than passive instruction.</w:t>
      </w:r>
    </w:p>
    <w:p>
      <w:r>
        <w:t>Five challenge levels cover the most impactful vulnerability classes (Reentrancy, Access Control, Delegatecall, Integer Overflow, Selfdestruct) with compilable Solidity contracts, guided step-by-step attacks, progressive hints, and comprehensive security education. The security tool demonstrations (Slither, Mythril, OWASP ZAP, Nmap) extend learning to automated vulnerability assessment. Built on modular React/Vite/TypeScript architecture with 29 source files, new levels require only a single new module. Direct mapping to Module 3.1 and Module 3.4 makes the platform suitable for academic integration. In an ecosystem where one line of insecure code causes millions in irreversible losses, hands-on security education is not optional — it is an imperative.</w:t>
      </w:r>
    </w:p>
    <w:p>
      <w:pPr>
        <w:pStyle w:val="Heading1"/>
      </w:pPr>
      <w:r>
        <w:t>13. References</w:t>
      </w:r>
    </w:p>
    <w:p>
      <w:pPr>
        <w:spacing w:before="0" w:after="40"/>
        <w:pBdr>
          <w:bottom w:val="single" w:sz="4" w:space="1" w:color="999999"/>
        </w:pBdr>
      </w:pPr>
    </w:p>
    <w:p>
      <w:r>
        <w:rPr>
          <w:b/>
          <w:sz w:val="18"/>
        </w:rPr>
        <w:t xml:space="preserve">[1] </w:t>
      </w:r>
      <w:r>
        <w:rPr>
          <w:sz w:val="18"/>
        </w:rPr>
        <w:t>Atzei, N., Bartoletti, M., &amp; Cimoli, T. (2017). "A Survey of Attacks on Ethereum Smart Contracts." Intl. Conf. Principles of Security and Trust, pp. 164-186.</w:t>
      </w:r>
    </w:p>
    <w:p>
      <w:r>
        <w:rPr>
          <w:b/>
          <w:sz w:val="18"/>
        </w:rPr>
        <w:t xml:space="preserve">[2] </w:t>
      </w:r>
      <w:r>
        <w:rPr>
          <w:sz w:val="18"/>
        </w:rPr>
        <w:t>Nakamoto, S. (2008). "Bitcoin: A Peer-to-Peer Electronic Cash System." bitcoin.org/bitcoin.pdf</w:t>
      </w:r>
    </w:p>
    <w:p>
      <w:r>
        <w:rPr>
          <w:b/>
          <w:sz w:val="18"/>
        </w:rPr>
        <w:t xml:space="preserve">[3] </w:t>
      </w:r>
      <w:r>
        <w:rPr>
          <w:sz w:val="18"/>
        </w:rPr>
        <w:t>Buterin, V. (2013). "Ethereum: A Next-Generation Smart Contract and Decentralized Application Platform."</w:t>
      </w:r>
    </w:p>
    <w:p>
      <w:r>
        <w:rPr>
          <w:b/>
          <w:sz w:val="18"/>
        </w:rPr>
        <w:t xml:space="preserve">[4] </w:t>
      </w:r>
      <w:r>
        <w:rPr>
          <w:sz w:val="18"/>
        </w:rPr>
        <w:t>Praitheeshan, P. et al. (2019). "Security Analysis Methods on Ethereum Smart Contract Vulnerabilities." arXiv:1908.08605.</w:t>
      </w:r>
    </w:p>
    <w:p>
      <w:r>
        <w:rPr>
          <w:b/>
          <w:sz w:val="18"/>
        </w:rPr>
        <w:t xml:space="preserve">[5] </w:t>
      </w:r>
      <w:r>
        <w:rPr>
          <w:sz w:val="18"/>
        </w:rPr>
        <w:t>SWC Registry. (2024). "Smart Contract Weakness Classification." swcregistry.io</w:t>
      </w:r>
    </w:p>
    <w:p>
      <w:r>
        <w:rPr>
          <w:b/>
          <w:sz w:val="18"/>
        </w:rPr>
        <w:t xml:space="preserve">[6] </w:t>
      </w:r>
      <w:r>
        <w:rPr>
          <w:sz w:val="18"/>
        </w:rPr>
        <w:t>OpenZeppelin. (2023). "Ethernaut." ethernaut.openzeppelin.com</w:t>
      </w:r>
    </w:p>
    <w:p>
      <w:r>
        <w:rPr>
          <w:b/>
          <w:sz w:val="18"/>
        </w:rPr>
        <w:t xml:space="preserve">[7] </w:t>
      </w:r>
      <w:r>
        <w:rPr>
          <w:sz w:val="18"/>
        </w:rPr>
        <w:t>Trail of Bits. (2024). "Slither: Solidity Static Analysis." github.com/crytic/slither</w:t>
      </w:r>
    </w:p>
    <w:p>
      <w:r>
        <w:rPr>
          <w:b/>
          <w:sz w:val="18"/>
        </w:rPr>
        <w:t xml:space="preserve">[8] </w:t>
      </w:r>
      <w:r>
        <w:rPr>
          <w:sz w:val="18"/>
        </w:rPr>
        <w:t>ConsenSys. (2024). "Mythril: EVM Security Analysis." github.com/ConsenSys/mythril</w:t>
      </w:r>
    </w:p>
    <w:p>
      <w:r>
        <w:rPr>
          <w:b/>
          <w:sz w:val="18"/>
        </w:rPr>
        <w:t xml:space="preserve">[9] </w:t>
      </w:r>
      <w:r>
        <w:rPr>
          <w:sz w:val="18"/>
        </w:rPr>
        <w:t>OWASP. (2024). "ZAP — Zed Attack Proxy." zaproxy.org</w:t>
      </w:r>
    </w:p>
    <w:p>
      <w:r>
        <w:rPr>
          <w:b/>
          <w:sz w:val="18"/>
        </w:rPr>
        <w:t xml:space="preserve">[10] </w:t>
      </w:r>
      <w:r>
        <w:rPr>
          <w:sz w:val="18"/>
        </w:rPr>
        <w:t>Nmap Project. (2024). "Nmap Network Scanner." nmap.org</w:t>
      </w:r>
    </w:p>
    <w:p>
      <w:r>
        <w:rPr>
          <w:b/>
          <w:sz w:val="18"/>
        </w:rPr>
        <w:t xml:space="preserve">[11] </w:t>
      </w:r>
      <w:r>
        <w:rPr>
          <w:sz w:val="18"/>
        </w:rPr>
        <w:t>Ethereum Foundation. (2024). "ethers.js v6." docs.ethers.org/v6</w:t>
      </w:r>
    </w:p>
    <w:p>
      <w:r>
        <w:rPr>
          <w:b/>
          <w:sz w:val="18"/>
        </w:rPr>
        <w:t xml:space="preserve">[12] </w:t>
      </w:r>
      <w:r>
        <w:rPr>
          <w:sz w:val="18"/>
        </w:rPr>
        <w:t>EIP-1967: Proxy Storage Slots. (2019). eips.ethereum.org/EIPS/eip-1967</w:t>
      </w:r>
    </w:p>
    <w:p>
      <w:r>
        <w:rPr>
          <w:b/>
          <w:sz w:val="18"/>
        </w:rPr>
        <w:t xml:space="preserve">[13] </w:t>
      </w:r>
      <w:r>
        <w:rPr>
          <w:sz w:val="18"/>
        </w:rPr>
        <w:t>ConsenSys. (2024). "Smart Contract Best Practices." consensys.github.io/smart-contract-best-practices</w:t>
      </w:r>
    </w:p>
    <w:p>
      <w:r>
        <w:rPr>
          <w:b/>
          <w:sz w:val="18"/>
        </w:rPr>
        <w:t xml:space="preserve">[14] </w:t>
      </w:r>
      <w:r>
        <w:rPr>
          <w:sz w:val="18"/>
        </w:rPr>
        <w:t>Solidity Documentation. (2024). "Security Considerations." docs.soliditylang.org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59"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40"/>
      <w:outlineLvl w:val="0"/>
    </w:pPr>
    <w:rPr>
      <w:rFonts w:asciiTheme="majorHAnsi" w:eastAsiaTheme="majorEastAsia" w:hAnsiTheme="majorHAnsi" w:cstheme="majorBidi" w:ascii="Calibri" w:hAnsi="Calibr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Calibri" w:hAnsi="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