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color w:val="353535"/>
          <w:rtl w:val="0"/>
        </w:rPr>
        <w:t xml:space="preserve">As winter continues, the USG agenda has been filled to the brim. Elections for new parliamentarians, VP, and constitution ended February 28th, ushering in new energy and faces.  These results also indicated student interest in current President Nouria’s resignation, but the weight of this result is hindered by limited student voting and no formal word from the USG on upcoming procedures. Proposed changes in the IRPH curriculum were discussed at an emergency roundtable meeting, which made clear student dissatisfaction with the removal of courses and name changes. This ultimately led to the postponement of the acceptance of these changes in the Academic Board on February 28th. Under the new Constitution; the Internal, External and Campus Affairs committees were consolidated into the Campus Affairs Committee, which seeks to actively engage in community improvement. The AAC is currently tackling multiple projects: Triangle Course assessments, the Grading System, the President’s List and Student involvement in the Hiring Committee. Despite complaints about the Finals Schedule, the AAC determined this issue is not only bureaucratic, but outside the scope of the committee to change. It is highly suggested to approach individual teachers as the formal schedule is unlikely to see an earlier release date. As students wait for spring, it is the perfect opportunity to engage in on-campus politics and be a part of change!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