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B30"/>
          <w:sz w:val="20"/>
        </w:rPr>
        <w:t>DotKAM</w:t>
      </w:r>
    </w:p>
    <w:p>
      <w:pPr>
        <w:pStyle w:val="Title"/>
      </w:pPr>
      <w:r>
        <w:t>User Guide</w:t>
      </w:r>
    </w:p>
    <w:p>
      <w:r>
        <w:rPr>
          <w:color w:val="756A5E"/>
          <w:sz w:val="22"/>
        </w:rPr>
        <w:t>Updated operating guide for DotKAM portfolio management, onboarding, account workspaces, AI assistance, and governance workflows.</w:t>
      </w:r>
    </w:p>
    <w:p/>
    <w:p>
      <w:pPr>
        <w:pStyle w:val="Heading1"/>
      </w:pPr>
      <w:r>
        <w:t>1. Product Overview</w:t>
      </w:r>
    </w:p>
    <w:p>
      <w:r>
        <w:t>DotKAM is the Tkxel KAM operating workspace for portfolio visibility, account health, journey planning, document intelligence, and AI-assisted account management. The app is designed around three user roles: Associate, KAM, and C-Level.</w:t>
      </w:r>
    </w:p>
    <w:p>
      <w:pPr>
        <w:pStyle w:val="Heading1"/>
      </w:pPr>
      <w:r>
        <w:t>2. Roles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F2E8D9"/>
            <w:vAlign w:val="center"/>
          </w:tcPr>
          <w:p>
            <w:r/>
            <w:r>
              <w:rPr>
                <w:rFonts w:ascii="Aptos" w:hAnsi="Aptos"/>
                <w:b/>
                <w:color w:val="1F3028"/>
                <w:sz w:val="18"/>
              </w:rPr>
              <w:t>Role</w:t>
            </w:r>
          </w:p>
        </w:tc>
        <w:tc>
          <w:tcPr>
            <w:tcW w:type="dxa" w:w="3600"/>
            <w:shd w:fill="F2E8D9"/>
            <w:vAlign w:val="center"/>
          </w:tcPr>
          <w:p>
            <w:r/>
            <w:r>
              <w:rPr>
                <w:rFonts w:ascii="Aptos" w:hAnsi="Aptos"/>
                <w:b/>
                <w:color w:val="1F3028"/>
                <w:sz w:val="18"/>
              </w:rPr>
              <w:t>What they see</w:t>
            </w:r>
          </w:p>
        </w:tc>
        <w:tc>
          <w:tcPr>
            <w:tcW w:type="dxa" w:w="4752"/>
            <w:shd w:fill="F2E8D9"/>
            <w:vAlign w:val="center"/>
          </w:tcPr>
          <w:p>
            <w:r/>
            <w:r>
              <w:rPr>
                <w:rFonts w:ascii="Aptos" w:hAnsi="Aptos"/>
                <w:b/>
                <w:color w:val="1F3028"/>
                <w:sz w:val="18"/>
              </w:rPr>
              <w:t>Primary actions</w:t>
            </w:r>
          </w:p>
        </w:tc>
      </w:tr>
      <w:tr>
        <w:tc>
          <w:tcPr>
            <w:tcW w:type="dxa" w:w="1728"/>
            <w:vAlign w:val="top"/>
          </w:tcPr>
          <w:p>
            <w:r/>
            <w:r>
              <w:rPr>
                <w:rFonts w:ascii="Aptos" w:hAnsi="Aptos"/>
                <w:b w:val="0"/>
                <w:color w:val="1F3028"/>
                <w:sz w:val="18"/>
              </w:rPr>
              <w:t>Associate</w:t>
            </w:r>
          </w:p>
        </w:tc>
        <w:tc>
          <w:tcPr>
            <w:tcW w:type="dxa" w:w="3600"/>
            <w:vAlign w:val="top"/>
          </w:tcPr>
          <w:p>
            <w:r/>
            <w:r>
              <w:rPr>
                <w:rFonts w:ascii="Aptos" w:hAnsi="Aptos"/>
                <w:b w:val="0"/>
                <w:color w:val="1F3028"/>
                <w:sz w:val="18"/>
              </w:rPr>
              <w:t>Accounts assigned by a KAM.</w:t>
            </w:r>
          </w:p>
        </w:tc>
        <w:tc>
          <w:tcPr>
            <w:tcW w:type="dxa" w:w="4752"/>
            <w:vAlign w:val="top"/>
          </w:tcPr>
          <w:p>
            <w:r/>
            <w:r>
              <w:rPr>
                <w:rFonts w:ascii="Aptos" w:hAnsi="Aptos"/>
                <w:b w:val="0"/>
                <w:color w:val="1F3028"/>
                <w:sz w:val="18"/>
              </w:rPr>
              <w:t>Prepare account drafts, request updates, maintain contacts/resources, upload documents, and request approvals.</w:t>
            </w:r>
          </w:p>
        </w:tc>
      </w:tr>
      <w:tr>
        <w:tc>
          <w:tcPr>
            <w:tcW w:type="dxa" w:w="1728"/>
            <w:vAlign w:val="top"/>
          </w:tcPr>
          <w:p>
            <w:r/>
            <w:r>
              <w:rPr>
                <w:rFonts w:ascii="Aptos" w:hAnsi="Aptos"/>
                <w:b w:val="0"/>
                <w:color w:val="1F3028"/>
                <w:sz w:val="18"/>
              </w:rPr>
              <w:t>KAM</w:t>
            </w:r>
          </w:p>
        </w:tc>
        <w:tc>
          <w:tcPr>
            <w:tcW w:type="dxa" w:w="3600"/>
            <w:vAlign w:val="top"/>
          </w:tcPr>
          <w:p>
            <w:r/>
            <w:r>
              <w:rPr>
                <w:rFonts w:ascii="Aptos" w:hAnsi="Aptos"/>
                <w:b w:val="0"/>
                <w:color w:val="1F3028"/>
                <w:sz w:val="18"/>
              </w:rPr>
              <w:t>Accounts owned by the KAM plus associate submissions.</w:t>
            </w:r>
          </w:p>
        </w:tc>
        <w:tc>
          <w:tcPr>
            <w:tcW w:type="dxa" w:w="4752"/>
            <w:vAlign w:val="top"/>
          </w:tcPr>
          <w:p>
            <w:r/>
            <w:r>
              <w:rPr>
                <w:rFonts w:ascii="Aptos" w:hAnsi="Aptos"/>
                <w:b w:val="0"/>
                <w:color w:val="1F3028"/>
                <w:sz w:val="18"/>
              </w:rPr>
              <w:t>Create accounts directly, approve or deny associate requests, update scoring, manage allocations, and finalize KYC/document updates.</w:t>
            </w:r>
          </w:p>
        </w:tc>
      </w:tr>
      <w:tr>
        <w:tc>
          <w:tcPr>
            <w:tcW w:type="dxa" w:w="1728"/>
            <w:vAlign w:val="top"/>
          </w:tcPr>
          <w:p>
            <w:r/>
            <w:r>
              <w:rPr>
                <w:rFonts w:ascii="Aptos" w:hAnsi="Aptos"/>
                <w:b w:val="0"/>
                <w:color w:val="1F3028"/>
                <w:sz w:val="18"/>
              </w:rPr>
              <w:t>C-Level</w:t>
            </w:r>
          </w:p>
        </w:tc>
        <w:tc>
          <w:tcPr>
            <w:tcW w:type="dxa" w:w="3600"/>
            <w:vAlign w:val="top"/>
          </w:tcPr>
          <w:p>
            <w:r/>
            <w:r>
              <w:rPr>
                <w:rFonts w:ascii="Aptos" w:hAnsi="Aptos"/>
                <w:b w:val="0"/>
                <w:color w:val="1F3028"/>
                <w:sz w:val="18"/>
              </w:rPr>
              <w:t>Organization-level portfolio view.</w:t>
            </w:r>
          </w:p>
        </w:tc>
        <w:tc>
          <w:tcPr>
            <w:tcW w:type="dxa" w:w="4752"/>
            <w:vAlign w:val="top"/>
          </w:tcPr>
          <w:p>
            <w:r/>
            <w:r>
              <w:rPr>
                <w:rFonts w:ascii="Aptos" w:hAnsi="Aptos"/>
                <w:b w:val="0"/>
                <w:color w:val="1F3028"/>
                <w:sz w:val="18"/>
              </w:rPr>
              <w:t>Read across the portfolio, review high-level performance, and invite KAM users where enabled.</w:t>
            </w:r>
          </w:p>
        </w:tc>
      </w:tr>
    </w:tbl>
    <w:p/>
    <w:p>
      <w:pPr>
        <w:pStyle w:val="Heading1"/>
      </w:pPr>
      <w:r>
        <w:t>3. Sign In</w:t>
      </w:r>
    </w:p>
    <w:p>
      <w:pPr>
        <w:pStyle w:val="ListNumber"/>
      </w:pPr>
      <w:r>
        <w:t>Open the app and land on the DotKAM sign-in page.</w:t>
      </w:r>
    </w:p>
    <w:p>
      <w:pPr>
        <w:pStyle w:val="ListNumber"/>
      </w:pPr>
      <w:r>
        <w:t>Use email and password, or select one of the demo account type buttons to populate credentials.</w:t>
      </w:r>
    </w:p>
    <w:p>
      <w:pPr>
        <w:pStyle w:val="ListNumber"/>
      </w:pPr>
      <w:r>
        <w:t>Use Forgot password when a reset flow needs to be tested.</w:t>
      </w:r>
    </w:p>
    <w:p>
      <w:pPr>
        <w:pStyle w:val="ListNumber"/>
      </w:pPr>
      <w:r>
        <w:t>After login, the role-aware workspace opens. Background music can be disabled in Settings.</w:t>
      </w:r>
    </w:p>
    <w:p>
      <w:pPr>
        <w:pStyle w:val="Heading1"/>
      </w:pPr>
      <w:r>
        <w:t>4. Navigation</w:t>
      </w:r>
    </w:p>
    <w:p>
      <w:pPr>
        <w:pStyle w:val="ListBullet"/>
      </w:pPr>
      <w:r>
        <w:t>Sidebar: Home, Portfolio, Templates, Account Journey Configuration, and Settings.</w:t>
      </w:r>
    </w:p>
    <w:p>
      <w:pPr>
        <w:pStyle w:val="ListBullet"/>
      </w:pPr>
      <w:r>
        <w:t>Top bar: role switcher, notifications, and user avatar dropdown.</w:t>
      </w:r>
    </w:p>
    <w:p>
      <w:pPr>
        <w:pStyle w:val="ListBullet"/>
      </w:pPr>
      <w:r>
        <w:t>Avatar menu: My Profile and Log out.</w:t>
      </w:r>
    </w:p>
    <w:p>
      <w:pPr>
        <w:pStyle w:val="ListBullet"/>
      </w:pPr>
      <w:r>
        <w:t>Notifications: opens route-aware alerts for approvals, score movement, playbook events, and account-specific items.</w:t>
      </w:r>
    </w:p>
    <w:p>
      <w:pPr>
        <w:pStyle w:val="Heading1"/>
      </w:pPr>
      <w:r>
        <w:t>5. Home</w:t>
      </w:r>
    </w:p>
    <w:p>
      <w:pPr>
        <w:pStyle w:val="ListBullet"/>
      </w:pPr>
      <w:r>
        <w:t>Topline cards show Healthy accounts, At risk accounts, Critical accounts, and Renewals under 90 days.</w:t>
      </w:r>
    </w:p>
    <w:p>
      <w:pPr>
        <w:pStyle w:val="ListBullet"/>
      </w:pPr>
      <w:r>
        <w:t>Cards are compact by default. Expanding a card opens a focused popout view without resizing the rest of the grid.</w:t>
      </w:r>
    </w:p>
    <w:p>
      <w:pPr>
        <w:pStyle w:val="ListBullet"/>
      </w:pPr>
      <w:r>
        <w:t>Account names inside expanded cards route to the relevant Account Workspace.</w:t>
      </w:r>
    </w:p>
    <w:p>
      <w:pPr>
        <w:pStyle w:val="ListBullet"/>
      </w:pPr>
      <w:r>
        <w:t>Calendar supports Month and Timeline views. The same tasks appear in both views.</w:t>
      </w:r>
    </w:p>
    <w:p>
      <w:pPr>
        <w:pStyle w:val="ListBullet"/>
      </w:pPr>
      <w:r>
        <w:t>Timeline view is the default and uses a horizontal timeline style with day cards.</w:t>
      </w:r>
    </w:p>
    <w:p>
      <w:pPr>
        <w:pStyle w:val="ListBullet"/>
      </w:pPr>
      <w:r>
        <w:t>Task cards support Done and Dismiss actions, both requiring a reason.</w:t>
      </w:r>
    </w:p>
    <w:p>
      <w:pPr>
        <w:pStyle w:val="Heading1"/>
      </w:pPr>
      <w:r>
        <w:t>6. Portfolio</w:t>
      </w:r>
    </w:p>
    <w:p>
      <w:pPr>
        <w:pStyle w:val="ListBullet"/>
      </w:pPr>
      <w:r>
        <w:t>Portfolio shows the accounts visible for the active role.</w:t>
      </w:r>
    </w:p>
    <w:p>
      <w:pPr>
        <w:pStyle w:val="ListBullet"/>
      </w:pPr>
      <w:r>
        <w:t>Search supports account name, industry, and contact name.</w:t>
      </w:r>
    </w:p>
    <w:p>
      <w:pPr>
        <w:pStyle w:val="ListBullet"/>
      </w:pPr>
      <w:r>
        <w:t>Filters support All, Healthy, At Risk, and Critical.</w:t>
      </w:r>
    </w:p>
    <w:p>
      <w:pPr>
        <w:pStyle w:val="ListBullet"/>
      </w:pPr>
      <w:r>
        <w:t>KAM users see Pending account creations only when there are drafts or associate submissions waiting for review.</w:t>
      </w:r>
    </w:p>
    <w:p>
      <w:pPr>
        <w:pStyle w:val="ListBullet"/>
      </w:pPr>
      <w:r>
        <w:t>Selecting an account opens the full-page Account Workspace with a back button to return to Portfolio.</w:t>
      </w:r>
    </w:p>
    <w:p>
      <w:pPr>
        <w:pStyle w:val="Heading1"/>
      </w:pPr>
      <w:r>
        <w:t>7. Account Workspace</w:t>
      </w:r>
    </w:p>
    <w:p>
      <w:r>
        <w:t>Every account page has a persistent summary: account name, score out of 5, ARR, contract renewal date, logo, industry, location, and account owner.</w:t>
      </w:r>
    </w:p>
    <w:tbl>
      <w:tblPr>
        <w:tblStyle w:val="TableGrid"/>
        <w:tblW w:type="auto" w:w="0"/>
        <w:jc w:val="center"/>
        <w:tblLook w:firstColumn="1" w:firstRow="1" w:lastColumn="0" w:lastRow="0" w:noHBand="0" w:noVBand="1" w:val="04A0"/>
      </w:tblPr>
      <w:tblGrid>
        <w:gridCol w:w="3456"/>
        <w:gridCol w:w="3456"/>
        <w:gridCol w:w="3456"/>
      </w:tblGrid>
      <w:tr>
        <w:tc>
          <w:tcPr>
            <w:tcW w:type="dxa" w:w="1584"/>
            <w:shd w:fill="F2E8D9"/>
            <w:vAlign w:val="center"/>
          </w:tcPr>
          <w:p>
            <w:r/>
            <w:r>
              <w:rPr>
                <w:rFonts w:ascii="Aptos" w:hAnsi="Aptos"/>
                <w:b/>
                <w:color w:val="1F3028"/>
                <w:sz w:val="18"/>
              </w:rPr>
              <w:t>Tab</w:t>
            </w:r>
          </w:p>
        </w:tc>
        <w:tc>
          <w:tcPr>
            <w:tcW w:type="dxa" w:w="4464"/>
            <w:shd w:fill="F2E8D9"/>
            <w:vAlign w:val="center"/>
          </w:tcPr>
          <w:p>
            <w:r/>
            <w:r>
              <w:rPr>
                <w:rFonts w:ascii="Aptos" w:hAnsi="Aptos"/>
                <w:b/>
                <w:color w:val="1F3028"/>
                <w:sz w:val="18"/>
              </w:rPr>
              <w:t>Purpose</w:t>
            </w:r>
          </w:p>
        </w:tc>
        <w:tc>
          <w:tcPr>
            <w:tcW w:type="dxa" w:w="4608"/>
            <w:shd w:fill="F2E8D9"/>
            <w:vAlign w:val="center"/>
          </w:tcPr>
          <w:p>
            <w:r/>
            <w:r>
              <w:rPr>
                <w:rFonts w:ascii="Aptos" w:hAnsi="Aptos"/>
                <w:b/>
                <w:color w:val="1F3028"/>
                <w:sz w:val="18"/>
              </w:rPr>
              <w:t>Key actions</w:t>
            </w:r>
          </w:p>
        </w:tc>
      </w:tr>
      <w:tr>
        <w:tc>
          <w:tcPr>
            <w:tcW w:type="dxa" w:w="1584"/>
            <w:vAlign w:val="top"/>
          </w:tcPr>
          <w:p>
            <w:r/>
            <w:r>
              <w:rPr>
                <w:rFonts w:ascii="Aptos" w:hAnsi="Aptos"/>
                <w:b w:val="0"/>
                <w:color w:val="1F3028"/>
                <w:sz w:val="18"/>
              </w:rPr>
              <w:t>Overview</w:t>
            </w:r>
          </w:p>
        </w:tc>
        <w:tc>
          <w:tcPr>
            <w:tcW w:type="dxa" w:w="4464"/>
            <w:vAlign w:val="top"/>
          </w:tcPr>
          <w:p>
            <w:r/>
            <w:r>
              <w:rPr>
                <w:rFonts w:ascii="Aptos" w:hAnsi="Aptos"/>
                <w:b w:val="0"/>
                <w:color w:val="1F3028"/>
                <w:sz w:val="18"/>
              </w:rPr>
              <w:t>KPI health, sub-parameter scoring, why/task recommendations, score overrides, and weight settings.</w:t>
            </w:r>
          </w:p>
        </w:tc>
        <w:tc>
          <w:tcPr>
            <w:tcW w:type="dxa" w:w="4608"/>
            <w:vAlign w:val="top"/>
          </w:tcPr>
          <w:p>
            <w:r/>
            <w:r>
              <w:rPr>
                <w:rFonts w:ascii="Aptos" w:hAnsi="Aptos"/>
                <w:b w:val="0"/>
                <w:color w:val="1F3028"/>
                <w:sz w:val="18"/>
              </w:rPr>
              <w:t>Expand KPI rows, review AI suggestions, accept/deny tasks, request or save score changes, and adjust KPI weights.</w:t>
            </w:r>
          </w:p>
        </w:tc>
      </w:tr>
      <w:tr>
        <w:tc>
          <w:tcPr>
            <w:tcW w:type="dxa" w:w="1584"/>
            <w:vAlign w:val="top"/>
          </w:tcPr>
          <w:p>
            <w:r/>
            <w:r>
              <w:rPr>
                <w:rFonts w:ascii="Aptos" w:hAnsi="Aptos"/>
                <w:b w:val="0"/>
                <w:color w:val="1F3028"/>
                <w:sz w:val="18"/>
              </w:rPr>
              <w:t>Profile</w:t>
            </w:r>
          </w:p>
        </w:tc>
        <w:tc>
          <w:tcPr>
            <w:tcW w:type="dxa" w:w="4464"/>
            <w:vAlign w:val="top"/>
          </w:tcPr>
          <w:p>
            <w:r/>
            <w:r>
              <w:rPr>
                <w:rFonts w:ascii="Aptos" w:hAnsi="Aptos"/>
                <w:b w:val="0"/>
                <w:color w:val="1F3028"/>
                <w:sz w:val="18"/>
              </w:rPr>
              <w:t>Client contacts, Tkxel resources, and account journey timeline.</w:t>
            </w:r>
          </w:p>
        </w:tc>
        <w:tc>
          <w:tcPr>
            <w:tcW w:type="dxa" w:w="4608"/>
            <w:vAlign w:val="top"/>
          </w:tcPr>
          <w:p>
            <w:r/>
            <w:r>
              <w:rPr>
                <w:rFonts w:ascii="Aptos" w:hAnsi="Aptos"/>
                <w:b w:val="0"/>
                <w:color w:val="1F3028"/>
                <w:sz w:val="18"/>
              </w:rPr>
              <w:t>Add contacts/resources, request deletion, manage journey items, and mark items done or dismissed with reasons.</w:t>
            </w:r>
          </w:p>
        </w:tc>
      </w:tr>
      <w:tr>
        <w:tc>
          <w:tcPr>
            <w:tcW w:type="dxa" w:w="1584"/>
            <w:vAlign w:val="top"/>
          </w:tcPr>
          <w:p>
            <w:r/>
            <w:r>
              <w:rPr>
                <w:rFonts w:ascii="Aptos" w:hAnsi="Aptos"/>
                <w:b w:val="0"/>
                <w:color w:val="1F3028"/>
                <w:sz w:val="18"/>
              </w:rPr>
              <w:t>Documents</w:t>
            </w:r>
          </w:p>
        </w:tc>
        <w:tc>
          <w:tcPr>
            <w:tcW w:type="dxa" w:w="4464"/>
            <w:vAlign w:val="top"/>
          </w:tcPr>
          <w:p>
            <w:r/>
            <w:r>
              <w:rPr>
                <w:rFonts w:ascii="Aptos" w:hAnsi="Aptos"/>
                <w:b w:val="0"/>
                <w:color w:val="1F3028"/>
                <w:sz w:val="18"/>
              </w:rPr>
              <w:t>Uploaded documents, generated KYC drafts, document proposals, and document generation.</w:t>
            </w:r>
          </w:p>
        </w:tc>
        <w:tc>
          <w:tcPr>
            <w:tcW w:type="dxa" w:w="4608"/>
            <w:vAlign w:val="top"/>
          </w:tcPr>
          <w:p>
            <w:r/>
            <w:r>
              <w:rPr>
                <w:rFonts w:ascii="Aptos" w:hAnsi="Aptos"/>
                <w:b w:val="0"/>
                <w:color w:val="1F3028"/>
                <w:sz w:val="18"/>
              </w:rPr>
              <w:t>Upload documents, approve/deny document-derived updates, regenerate KYC, preview/download generated artifacts, and generate account documents.</w:t>
            </w:r>
          </w:p>
        </w:tc>
      </w:tr>
    </w:tbl>
    <w:p/>
    <w:p>
      <w:pPr>
        <w:pStyle w:val="Heading1"/>
      </w:pPr>
      <w:r>
        <w:t>8. New Account Creation</w:t>
      </w:r>
    </w:p>
    <w:p>
      <w:pPr>
        <w:pStyle w:val="ListNumber"/>
      </w:pPr>
      <w:r>
        <w:t>Click + Account on Portfolio.</w:t>
      </w:r>
    </w:p>
    <w:p>
      <w:pPr>
        <w:pStyle w:val="ListNumber"/>
      </w:pPr>
      <w:r>
        <w:t>Upload one or more source files. Supported onboarding uploads include docx, pdf, xlsx, and other accepted source formats.</w:t>
      </w:r>
    </w:p>
    <w:p>
      <w:pPr>
        <w:pStyle w:val="ListNumber"/>
      </w:pPr>
      <w:r>
        <w:t>The setup workspace opens with step-based onboarding: profile, scoring, KYC, journey, and review.</w:t>
      </w:r>
    </w:p>
    <w:p>
      <w:pPr>
        <w:pStyle w:val="ListNumber"/>
      </w:pPr>
      <w:r>
        <w:t>The setup assistant floats separately from the setup form and can parse files, ask for missing fields, propose changes, and apply approved instructions.</w:t>
      </w:r>
    </w:p>
    <w:p>
      <w:pPr>
        <w:pStyle w:val="ListNumber"/>
      </w:pPr>
      <w:r>
        <w:t>KYC sections are editable text fields during onboarding.</w:t>
      </w:r>
    </w:p>
    <w:p>
      <w:pPr>
        <w:pStyle w:val="ListNumber"/>
      </w:pPr>
      <w:r>
        <w:t>Journey items use the configured default journey template and translate relative offsets into account-specific dates.</w:t>
      </w:r>
    </w:p>
    <w:p>
      <w:pPr>
        <w:pStyle w:val="ListNumber"/>
      </w:pPr>
      <w:r>
        <w:t>Associates submit account creation for KAM review. KAMs can create directly or approve, edit, or deny associate submissions.</w:t>
      </w:r>
    </w:p>
    <w:p>
      <w:pPr>
        <w:pStyle w:val="Heading1"/>
      </w:pPr>
      <w:r>
        <w:t>9. Templates</w:t>
      </w:r>
    </w:p>
    <w:p>
      <w:r>
        <w:t>Templates define reusable source files for generated documents. Upload templates by document tag such as QBR, MBR, DBR, EBR, KYC, Account Brief, Renewal Plan, Risk Memo, or Executive Summary. Templates can influence documents generated by T Man and the Account Documents tab.</w:t>
      </w:r>
    </w:p>
    <w:p>
      <w:pPr>
        <w:pStyle w:val="Heading1"/>
      </w:pPr>
      <w:r>
        <w:t>10. Account Journey Configuration</w:t>
      </w:r>
    </w:p>
    <w:p>
      <w:pPr>
        <w:pStyle w:val="ListBullet"/>
      </w:pPr>
      <w:r>
        <w:t>Shows the default account journey as a horizontal timeline using relative offsets such as Day 0, Day 7, or Day 30 after account creation.</w:t>
      </w:r>
    </w:p>
    <w:p>
      <w:pPr>
        <w:pStyle w:val="ListBullet"/>
      </w:pPr>
      <w:r>
        <w:t>Manual CRUD supports add, edit, delete, recurrence, due offset, details, and task type.</w:t>
      </w:r>
    </w:p>
    <w:p>
      <w:pPr>
        <w:pStyle w:val="ListBullet"/>
      </w:pPr>
      <w:r>
        <w:t>Recurrence options include daily, weekly, bi-weekly, monthly, quarterly, and yearly.</w:t>
      </w:r>
    </w:p>
    <w:p>
      <w:pPr>
        <w:pStyle w:val="ListBullet"/>
      </w:pPr>
      <w:r>
        <w:t>Journey assistant proposes add/edit/remove diffs first. Users approve the change before it updates the draft journey.</w:t>
      </w:r>
    </w:p>
    <w:p>
      <w:pPr>
        <w:pStyle w:val="ListBullet"/>
      </w:pPr>
      <w:r>
        <w:t>Save applies the configuration; Cancel discards unsaved edits.</w:t>
      </w:r>
    </w:p>
    <w:p>
      <w:pPr>
        <w:pStyle w:val="Heading1"/>
      </w:pPr>
      <w:r>
        <w:t>11. Settings</w:t>
      </w:r>
    </w:p>
    <w:p>
      <w:pPr>
        <w:pStyle w:val="ListBullet"/>
      </w:pPr>
      <w:r>
        <w:t>Default KPI weights use sliders and must total 100 before saving.</w:t>
      </w:r>
    </w:p>
    <w:p>
      <w:pPr>
        <w:pStyle w:val="ListBullet"/>
      </w:pPr>
      <w:r>
        <w:t>KAM users can allocate and unallocate accounts to associates.</w:t>
      </w:r>
    </w:p>
    <w:p>
      <w:pPr>
        <w:pStyle w:val="ListBullet"/>
      </w:pPr>
      <w:r>
        <w:t>KAM users can invite or remove associates; C-Level users can invite KAM users.</w:t>
      </w:r>
    </w:p>
    <w:p>
      <w:pPr>
        <w:pStyle w:val="ListBullet"/>
      </w:pPr>
      <w:r>
        <w:t>KPI playbooks can be uploaded per KPI to support future recommendation logic.</w:t>
      </w:r>
    </w:p>
    <w:p>
      <w:pPr>
        <w:pStyle w:val="ListBullet"/>
      </w:pPr>
      <w:r>
        <w:t>AI rules playbook stores user-specific lessons from denial and dismissal reasons.</w:t>
      </w:r>
    </w:p>
    <w:p>
      <w:pPr>
        <w:pStyle w:val="ListBullet"/>
      </w:pPr>
      <w:r>
        <w:t>Integrations are shown as mock integrations: Salesforce, Gmail, Jira, Worksphere, finance invoice tracking, LLM, and AI note taker.</w:t>
      </w:r>
    </w:p>
    <w:p>
      <w:pPr>
        <w:pStyle w:val="ListBullet"/>
      </w:pPr>
      <w:r>
        <w:t>Audit trail is read-only and shown as a timeline.</w:t>
      </w:r>
    </w:p>
    <w:p>
      <w:pPr>
        <w:pStyle w:val="ListBullet"/>
      </w:pPr>
      <w:r>
        <w:t>Background music can be toggled off.</w:t>
      </w:r>
    </w:p>
    <w:p>
      <w:pPr>
        <w:pStyle w:val="Heading1"/>
      </w:pPr>
      <w:r>
        <w:t>12. T Man Assistant</w:t>
      </w:r>
    </w:p>
    <w:p>
      <w:pPr>
        <w:pStyle w:val="ListBullet"/>
      </w:pPr>
      <w:r>
        <w:t>T Man is the floating AI assistant available across the workspace.</w:t>
      </w:r>
    </w:p>
    <w:p>
      <w:pPr>
        <w:pStyle w:val="ListBullet"/>
      </w:pPr>
      <w:r>
        <w:t>It can answer portfolio/account questions, research the web when explicitly requested or approved, and generate documents.</w:t>
      </w:r>
    </w:p>
    <w:p>
      <w:pPr>
        <w:pStyle w:val="ListBullet"/>
      </w:pPr>
      <w:r>
        <w:t>If required inputs are missing, it asks clarifying questions before generating final documents.</w:t>
      </w:r>
    </w:p>
    <w:p>
      <w:pPr>
        <w:pStyle w:val="ListBullet"/>
      </w:pPr>
      <w:r>
        <w:t>Generated documents should avoid unknown or TBD placeholders unless the user explicitly accepts them.</w:t>
      </w:r>
    </w:p>
    <w:p>
      <w:pPr>
        <w:pStyle w:val="ListBullet"/>
      </w:pPr>
      <w:r>
        <w:t>The assistant supports attachment upload from the chat input where enabled.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30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0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0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0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0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