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B30"/>
          <w:sz w:val="20"/>
        </w:rPr>
        <w:t>DotKAM</w:t>
      </w:r>
    </w:p>
    <w:p>
      <w:pPr>
        <w:pStyle w:val="Title"/>
      </w:pPr>
      <w:r>
        <w:t>Technical Implementation</w:t>
      </w:r>
    </w:p>
    <w:p>
      <w:r>
        <w:rPr>
          <w:color w:val="756A5E"/>
          <w:sz w:val="22"/>
        </w:rPr>
        <w:t>Updated implementation reference for DotKAM V2, including app routes, data model, AI flows, document generation, and operational constraints.</w:t>
      </w:r>
    </w:p>
    <w:p/>
    <w:p>
      <w:pPr>
        <w:pStyle w:val="Heading1"/>
      </w:pPr>
      <w:r>
        <w:t>1. Stack</w:t>
      </w:r>
    </w:p>
    <w:tbl>
      <w:tblPr>
        <w:tblStyle w:val="TableGrid"/>
        <w:tblW w:type="auto" w:w="0"/>
        <w:jc w:val="center"/>
        <w:tblLook w:firstColumn="1" w:firstRow="1" w:lastColumn="0" w:lastRow="0" w:noHBand="0" w:noVBand="1" w:val="04A0"/>
      </w:tblPr>
      <w:tblGrid>
        <w:gridCol w:w="5184"/>
        <w:gridCol w:w="5184"/>
      </w:tblGrid>
      <w:tr>
        <w:tc>
          <w:tcPr>
            <w:tcW w:type="dxa" w:w="2160"/>
            <w:shd w:fill="F2E8D9"/>
            <w:vAlign w:val="center"/>
          </w:tcPr>
          <w:p>
            <w:r/>
            <w:r>
              <w:rPr>
                <w:rFonts w:ascii="Aptos" w:hAnsi="Aptos"/>
                <w:b/>
                <w:color w:val="1F3028"/>
                <w:sz w:val="18"/>
              </w:rPr>
              <w:t>Layer</w:t>
            </w:r>
          </w:p>
        </w:tc>
        <w:tc>
          <w:tcPr>
            <w:tcW w:type="dxa" w:w="8208"/>
            <w:shd w:fill="F2E8D9"/>
            <w:vAlign w:val="center"/>
          </w:tcPr>
          <w:p>
            <w:r/>
            <w:r>
              <w:rPr>
                <w:rFonts w:ascii="Aptos" w:hAnsi="Aptos"/>
                <w:b/>
                <w:color w:val="1F3028"/>
                <w:sz w:val="18"/>
              </w:rPr>
              <w:t>Implementation</w:t>
            </w:r>
          </w:p>
        </w:tc>
      </w:tr>
      <w:tr>
        <w:tc>
          <w:tcPr>
            <w:tcW w:type="dxa" w:w="2160"/>
            <w:vAlign w:val="top"/>
          </w:tcPr>
          <w:p>
            <w:r/>
            <w:r>
              <w:rPr>
                <w:rFonts w:ascii="Aptos" w:hAnsi="Aptos"/>
                <w:b w:val="0"/>
                <w:color w:val="1F3028"/>
                <w:sz w:val="18"/>
              </w:rPr>
              <w:t>Frontend</w:t>
            </w:r>
          </w:p>
        </w:tc>
        <w:tc>
          <w:tcPr>
            <w:tcW w:type="dxa" w:w="8208"/>
            <w:vAlign w:val="top"/>
          </w:tcPr>
          <w:p>
            <w:r/>
            <w:r>
              <w:rPr>
                <w:rFonts w:ascii="Aptos" w:hAnsi="Aptos"/>
                <w:b w:val="0"/>
                <w:color w:val="1F3028"/>
                <w:sz w:val="18"/>
              </w:rPr>
              <w:t>Next.js 15 App Router, React 19, TypeScript, Tailwind-style utility classes, Radix primitives, Lucide icons.</w:t>
            </w:r>
          </w:p>
        </w:tc>
      </w:tr>
      <w:tr>
        <w:tc>
          <w:tcPr>
            <w:tcW w:type="dxa" w:w="2160"/>
            <w:vAlign w:val="top"/>
          </w:tcPr>
          <w:p>
            <w:r/>
            <w:r>
              <w:rPr>
                <w:rFonts w:ascii="Aptos" w:hAnsi="Aptos"/>
                <w:b w:val="0"/>
                <w:color w:val="1F3028"/>
                <w:sz w:val="18"/>
              </w:rPr>
              <w:t>Backend</w:t>
            </w:r>
          </w:p>
        </w:tc>
        <w:tc>
          <w:tcPr>
            <w:tcW w:type="dxa" w:w="8208"/>
            <w:vAlign w:val="top"/>
          </w:tcPr>
          <w:p>
            <w:r/>
            <w:r>
              <w:rPr>
                <w:rFonts w:ascii="Aptos" w:hAnsi="Aptos"/>
                <w:b w:val="0"/>
                <w:color w:val="1F3028"/>
                <w:sz w:val="18"/>
              </w:rPr>
              <w:t>Next.js API routes under src/app/api, Prisma ORM, MySQL/Railway database connection.</w:t>
            </w:r>
          </w:p>
        </w:tc>
      </w:tr>
      <w:tr>
        <w:tc>
          <w:tcPr>
            <w:tcW w:type="dxa" w:w="2160"/>
            <w:vAlign w:val="top"/>
          </w:tcPr>
          <w:p>
            <w:r/>
            <w:r>
              <w:rPr>
                <w:rFonts w:ascii="Aptos" w:hAnsi="Aptos"/>
                <w:b w:val="0"/>
                <w:color w:val="1F3028"/>
                <w:sz w:val="18"/>
              </w:rPr>
              <w:t>AI</w:t>
            </w:r>
          </w:p>
        </w:tc>
        <w:tc>
          <w:tcPr>
            <w:tcW w:type="dxa" w:w="8208"/>
            <w:vAlign w:val="top"/>
          </w:tcPr>
          <w:p>
            <w:r/>
            <w:r>
              <w:rPr>
                <w:rFonts w:ascii="Aptos" w:hAnsi="Aptos"/>
                <w:b w:val="0"/>
                <w:color w:val="1F3028"/>
                <w:sz w:val="18"/>
              </w:rPr>
              <w:t>OpenAI-backed routes for assistant, document generation, onboarding, KYC regeneration, web research, and journey edits.</w:t>
            </w:r>
          </w:p>
        </w:tc>
      </w:tr>
      <w:tr>
        <w:tc>
          <w:tcPr>
            <w:tcW w:type="dxa" w:w="2160"/>
            <w:vAlign w:val="top"/>
          </w:tcPr>
          <w:p>
            <w:r/>
            <w:r>
              <w:rPr>
                <w:rFonts w:ascii="Aptos" w:hAnsi="Aptos"/>
                <w:b w:val="0"/>
                <w:color w:val="1F3028"/>
                <w:sz w:val="18"/>
              </w:rPr>
              <w:t>Documents</w:t>
            </w:r>
          </w:p>
        </w:tc>
        <w:tc>
          <w:tcPr>
            <w:tcW w:type="dxa" w:w="8208"/>
            <w:vAlign w:val="top"/>
          </w:tcPr>
          <w:p>
            <w:r/>
            <w:r>
              <w:rPr>
                <w:rFonts w:ascii="Aptos" w:hAnsi="Aptos"/>
                <w:b w:val="0"/>
                <w:color w:val="1F3028"/>
                <w:sz w:val="18"/>
              </w:rPr>
              <w:t>Server-side generation for docx, pptx, pdf, and xlsx where supported by the corresponding route and template context.</w:t>
            </w:r>
          </w:p>
        </w:tc>
      </w:tr>
      <w:tr>
        <w:tc>
          <w:tcPr>
            <w:tcW w:type="dxa" w:w="2160"/>
            <w:vAlign w:val="top"/>
          </w:tcPr>
          <w:p>
            <w:r/>
            <w:r>
              <w:rPr>
                <w:rFonts w:ascii="Aptos" w:hAnsi="Aptos"/>
                <w:b w:val="0"/>
                <w:color w:val="1F3028"/>
                <w:sz w:val="18"/>
              </w:rPr>
              <w:t>Storage</w:t>
            </w:r>
          </w:p>
        </w:tc>
        <w:tc>
          <w:tcPr>
            <w:tcW w:type="dxa" w:w="8208"/>
            <w:vAlign w:val="top"/>
          </w:tcPr>
          <w:p>
            <w:r/>
            <w:r>
              <w:rPr>
                <w:rFonts w:ascii="Aptos" w:hAnsi="Aptos"/>
                <w:b w:val="0"/>
                <w:color w:val="1F3028"/>
                <w:sz w:val="18"/>
              </w:rPr>
              <w:t>Local public uploads/generated documents for development; production must use writable /tmp or external object storage for durable files.</w:t>
            </w:r>
          </w:p>
        </w:tc>
      </w:tr>
    </w:tbl>
    <w:p/>
    <w:p>
      <w:pPr>
        <w:pStyle w:val="Heading1"/>
      </w:pPr>
      <w:r>
        <w:t>2. Main Routes</w:t>
      </w:r>
    </w:p>
    <w:tbl>
      <w:tblPr>
        <w:tblStyle w:val="TableGrid"/>
        <w:tblW w:type="auto" w:w="0"/>
        <w:jc w:val="center"/>
        <w:tblLook w:firstColumn="1" w:firstRow="1" w:lastColumn="0" w:lastRow="0" w:noHBand="0" w:noVBand="1" w:val="04A0"/>
      </w:tblPr>
      <w:tblGrid>
        <w:gridCol w:w="5184"/>
        <w:gridCol w:w="5184"/>
      </w:tblGrid>
      <w:tr>
        <w:tc>
          <w:tcPr>
            <w:tcW w:type="dxa" w:w="2880"/>
            <w:shd w:fill="F2E8D9"/>
            <w:vAlign w:val="center"/>
          </w:tcPr>
          <w:p>
            <w:r/>
            <w:r>
              <w:rPr>
                <w:rFonts w:ascii="Aptos" w:hAnsi="Aptos"/>
                <w:b/>
                <w:color w:val="1F3028"/>
                <w:sz w:val="18"/>
              </w:rPr>
              <w:t>Route</w:t>
            </w:r>
          </w:p>
        </w:tc>
        <w:tc>
          <w:tcPr>
            <w:tcW w:type="dxa" w:w="7488"/>
            <w:shd w:fill="F2E8D9"/>
            <w:vAlign w:val="center"/>
          </w:tcPr>
          <w:p>
            <w:r/>
            <w:r>
              <w:rPr>
                <w:rFonts w:ascii="Aptos" w:hAnsi="Aptos"/>
                <w:b/>
                <w:color w:val="1F3028"/>
                <w:sz w:val="18"/>
              </w:rPr>
              <w:t>Purpose</w:t>
            </w:r>
          </w:p>
        </w:tc>
      </w:tr>
      <w:tr>
        <w:tc>
          <w:tcPr>
            <w:tcW w:type="dxa" w:w="2880"/>
            <w:vAlign w:val="top"/>
          </w:tcPr>
          <w:p>
            <w:r/>
            <w:r>
              <w:rPr>
                <w:rFonts w:ascii="Aptos" w:hAnsi="Aptos"/>
                <w:b w:val="0"/>
                <w:color w:val="1F3028"/>
                <w:sz w:val="18"/>
              </w:rPr>
              <w:t>/login</w:t>
            </w:r>
          </w:p>
        </w:tc>
        <w:tc>
          <w:tcPr>
            <w:tcW w:type="dxa" w:w="7488"/>
            <w:vAlign w:val="top"/>
          </w:tcPr>
          <w:p>
            <w:r/>
            <w:r>
              <w:rPr>
                <w:rFonts w:ascii="Aptos" w:hAnsi="Aptos"/>
                <w:b w:val="0"/>
                <w:color w:val="1F3028"/>
                <w:sz w:val="18"/>
              </w:rPr>
              <w:t>Authentication page with demo account selectors and forgot-password path.</w:t>
            </w:r>
          </w:p>
        </w:tc>
      </w:tr>
      <w:tr>
        <w:tc>
          <w:tcPr>
            <w:tcW w:type="dxa" w:w="2880"/>
            <w:vAlign w:val="top"/>
          </w:tcPr>
          <w:p>
            <w:r/>
            <w:r>
              <w:rPr>
                <w:rFonts w:ascii="Aptos" w:hAnsi="Aptos"/>
                <w:b w:val="0"/>
                <w:color w:val="1F3028"/>
                <w:sz w:val="18"/>
              </w:rPr>
              <w:t>/home</w:t>
            </w:r>
          </w:p>
        </w:tc>
        <w:tc>
          <w:tcPr>
            <w:tcW w:type="dxa" w:w="7488"/>
            <w:vAlign w:val="top"/>
          </w:tcPr>
          <w:p>
            <w:r/>
            <w:r>
              <w:rPr>
                <w:rFonts w:ascii="Aptos" w:hAnsi="Aptos"/>
                <w:b w:val="0"/>
                <w:color w:val="1F3028"/>
                <w:sz w:val="18"/>
              </w:rPr>
              <w:t>Dashboard with account health cards and calendar/timeline action views.</w:t>
            </w:r>
          </w:p>
        </w:tc>
      </w:tr>
      <w:tr>
        <w:tc>
          <w:tcPr>
            <w:tcW w:type="dxa" w:w="2880"/>
            <w:vAlign w:val="top"/>
          </w:tcPr>
          <w:p>
            <w:r/>
            <w:r>
              <w:rPr>
                <w:rFonts w:ascii="Aptos" w:hAnsi="Aptos"/>
                <w:b w:val="0"/>
                <w:color w:val="1F3028"/>
                <w:sz w:val="18"/>
              </w:rPr>
              <w:t>/portfolio</w:t>
            </w:r>
          </w:p>
        </w:tc>
        <w:tc>
          <w:tcPr>
            <w:tcW w:type="dxa" w:w="7488"/>
            <w:vAlign w:val="top"/>
          </w:tcPr>
          <w:p>
            <w:r/>
            <w:r>
              <w:rPr>
                <w:rFonts w:ascii="Aptos" w:hAnsi="Aptos"/>
                <w:b w:val="0"/>
                <w:color w:val="1F3028"/>
                <w:sz w:val="18"/>
              </w:rPr>
              <w:t>Role-aware portfolio list, account creation entry point, and pending account creation review section.</w:t>
            </w:r>
          </w:p>
        </w:tc>
      </w:tr>
      <w:tr>
        <w:tc>
          <w:tcPr>
            <w:tcW w:type="dxa" w:w="2880"/>
            <w:vAlign w:val="top"/>
          </w:tcPr>
          <w:p>
            <w:r/>
            <w:r>
              <w:rPr>
                <w:rFonts w:ascii="Aptos" w:hAnsi="Aptos"/>
                <w:b w:val="0"/>
                <w:color w:val="1F3028"/>
                <w:sz w:val="18"/>
              </w:rPr>
              <w:t>/portfolio?account=...</w:t>
            </w:r>
          </w:p>
        </w:tc>
        <w:tc>
          <w:tcPr>
            <w:tcW w:type="dxa" w:w="7488"/>
            <w:vAlign w:val="top"/>
          </w:tcPr>
          <w:p>
            <w:r/>
            <w:r>
              <w:rPr>
                <w:rFonts w:ascii="Aptos" w:hAnsi="Aptos"/>
                <w:b w:val="0"/>
                <w:color w:val="1F3028"/>
                <w:sz w:val="18"/>
              </w:rPr>
              <w:t>Full-page Account Workspace for overview, profile, and documents.</w:t>
            </w:r>
          </w:p>
        </w:tc>
      </w:tr>
      <w:tr>
        <w:tc>
          <w:tcPr>
            <w:tcW w:type="dxa" w:w="2880"/>
            <w:vAlign w:val="top"/>
          </w:tcPr>
          <w:p>
            <w:r/>
            <w:r>
              <w:rPr>
                <w:rFonts w:ascii="Aptos" w:hAnsi="Aptos"/>
                <w:b w:val="0"/>
                <w:color w:val="1F3028"/>
                <w:sz w:val="18"/>
              </w:rPr>
              <w:t>/templates</w:t>
            </w:r>
          </w:p>
        </w:tc>
        <w:tc>
          <w:tcPr>
            <w:tcW w:type="dxa" w:w="7488"/>
            <w:vAlign w:val="top"/>
          </w:tcPr>
          <w:p>
            <w:r/>
            <w:r>
              <w:rPr>
                <w:rFonts w:ascii="Aptos" w:hAnsi="Aptos"/>
                <w:b w:val="0"/>
                <w:color w:val="1F3028"/>
                <w:sz w:val="18"/>
              </w:rPr>
              <w:t>Template upload and document-tag management.</w:t>
            </w:r>
          </w:p>
        </w:tc>
      </w:tr>
      <w:tr>
        <w:tc>
          <w:tcPr>
            <w:tcW w:type="dxa" w:w="2880"/>
            <w:vAlign w:val="top"/>
          </w:tcPr>
          <w:p>
            <w:r/>
            <w:r>
              <w:rPr>
                <w:rFonts w:ascii="Aptos" w:hAnsi="Aptos"/>
                <w:b w:val="0"/>
                <w:color w:val="1F3028"/>
                <w:sz w:val="18"/>
              </w:rPr>
              <w:t>/account-journey-configuration</w:t>
            </w:r>
          </w:p>
        </w:tc>
        <w:tc>
          <w:tcPr>
            <w:tcW w:type="dxa" w:w="7488"/>
            <w:vAlign w:val="top"/>
          </w:tcPr>
          <w:p>
            <w:r/>
            <w:r>
              <w:rPr>
                <w:rFonts w:ascii="Aptos" w:hAnsi="Aptos"/>
                <w:b w:val="0"/>
                <w:color w:val="1F3028"/>
                <w:sz w:val="18"/>
              </w:rPr>
              <w:t>Default account journey template builder with assistant-assisted diffs.</w:t>
            </w:r>
          </w:p>
        </w:tc>
      </w:tr>
      <w:tr>
        <w:tc>
          <w:tcPr>
            <w:tcW w:type="dxa" w:w="2880"/>
            <w:vAlign w:val="top"/>
          </w:tcPr>
          <w:p>
            <w:r/>
            <w:r>
              <w:rPr>
                <w:rFonts w:ascii="Aptos" w:hAnsi="Aptos"/>
                <w:b w:val="0"/>
                <w:color w:val="1F3028"/>
                <w:sz w:val="18"/>
              </w:rPr>
              <w:t>/settings</w:t>
            </w:r>
          </w:p>
        </w:tc>
        <w:tc>
          <w:tcPr>
            <w:tcW w:type="dxa" w:w="7488"/>
            <w:vAlign w:val="top"/>
          </w:tcPr>
          <w:p>
            <w:r/>
            <w:r>
              <w:rPr>
                <w:rFonts w:ascii="Aptos" w:hAnsi="Aptos"/>
                <w:b w:val="0"/>
                <w:color w:val="1F3028"/>
                <w:sz w:val="18"/>
              </w:rPr>
              <w:t>KPI weights, associates, account allocation, playbooks, AI rules, integrations, audit trail, sound settings.</w:t>
            </w:r>
          </w:p>
        </w:tc>
      </w:tr>
      <w:tr>
        <w:tc>
          <w:tcPr>
            <w:tcW w:type="dxa" w:w="2880"/>
            <w:vAlign w:val="top"/>
          </w:tcPr>
          <w:p>
            <w:r/>
            <w:r>
              <w:rPr>
                <w:rFonts w:ascii="Aptos" w:hAnsi="Aptos"/>
                <w:b w:val="0"/>
                <w:color w:val="1F3028"/>
                <w:sz w:val="18"/>
              </w:rPr>
              <w:t>/profile</w:t>
            </w:r>
          </w:p>
        </w:tc>
        <w:tc>
          <w:tcPr>
            <w:tcW w:type="dxa" w:w="7488"/>
            <w:vAlign w:val="top"/>
          </w:tcPr>
          <w:p>
            <w:r/>
            <w:r>
              <w:rPr>
                <w:rFonts w:ascii="Aptos" w:hAnsi="Aptos"/>
                <w:b w:val="0"/>
                <w:color w:val="1F3028"/>
                <w:sz w:val="18"/>
              </w:rPr>
              <w:t>User profile settings such as name, email, password, and user metadata.</w:t>
            </w:r>
          </w:p>
        </w:tc>
      </w:tr>
    </w:tbl>
    <w:p/>
    <w:p>
      <w:pPr>
        <w:pStyle w:val="Heading1"/>
      </w:pPr>
      <w:r>
        <w:t>3. Role and Permission Model</w:t>
      </w:r>
    </w:p>
    <w:p>
      <w:pPr>
        <w:pStyle w:val="ListBullet"/>
      </w:pPr>
      <w:r>
        <w:t>Product roles are Associate, KAM, and C-Level. There is no Admin product role.</w:t>
      </w:r>
    </w:p>
    <w:p>
      <w:pPr>
        <w:pStyle w:val="ListBullet"/>
      </w:pPr>
      <w:r>
        <w:t>Associates can request account creation, KYC approval, score changes, journey edits, contact/resource deletion, document-derived updates, and template changes.</w:t>
      </w:r>
    </w:p>
    <w:p>
      <w:pPr>
        <w:pStyle w:val="ListBullet"/>
      </w:pPr>
      <w:r>
        <w:t>KAMs can approve, deny, edit, override, or directly save those same changes.</w:t>
      </w:r>
    </w:p>
    <w:p>
      <w:pPr>
        <w:pStyle w:val="ListBullet"/>
      </w:pPr>
      <w:r>
        <w:t>C-Level users have organization-wide visibility and can invite KAM users where enabled.</w:t>
      </w:r>
    </w:p>
    <w:p>
      <w:pPr>
        <w:pStyle w:val="Heading1"/>
      </w:pPr>
      <w:r>
        <w:t>4. Data Model and Database</w:t>
      </w:r>
    </w:p>
    <w:p>
      <w:r>
        <w:t>The app uses Prisma against MySQL. Core entities include users, accounts, contacts, Tkxel resources, action/journey items, uploaded documents, generated documents, KYC versions, notifications, playbooks, and audit/activity logs.</w:t>
      </w:r>
    </w:p>
    <w:p>
      <w:r>
        <w:t>The local and production runtime must run Prisma Client generated from the same schema version as the deployed database. Schema drift can surface as runtime errors such as unknown Prisma fields.</w:t>
      </w:r>
    </w:p>
    <w:p>
      <w:pPr>
        <w:pStyle w:val="Heading1"/>
      </w:pPr>
      <w:r>
        <w:t>5. Account Scoring</w:t>
      </w:r>
    </w:p>
    <w:p>
      <w:pPr>
        <w:pStyle w:val="ListBullet"/>
      </w:pPr>
      <w:r>
        <w:t>Scores are displayed on a 1-5 scale.</w:t>
      </w:r>
    </w:p>
    <w:p>
      <w:pPr>
        <w:pStyle w:val="ListBullet"/>
      </w:pPr>
      <w:r>
        <w:t>KPI weights remain percentage-based and must total 100.</w:t>
      </w:r>
    </w:p>
    <w:p>
      <w:pPr>
        <w:pStyle w:val="ListBullet"/>
      </w:pPr>
      <w:r>
        <w:t>Overview KPI rows are sorted ascending by score so lowest-scoring risk areas appear first.</w:t>
      </w:r>
    </w:p>
    <w:p>
      <w:pPr>
        <w:pStyle w:val="ListBullet"/>
      </w:pPr>
      <w:r>
        <w:t>Sub-parameter score overrides happen at the sub-parameter level, not only at the parent KPI.</w:t>
      </w:r>
    </w:p>
    <w:p>
      <w:pPr>
        <w:pStyle w:val="ListBullet"/>
      </w:pPr>
      <w:r>
        <w:t>AI reasoning for onboarding scores should explain the evidence, missing evidence, confidence, and why the proposed value is appropriate.</w:t>
      </w:r>
    </w:p>
    <w:p>
      <w:pPr>
        <w:pStyle w:val="Heading1"/>
      </w:pPr>
      <w:r>
        <w:t>6. AI Agent Contract</w:t>
      </w:r>
    </w:p>
    <w:tbl>
      <w:tblPr>
        <w:tblStyle w:val="TableGrid"/>
        <w:tblW w:type="auto" w:w="0"/>
        <w:jc w:val="center"/>
        <w:tblLook w:firstColumn="1" w:firstRow="1" w:lastColumn="0" w:lastRow="0" w:noHBand="0" w:noVBand="1" w:val="04A0"/>
      </w:tblPr>
      <w:tblGrid>
        <w:gridCol w:w="5184"/>
        <w:gridCol w:w="5184"/>
      </w:tblGrid>
      <w:tr>
        <w:tc>
          <w:tcPr>
            <w:tcW w:type="dxa" w:w="2160"/>
            <w:shd w:fill="F2E8D9"/>
            <w:vAlign w:val="center"/>
          </w:tcPr>
          <w:p>
            <w:r/>
            <w:r>
              <w:rPr>
                <w:rFonts w:ascii="Aptos" w:hAnsi="Aptos"/>
                <w:b/>
                <w:color w:val="1F3028"/>
                <w:sz w:val="18"/>
              </w:rPr>
              <w:t>Rule</w:t>
            </w:r>
          </w:p>
        </w:tc>
        <w:tc>
          <w:tcPr>
            <w:tcW w:type="dxa" w:w="8208"/>
            <w:shd w:fill="F2E8D9"/>
            <w:vAlign w:val="center"/>
          </w:tcPr>
          <w:p>
            <w:r/>
            <w:r>
              <w:rPr>
                <w:rFonts w:ascii="Aptos" w:hAnsi="Aptos"/>
                <w:b/>
                <w:color w:val="1F3028"/>
                <w:sz w:val="18"/>
              </w:rPr>
              <w:t>Implementation requirement</w:t>
            </w:r>
          </w:p>
        </w:tc>
      </w:tr>
      <w:tr>
        <w:tc>
          <w:tcPr>
            <w:tcW w:type="dxa" w:w="2160"/>
            <w:vAlign w:val="top"/>
          </w:tcPr>
          <w:p>
            <w:r/>
            <w:r>
              <w:rPr>
                <w:rFonts w:ascii="Aptos" w:hAnsi="Aptos"/>
                <w:b w:val="0"/>
                <w:color w:val="1F3028"/>
                <w:sz w:val="18"/>
              </w:rPr>
              <w:t>Source priority</w:t>
            </w:r>
          </w:p>
        </w:tc>
        <w:tc>
          <w:tcPr>
            <w:tcW w:type="dxa" w:w="8208"/>
            <w:vAlign w:val="top"/>
          </w:tcPr>
          <w:p>
            <w:r/>
            <w:r>
              <w:rPr>
                <w:rFonts w:ascii="Aptos" w:hAnsi="Aptos"/>
                <w:b w:val="0"/>
                <w:color w:val="1F3028"/>
                <w:sz w:val="18"/>
              </w:rPr>
              <w:t>Salesforce mock data, prior account data, uploaded documents, then user-entered data. Approved user values win.</w:t>
            </w:r>
          </w:p>
        </w:tc>
      </w:tr>
      <w:tr>
        <w:tc>
          <w:tcPr>
            <w:tcW w:type="dxa" w:w="2160"/>
            <w:vAlign w:val="top"/>
          </w:tcPr>
          <w:p>
            <w:r/>
            <w:r>
              <w:rPr>
                <w:rFonts w:ascii="Aptos" w:hAnsi="Aptos"/>
                <w:b w:val="0"/>
                <w:color w:val="1F3028"/>
                <w:sz w:val="18"/>
              </w:rPr>
              <w:t>Confidence threshold</w:t>
            </w:r>
          </w:p>
        </w:tc>
        <w:tc>
          <w:tcPr>
            <w:tcW w:type="dxa" w:w="8208"/>
            <w:vAlign w:val="top"/>
          </w:tcPr>
          <w:p>
            <w:r/>
            <w:r>
              <w:rPr>
                <w:rFonts w:ascii="Aptos" w:hAnsi="Aptos"/>
                <w:b w:val="0"/>
                <w:color w:val="1F3028"/>
                <w:sz w:val="18"/>
              </w:rPr>
              <w:t>85% or above can propose or auto-fill into draft state; below 85% should ask before filling.</w:t>
            </w:r>
          </w:p>
        </w:tc>
      </w:tr>
      <w:tr>
        <w:tc>
          <w:tcPr>
            <w:tcW w:type="dxa" w:w="2160"/>
            <w:vAlign w:val="top"/>
          </w:tcPr>
          <w:p>
            <w:r/>
            <w:r>
              <w:rPr>
                <w:rFonts w:ascii="Aptos" w:hAnsi="Aptos"/>
                <w:b w:val="0"/>
                <w:color w:val="1F3028"/>
                <w:sz w:val="18"/>
              </w:rPr>
              <w:t>Output envelope</w:t>
            </w:r>
          </w:p>
        </w:tc>
        <w:tc>
          <w:tcPr>
            <w:tcW w:type="dxa" w:w="8208"/>
            <w:vAlign w:val="top"/>
          </w:tcPr>
          <w:p>
            <w:r/>
            <w:r>
              <w:rPr>
                <w:rFonts w:ascii="Aptos" w:hAnsi="Aptos"/>
                <w:b w:val="0"/>
                <w:color w:val="1F3028"/>
                <w:sz w:val="18"/>
              </w:rPr>
              <w:t>Every proposal should include proposedValue, source, confidence, reasoningSummary, and approvalState.</w:t>
            </w:r>
          </w:p>
        </w:tc>
      </w:tr>
      <w:tr>
        <w:tc>
          <w:tcPr>
            <w:tcW w:type="dxa" w:w="2160"/>
            <w:vAlign w:val="top"/>
          </w:tcPr>
          <w:p>
            <w:r/>
            <w:r>
              <w:rPr>
                <w:rFonts w:ascii="Aptos" w:hAnsi="Aptos"/>
                <w:b w:val="0"/>
                <w:color w:val="1F3028"/>
                <w:sz w:val="18"/>
              </w:rPr>
              <w:t>Hard guardrails</w:t>
            </w:r>
          </w:p>
        </w:tc>
        <w:tc>
          <w:tcPr>
            <w:tcW w:type="dxa" w:w="8208"/>
            <w:vAlign w:val="top"/>
          </w:tcPr>
          <w:p>
            <w:r/>
            <w:r>
              <w:rPr>
                <w:rFonts w:ascii="Aptos" w:hAnsi="Aptos"/>
                <w:b w:val="0"/>
                <w:color w:val="1F3028"/>
                <w:sz w:val="18"/>
              </w:rPr>
              <w:t>ARR, dates, stakeholders, legal/commercial terms, financial commitments, and scores require source backing or user confirmation.</w:t>
            </w:r>
          </w:p>
        </w:tc>
      </w:tr>
      <w:tr>
        <w:tc>
          <w:tcPr>
            <w:tcW w:type="dxa" w:w="2160"/>
            <w:vAlign w:val="top"/>
          </w:tcPr>
          <w:p>
            <w:r/>
            <w:r>
              <w:rPr>
                <w:rFonts w:ascii="Aptos" w:hAnsi="Aptos"/>
                <w:b w:val="0"/>
                <w:color w:val="1F3028"/>
                <w:sz w:val="18"/>
              </w:rPr>
              <w:t>Web research</w:t>
            </w:r>
          </w:p>
        </w:tc>
        <w:tc>
          <w:tcPr>
            <w:tcW w:type="dxa" w:w="8208"/>
            <w:vAlign w:val="top"/>
          </w:tcPr>
          <w:p>
            <w:r/>
            <w:r>
              <w:rPr>
                <w:rFonts w:ascii="Aptos" w:hAnsi="Aptos"/>
                <w:b w:val="0"/>
                <w:color w:val="1F3028"/>
                <w:sz w:val="18"/>
              </w:rPr>
              <w:t>Allowed when explicitly requested or when the assistant asks and the user approves.</w:t>
            </w:r>
          </w:p>
        </w:tc>
      </w:tr>
    </w:tbl>
    <w:p/>
    <w:p>
      <w:pPr>
        <w:pStyle w:val="Heading1"/>
      </w:pPr>
      <w:r>
        <w:t>7. AI and API Routes</w:t>
      </w:r>
    </w:p>
    <w:tbl>
      <w:tblPr>
        <w:tblStyle w:val="TableGrid"/>
        <w:tblW w:type="auto" w:w="0"/>
        <w:jc w:val="center"/>
        <w:tblLook w:firstColumn="1" w:firstRow="1" w:lastColumn="0" w:lastRow="0" w:noHBand="0" w:noVBand="1" w:val="04A0"/>
      </w:tblPr>
      <w:tblGrid>
        <w:gridCol w:w="5184"/>
        <w:gridCol w:w="5184"/>
      </w:tblGrid>
      <w:tr>
        <w:tc>
          <w:tcPr>
            <w:tcW w:type="dxa" w:w="2592"/>
            <w:shd w:fill="F2E8D9"/>
            <w:vAlign w:val="center"/>
          </w:tcPr>
          <w:p>
            <w:r/>
            <w:r>
              <w:rPr>
                <w:rFonts w:ascii="Aptos" w:hAnsi="Aptos"/>
                <w:b/>
                <w:color w:val="1F3028"/>
                <w:sz w:val="18"/>
              </w:rPr>
              <w:t>Area</w:t>
            </w:r>
          </w:p>
        </w:tc>
        <w:tc>
          <w:tcPr>
            <w:tcW w:type="dxa" w:w="7776"/>
            <w:shd w:fill="F2E8D9"/>
            <w:vAlign w:val="center"/>
          </w:tcPr>
          <w:p>
            <w:r/>
            <w:r>
              <w:rPr>
                <w:rFonts w:ascii="Aptos" w:hAnsi="Aptos"/>
                <w:b/>
                <w:color w:val="1F3028"/>
                <w:sz w:val="18"/>
              </w:rPr>
              <w:t>Expected route behavior</w:t>
            </w:r>
          </w:p>
        </w:tc>
      </w:tr>
      <w:tr>
        <w:tc>
          <w:tcPr>
            <w:tcW w:type="dxa" w:w="2592"/>
            <w:vAlign w:val="top"/>
          </w:tcPr>
          <w:p>
            <w:r/>
            <w:r>
              <w:rPr>
                <w:rFonts w:ascii="Aptos" w:hAnsi="Aptos"/>
                <w:b w:val="0"/>
                <w:color w:val="1F3028"/>
                <w:sz w:val="18"/>
              </w:rPr>
              <w:t>T Man assistant</w:t>
            </w:r>
          </w:p>
        </w:tc>
        <w:tc>
          <w:tcPr>
            <w:tcW w:type="dxa" w:w="7776"/>
            <w:vAlign w:val="top"/>
          </w:tcPr>
          <w:p>
            <w:r/>
            <w:r>
              <w:rPr>
                <w:rFonts w:ascii="Aptos" w:hAnsi="Aptos"/>
                <w:b w:val="0"/>
                <w:color w:val="1F3028"/>
                <w:sz w:val="18"/>
              </w:rPr>
              <w:t>Uses active portfolio/account context, optional web research, attachments where enabled, and document-generation handoff.</w:t>
            </w:r>
          </w:p>
        </w:tc>
      </w:tr>
      <w:tr>
        <w:tc>
          <w:tcPr>
            <w:tcW w:type="dxa" w:w="2592"/>
            <w:vAlign w:val="top"/>
          </w:tcPr>
          <w:p>
            <w:r/>
            <w:r>
              <w:rPr>
                <w:rFonts w:ascii="Aptos" w:hAnsi="Aptos"/>
                <w:b w:val="0"/>
                <w:color w:val="1F3028"/>
                <w:sz w:val="18"/>
              </w:rPr>
              <w:t>Onboarding assistant</w:t>
            </w:r>
          </w:p>
        </w:tc>
        <w:tc>
          <w:tcPr>
            <w:tcW w:type="dxa" w:w="7776"/>
            <w:vAlign w:val="top"/>
          </w:tcPr>
          <w:p>
            <w:r/>
            <w:r>
              <w:rPr>
                <w:rFonts w:ascii="Aptos" w:hAnsi="Aptos"/>
                <w:b w:val="0"/>
                <w:color w:val="1F3028"/>
                <w:sz w:val="18"/>
              </w:rPr>
              <w:t>Parses uploaded files, asks missing-field questions, applies approved changes, generates KYC and journey proposals.</w:t>
            </w:r>
          </w:p>
        </w:tc>
      </w:tr>
      <w:tr>
        <w:tc>
          <w:tcPr>
            <w:tcW w:type="dxa" w:w="2592"/>
            <w:vAlign w:val="top"/>
          </w:tcPr>
          <w:p>
            <w:r/>
            <w:r>
              <w:rPr>
                <w:rFonts w:ascii="Aptos" w:hAnsi="Aptos"/>
                <w:b w:val="0"/>
                <w:color w:val="1F3028"/>
                <w:sz w:val="18"/>
              </w:rPr>
              <w:t>Journey assistant</w:t>
            </w:r>
          </w:p>
        </w:tc>
        <w:tc>
          <w:tcPr>
            <w:tcW w:type="dxa" w:w="7776"/>
            <w:vAlign w:val="top"/>
          </w:tcPr>
          <w:p>
            <w:r/>
            <w:r>
              <w:rPr>
                <w:rFonts w:ascii="Aptos" w:hAnsi="Aptos"/>
                <w:b w:val="0"/>
                <w:color w:val="1F3028"/>
                <w:sz w:val="18"/>
              </w:rPr>
              <w:t>Returns add/edit/remove diffs and preserves relative offsets so new template items do not default to Day 0.</w:t>
            </w:r>
          </w:p>
        </w:tc>
      </w:tr>
      <w:tr>
        <w:tc>
          <w:tcPr>
            <w:tcW w:type="dxa" w:w="2592"/>
            <w:vAlign w:val="top"/>
          </w:tcPr>
          <w:p>
            <w:r/>
            <w:r>
              <w:rPr>
                <w:rFonts w:ascii="Aptos" w:hAnsi="Aptos"/>
                <w:b w:val="0"/>
                <w:color w:val="1F3028"/>
                <w:sz w:val="18"/>
              </w:rPr>
              <w:t>KYC regeneration</w:t>
            </w:r>
          </w:p>
        </w:tc>
        <w:tc>
          <w:tcPr>
            <w:tcW w:type="dxa" w:w="7776"/>
            <w:vAlign w:val="top"/>
          </w:tcPr>
          <w:p>
            <w:r/>
            <w:r>
              <w:rPr>
                <w:rFonts w:ascii="Aptos" w:hAnsi="Aptos"/>
                <w:b w:val="0"/>
                <w:color w:val="1F3028"/>
                <w:sz w:val="18"/>
              </w:rPr>
              <w:t>Creates editable draft KYC content, produces a DOCX artifact, and exposes accept/download/preview controls in Documents.</w:t>
            </w:r>
          </w:p>
        </w:tc>
      </w:tr>
      <w:tr>
        <w:tc>
          <w:tcPr>
            <w:tcW w:type="dxa" w:w="2592"/>
            <w:vAlign w:val="top"/>
          </w:tcPr>
          <w:p>
            <w:r/>
            <w:r>
              <w:rPr>
                <w:rFonts w:ascii="Aptos" w:hAnsi="Aptos"/>
                <w:b w:val="0"/>
                <w:color w:val="1F3028"/>
                <w:sz w:val="18"/>
              </w:rPr>
              <w:t>Document generation</w:t>
            </w:r>
          </w:p>
        </w:tc>
        <w:tc>
          <w:tcPr>
            <w:tcW w:type="dxa" w:w="7776"/>
            <w:vAlign w:val="top"/>
          </w:tcPr>
          <w:p>
            <w:r/>
            <w:r>
              <w:rPr>
                <w:rFonts w:ascii="Aptos" w:hAnsi="Aptos"/>
                <w:b w:val="0"/>
                <w:color w:val="1F3028"/>
                <w:sz w:val="18"/>
              </w:rPr>
              <w:t>Select document type and output format; ask clarifying questions before final generation if required inputs are missing.</w:t>
            </w:r>
          </w:p>
        </w:tc>
      </w:tr>
    </w:tbl>
    <w:p/>
    <w:p>
      <w:pPr>
        <w:pStyle w:val="Heading1"/>
      </w:pPr>
      <w:r>
        <w:t>8. Document and Upload Handling</w:t>
      </w:r>
    </w:p>
    <w:p>
      <w:pPr>
        <w:pStyle w:val="ListBullet"/>
      </w:pPr>
      <w:r>
        <w:t>Uploads are stored locally during development. In Vercel/serverless environments, persistent upload storage should be moved to object storage.</w:t>
      </w:r>
    </w:p>
    <w:p>
      <w:pPr>
        <w:pStyle w:val="ListBullet"/>
      </w:pPr>
      <w:r>
        <w:t>Generated documents should be written to a configured writable path. Avoid hard dependencies on a missing public/generated-documents folder.</w:t>
      </w:r>
    </w:p>
    <w:p>
      <w:pPr>
        <w:pStyle w:val="ListBullet"/>
      </w:pPr>
      <w:r>
        <w:t>Documents list is ordered by recency.</w:t>
      </w:r>
    </w:p>
    <w:p>
      <w:pPr>
        <w:pStyle w:val="ListBullet"/>
      </w:pPr>
      <w:r>
        <w:t>Clicking uploaded/generated documents opens a preview/download route in a new tab where possible.</w:t>
      </w:r>
    </w:p>
    <w:p>
      <w:pPr>
        <w:pStyle w:val="Heading1"/>
      </w:pPr>
      <w:r>
        <w:t>9. Notifications and Audit</w:t>
      </w:r>
    </w:p>
    <w:p>
      <w:pPr>
        <w:pStyle w:val="ListBullet"/>
      </w:pPr>
      <w:r>
        <w:t>Notifications should be generated from real pending approvals, score movements, document findings, playbook events, and action items.</w:t>
      </w:r>
    </w:p>
    <w:p>
      <w:pPr>
        <w:pStyle w:val="ListBullet"/>
      </w:pPr>
      <w:r>
        <w:t>Notification clicks should route directly to the originating account, tab, and focus item.</w:t>
      </w:r>
    </w:p>
    <w:p>
      <w:pPr>
        <w:pStyle w:val="ListBullet"/>
      </w:pPr>
      <w:r>
        <w:t>Audit trail is read-only and presented as a timeline in Settings.</w:t>
      </w:r>
    </w:p>
    <w:p>
      <w:pPr>
        <w:pStyle w:val="ListBullet"/>
      </w:pPr>
      <w:r>
        <w:t>Denial/dismissal reasons feed the user-specific AI rules playbook.</w:t>
      </w:r>
    </w:p>
    <w:p>
      <w:pPr>
        <w:pStyle w:val="Heading1"/>
      </w:pPr>
      <w:r>
        <w:t>10. Known Technical Caveats</w:t>
      </w:r>
    </w:p>
    <w:p>
      <w:pPr>
        <w:pStyle w:val="ListBullet"/>
      </w:pPr>
      <w:r>
        <w:t>Some UI state such as templates may still use localStorage in the POC and should be persisted to the database before production hardening.</w:t>
      </w:r>
    </w:p>
    <w:p>
      <w:pPr>
        <w:pStyle w:val="ListBullet"/>
      </w:pPr>
      <w:r>
        <w:t>Playbook parsing and recommendation loops are partially wired and should be validated against real uploaded playbooks.</w:t>
      </w:r>
    </w:p>
    <w:p>
      <w:pPr>
        <w:pStyle w:val="ListBullet"/>
      </w:pPr>
      <w:r>
        <w:t>Production file persistence should not rely on the read-only deployment bundle.</w:t>
      </w:r>
    </w:p>
    <w:p>
      <w:pPr>
        <w:pStyle w:val="ListBullet"/>
      </w:pPr>
      <w:r>
        <w:t>OpenAI calls require OPENAI_API_KEY and sufficient quota in every deployment environment.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30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0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0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0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0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