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1F3B30"/>
          <w:sz w:val="20"/>
        </w:rPr>
        <w:t>DotKAM</w:t>
      </w:r>
    </w:p>
    <w:p>
      <w:pPr>
        <w:pStyle w:val="Title"/>
      </w:pPr>
      <w:r>
        <w:t>Product Requirements Document</w:t>
      </w:r>
    </w:p>
    <w:p>
      <w:r>
        <w:rPr>
          <w:color w:val="756A5E"/>
          <w:sz w:val="22"/>
        </w:rPr>
        <w:t>Updated PRD for the DotKAM V2 proof of concept, reflecting current modules, role rules, AI guardrails, and acceptance criteria.</w:t>
      </w:r>
    </w:p>
    <w:p/>
    <w:p>
      <w:pPr>
        <w:pStyle w:val="Heading1"/>
      </w:pPr>
      <w:r>
        <w:t>1. Product Vision</w:t>
      </w:r>
    </w:p>
    <w:p>
      <w:r>
        <w:t>DotKAM provides a single operating layer for Tkxel account management. It combines account portfolio visibility, account health scoring, journey execution, document intelligence, and AI-assisted recommendations so KAMs and Associates can manage accounts with consistent governance.</w:t>
      </w:r>
    </w:p>
    <w:p>
      <w:pPr>
        <w:pStyle w:val="Heading1"/>
      </w:pPr>
      <w:r>
        <w:t>2. Objectives</w:t>
      </w:r>
    </w:p>
    <w:p>
      <w:pPr>
        <w:pStyle w:val="ListBullet"/>
      </w:pPr>
      <w:r>
        <w:t>Provide role-aware account visibility for Associates, KAMs, and C-Level users.</w:t>
      </w:r>
    </w:p>
    <w:p>
      <w:pPr>
        <w:pStyle w:val="ListBullet"/>
      </w:pPr>
      <w:r>
        <w:t>Standardize account health scoring across eight KPIs and sub-parameters.</w:t>
      </w:r>
    </w:p>
    <w:p>
      <w:pPr>
        <w:pStyle w:val="ListBullet"/>
      </w:pPr>
      <w:r>
        <w:t>Make onboarding evidence-driven through document parsing, KYC generation, journey creation, and approval workflows.</w:t>
      </w:r>
    </w:p>
    <w:p>
      <w:pPr>
        <w:pStyle w:val="ListBullet"/>
      </w:pPr>
      <w:r>
        <w:t>Use AI to propose changes while preserving human approval and traceability.</w:t>
      </w:r>
    </w:p>
    <w:p>
      <w:pPr>
        <w:pStyle w:val="ListBullet"/>
      </w:pPr>
      <w:r>
        <w:t>Support generated account documents in multiple formats and template types.</w:t>
      </w:r>
    </w:p>
    <w:p>
      <w:pPr>
        <w:pStyle w:val="ListBullet"/>
      </w:pPr>
      <w:r>
        <w:t>Maintain a user-specific learning loop from denials and dismissals.</w:t>
      </w:r>
    </w:p>
    <w:p>
      <w:pPr>
        <w:pStyle w:val="Heading1"/>
      </w:pPr>
      <w:r>
        <w:t>3. Personas</w:t>
      </w:r>
    </w:p>
    <w:tbl>
      <w:tblPr>
        <w:tblStyle w:val="TableGrid"/>
        <w:tblW w:type="auto" w:w="0"/>
        <w:jc w:val="center"/>
        <w:tblLook w:firstColumn="1" w:firstRow="1" w:lastColumn="0" w:lastRow="0" w:noHBand="0" w:noVBand="1" w:val="04A0"/>
      </w:tblPr>
      <w:tblGrid>
        <w:gridCol w:w="3456"/>
        <w:gridCol w:w="3456"/>
        <w:gridCol w:w="3456"/>
      </w:tblGrid>
      <w:tr>
        <w:tc>
          <w:tcPr>
            <w:tcW w:type="dxa" w:w="1728"/>
            <w:shd w:fill="F2E8D9"/>
            <w:vAlign w:val="center"/>
          </w:tcPr>
          <w:p>
            <w:r/>
            <w:r>
              <w:rPr>
                <w:rFonts w:ascii="Aptos" w:hAnsi="Aptos"/>
                <w:b/>
                <w:color w:val="1F3028"/>
                <w:sz w:val="18"/>
              </w:rPr>
              <w:t>Persona</w:t>
            </w:r>
          </w:p>
        </w:tc>
        <w:tc>
          <w:tcPr>
            <w:tcW w:type="dxa" w:w="4752"/>
            <w:shd w:fill="F2E8D9"/>
            <w:vAlign w:val="center"/>
          </w:tcPr>
          <w:p>
            <w:r/>
            <w:r>
              <w:rPr>
                <w:rFonts w:ascii="Aptos" w:hAnsi="Aptos"/>
                <w:b/>
                <w:color w:val="1F3028"/>
                <w:sz w:val="18"/>
              </w:rPr>
              <w:t>Needs</w:t>
            </w:r>
          </w:p>
        </w:tc>
        <w:tc>
          <w:tcPr>
            <w:tcW w:type="dxa" w:w="3744"/>
            <w:shd w:fill="F2E8D9"/>
            <w:vAlign w:val="center"/>
          </w:tcPr>
          <w:p>
            <w:r/>
            <w:r>
              <w:rPr>
                <w:rFonts w:ascii="Aptos" w:hAnsi="Aptos"/>
                <w:b/>
                <w:color w:val="1F3028"/>
                <w:sz w:val="18"/>
              </w:rPr>
              <w:t>Constraints</w:t>
            </w:r>
          </w:p>
        </w:tc>
      </w:tr>
      <w:tr>
        <w:tc>
          <w:tcPr>
            <w:tcW w:type="dxa" w:w="1728"/>
            <w:vAlign w:val="top"/>
          </w:tcPr>
          <w:p>
            <w:r/>
            <w:r>
              <w:rPr>
                <w:rFonts w:ascii="Aptos" w:hAnsi="Aptos"/>
                <w:b w:val="0"/>
                <w:color w:val="1F3028"/>
                <w:sz w:val="18"/>
              </w:rPr>
              <w:t>Associate</w:t>
            </w:r>
          </w:p>
        </w:tc>
        <w:tc>
          <w:tcPr>
            <w:tcW w:type="dxa" w:w="4752"/>
            <w:vAlign w:val="top"/>
          </w:tcPr>
          <w:p>
            <w:r/>
            <w:r>
              <w:rPr>
                <w:rFonts w:ascii="Aptos" w:hAnsi="Aptos"/>
                <w:b w:val="0"/>
                <w:color w:val="1F3028"/>
                <w:sz w:val="18"/>
              </w:rPr>
              <w:t>Prepare account materials, maintain account data, execute journey items, and submit requests.</w:t>
            </w:r>
          </w:p>
        </w:tc>
        <w:tc>
          <w:tcPr>
            <w:tcW w:type="dxa" w:w="3744"/>
            <w:vAlign w:val="top"/>
          </w:tcPr>
          <w:p>
            <w:r/>
            <w:r>
              <w:rPr>
                <w:rFonts w:ascii="Aptos" w:hAnsi="Aptos"/>
                <w:b w:val="0"/>
                <w:color w:val="1F3028"/>
                <w:sz w:val="18"/>
              </w:rPr>
              <w:t>Cannot finalize governed changes without KAM approval.</w:t>
            </w:r>
          </w:p>
        </w:tc>
      </w:tr>
      <w:tr>
        <w:tc>
          <w:tcPr>
            <w:tcW w:type="dxa" w:w="1728"/>
            <w:vAlign w:val="top"/>
          </w:tcPr>
          <w:p>
            <w:r/>
            <w:r>
              <w:rPr>
                <w:rFonts w:ascii="Aptos" w:hAnsi="Aptos"/>
                <w:b w:val="0"/>
                <w:color w:val="1F3028"/>
                <w:sz w:val="18"/>
              </w:rPr>
              <w:t>KAM</w:t>
            </w:r>
          </w:p>
        </w:tc>
        <w:tc>
          <w:tcPr>
            <w:tcW w:type="dxa" w:w="4752"/>
            <w:vAlign w:val="top"/>
          </w:tcPr>
          <w:p>
            <w:r/>
            <w:r>
              <w:rPr>
                <w:rFonts w:ascii="Aptos" w:hAnsi="Aptos"/>
                <w:b w:val="0"/>
                <w:color w:val="1F3028"/>
                <w:sz w:val="18"/>
              </w:rPr>
              <w:t>Own portfolio, approve associate submissions, manage account health, allocate accounts, and generate documents.</w:t>
            </w:r>
          </w:p>
        </w:tc>
        <w:tc>
          <w:tcPr>
            <w:tcW w:type="dxa" w:w="3744"/>
            <w:vAlign w:val="top"/>
          </w:tcPr>
          <w:p>
            <w:r/>
            <w:r>
              <w:rPr>
                <w:rFonts w:ascii="Aptos" w:hAnsi="Aptos"/>
                <w:b w:val="0"/>
                <w:color w:val="1F3028"/>
                <w:sz w:val="18"/>
              </w:rPr>
              <w:t>Must provide reasons for overrides/denials/dismissals.</w:t>
            </w:r>
          </w:p>
        </w:tc>
      </w:tr>
      <w:tr>
        <w:tc>
          <w:tcPr>
            <w:tcW w:type="dxa" w:w="1728"/>
            <w:vAlign w:val="top"/>
          </w:tcPr>
          <w:p>
            <w:r/>
            <w:r>
              <w:rPr>
                <w:rFonts w:ascii="Aptos" w:hAnsi="Aptos"/>
                <w:b w:val="0"/>
                <w:color w:val="1F3028"/>
                <w:sz w:val="18"/>
              </w:rPr>
              <w:t>C-Level</w:t>
            </w:r>
          </w:p>
        </w:tc>
        <w:tc>
          <w:tcPr>
            <w:tcW w:type="dxa" w:w="4752"/>
            <w:vAlign w:val="top"/>
          </w:tcPr>
          <w:p>
            <w:r/>
            <w:r>
              <w:rPr>
                <w:rFonts w:ascii="Aptos" w:hAnsi="Aptos"/>
                <w:b w:val="0"/>
                <w:color w:val="1F3028"/>
                <w:sz w:val="18"/>
              </w:rPr>
              <w:t>Monitor portfolio health and organizational performance.</w:t>
            </w:r>
          </w:p>
        </w:tc>
        <w:tc>
          <w:tcPr>
            <w:tcW w:type="dxa" w:w="3744"/>
            <w:vAlign w:val="top"/>
          </w:tcPr>
          <w:p>
            <w:r/>
            <w:r>
              <w:rPr>
                <w:rFonts w:ascii="Aptos" w:hAnsi="Aptos"/>
                <w:b w:val="0"/>
                <w:color w:val="1F3028"/>
                <w:sz w:val="18"/>
              </w:rPr>
              <w:t>Read-only account management in POC; can invite KAM roles where enabled.</w:t>
            </w:r>
          </w:p>
        </w:tc>
      </w:tr>
    </w:tbl>
    <w:p/>
    <w:p>
      <w:pPr>
        <w:pStyle w:val="Heading1"/>
      </w:pPr>
      <w:r>
        <w:t>4. Functional Requirements</w:t>
      </w:r>
    </w:p>
    <w:tbl>
      <w:tblPr>
        <w:tblStyle w:val="TableGrid"/>
        <w:tblW w:type="auto" w:w="0"/>
        <w:jc w:val="center"/>
        <w:tblLook w:firstColumn="1" w:firstRow="1" w:lastColumn="0" w:lastRow="0" w:noHBand="0" w:noVBand="1" w:val="04A0"/>
      </w:tblPr>
      <w:tblGrid>
        <w:gridCol w:w="5184"/>
        <w:gridCol w:w="5184"/>
      </w:tblGrid>
      <w:tr>
        <w:tc>
          <w:tcPr>
            <w:tcW w:type="dxa" w:w="2016"/>
            <w:shd w:fill="F2E8D9"/>
            <w:vAlign w:val="center"/>
          </w:tcPr>
          <w:p>
            <w:r/>
            <w:r>
              <w:rPr>
                <w:rFonts w:ascii="Aptos" w:hAnsi="Aptos"/>
                <w:b/>
                <w:color w:val="1F3028"/>
                <w:sz w:val="18"/>
              </w:rPr>
              <w:t>Module</w:t>
            </w:r>
          </w:p>
        </w:tc>
        <w:tc>
          <w:tcPr>
            <w:tcW w:type="dxa" w:w="8352"/>
            <w:shd w:fill="F2E8D9"/>
            <w:vAlign w:val="center"/>
          </w:tcPr>
          <w:p>
            <w:r/>
            <w:r>
              <w:rPr>
                <w:rFonts w:ascii="Aptos" w:hAnsi="Aptos"/>
                <w:b/>
                <w:color w:val="1F3028"/>
                <w:sz w:val="18"/>
              </w:rPr>
              <w:t>Requirement</w:t>
            </w:r>
          </w:p>
        </w:tc>
      </w:tr>
      <w:tr>
        <w:tc>
          <w:tcPr>
            <w:tcW w:type="dxa" w:w="2016"/>
            <w:vAlign w:val="top"/>
          </w:tcPr>
          <w:p>
            <w:r/>
            <w:r>
              <w:rPr>
                <w:rFonts w:ascii="Aptos" w:hAnsi="Aptos"/>
                <w:b w:val="0"/>
                <w:color w:val="1F3028"/>
                <w:sz w:val="18"/>
              </w:rPr>
              <w:t>Authentication</w:t>
            </w:r>
          </w:p>
        </w:tc>
        <w:tc>
          <w:tcPr>
            <w:tcW w:type="dxa" w:w="8352"/>
            <w:vAlign w:val="top"/>
          </w:tcPr>
          <w:p>
            <w:r/>
            <w:r>
              <w:rPr>
                <w:rFonts w:ascii="Aptos" w:hAnsi="Aptos"/>
                <w:b w:val="0"/>
                <w:color w:val="1F3028"/>
                <w:sz w:val="18"/>
              </w:rPr>
              <w:t>Email/password login, demo role account selector, forgot password flow, user profile route, and logout.</w:t>
            </w:r>
          </w:p>
        </w:tc>
      </w:tr>
      <w:tr>
        <w:tc>
          <w:tcPr>
            <w:tcW w:type="dxa" w:w="2016"/>
            <w:vAlign w:val="top"/>
          </w:tcPr>
          <w:p>
            <w:r/>
            <w:r>
              <w:rPr>
                <w:rFonts w:ascii="Aptos" w:hAnsi="Aptos"/>
                <w:b w:val="0"/>
                <w:color w:val="1F3028"/>
                <w:sz w:val="18"/>
              </w:rPr>
              <w:t>Navigation</w:t>
            </w:r>
          </w:p>
        </w:tc>
        <w:tc>
          <w:tcPr>
            <w:tcW w:type="dxa" w:w="8352"/>
            <w:vAlign w:val="top"/>
          </w:tcPr>
          <w:p>
            <w:r/>
            <w:r>
              <w:rPr>
                <w:rFonts w:ascii="Aptos" w:hAnsi="Aptos"/>
                <w:b w:val="0"/>
                <w:color w:val="1F3028"/>
                <w:sz w:val="18"/>
              </w:rPr>
              <w:t>Persistent sidebar with Home, Portfolio, Templates, Account Journey Configuration, and Settings.</w:t>
            </w:r>
          </w:p>
        </w:tc>
      </w:tr>
      <w:tr>
        <w:tc>
          <w:tcPr>
            <w:tcW w:type="dxa" w:w="2016"/>
            <w:vAlign w:val="top"/>
          </w:tcPr>
          <w:p>
            <w:r/>
            <w:r>
              <w:rPr>
                <w:rFonts w:ascii="Aptos" w:hAnsi="Aptos"/>
                <w:b w:val="0"/>
                <w:color w:val="1F3028"/>
                <w:sz w:val="18"/>
              </w:rPr>
              <w:t>Home</w:t>
            </w:r>
          </w:p>
        </w:tc>
        <w:tc>
          <w:tcPr>
            <w:tcW w:type="dxa" w:w="8352"/>
            <w:vAlign w:val="top"/>
          </w:tcPr>
          <w:p>
            <w:r/>
            <w:r>
              <w:rPr>
                <w:rFonts w:ascii="Aptos" w:hAnsi="Aptos"/>
                <w:b w:val="0"/>
                <w:color w:val="1F3028"/>
                <w:sz w:val="18"/>
              </w:rPr>
              <w:t>Expandable health cards, Month and Timeline calendar views, routeable account cards, and task done/dismiss workflows.</w:t>
            </w:r>
          </w:p>
        </w:tc>
      </w:tr>
      <w:tr>
        <w:tc>
          <w:tcPr>
            <w:tcW w:type="dxa" w:w="2016"/>
            <w:vAlign w:val="top"/>
          </w:tcPr>
          <w:p>
            <w:r/>
            <w:r>
              <w:rPr>
                <w:rFonts w:ascii="Aptos" w:hAnsi="Aptos"/>
                <w:b w:val="0"/>
                <w:color w:val="1F3028"/>
                <w:sz w:val="18"/>
              </w:rPr>
              <w:t>Portfolio</w:t>
            </w:r>
          </w:p>
        </w:tc>
        <w:tc>
          <w:tcPr>
            <w:tcW w:type="dxa" w:w="8352"/>
            <w:vAlign w:val="top"/>
          </w:tcPr>
          <w:p>
            <w:r/>
            <w:r>
              <w:rPr>
                <w:rFonts w:ascii="Aptos" w:hAnsi="Aptos"/>
                <w:b w:val="0"/>
                <w:color w:val="1F3028"/>
                <w:sz w:val="18"/>
              </w:rPr>
              <w:t>Role-aware account cards, search/filtering, pending creation approvals, and full-page account workspace navigation.</w:t>
            </w:r>
          </w:p>
        </w:tc>
      </w:tr>
      <w:tr>
        <w:tc>
          <w:tcPr>
            <w:tcW w:type="dxa" w:w="2016"/>
            <w:vAlign w:val="top"/>
          </w:tcPr>
          <w:p>
            <w:r/>
            <w:r>
              <w:rPr>
                <w:rFonts w:ascii="Aptos" w:hAnsi="Aptos"/>
                <w:b w:val="0"/>
                <w:color w:val="1F3028"/>
                <w:sz w:val="18"/>
              </w:rPr>
              <w:t>Account Overview</w:t>
            </w:r>
          </w:p>
        </w:tc>
        <w:tc>
          <w:tcPr>
            <w:tcW w:type="dxa" w:w="8352"/>
            <w:vAlign w:val="top"/>
          </w:tcPr>
          <w:p>
            <w:r/>
            <w:r>
              <w:rPr>
                <w:rFonts w:ascii="Aptos" w:hAnsi="Aptos"/>
                <w:b w:val="0"/>
                <w:color w:val="1F3028"/>
                <w:sz w:val="18"/>
              </w:rPr>
              <w:t>KPI table sorted by lowest score first, sub-parameters, AI why/task recommendations, accept/deny, and sub-parameter score overrides.</w:t>
            </w:r>
          </w:p>
        </w:tc>
      </w:tr>
      <w:tr>
        <w:tc>
          <w:tcPr>
            <w:tcW w:type="dxa" w:w="2016"/>
            <w:vAlign w:val="top"/>
          </w:tcPr>
          <w:p>
            <w:r/>
            <w:r>
              <w:rPr>
                <w:rFonts w:ascii="Aptos" w:hAnsi="Aptos"/>
                <w:b w:val="0"/>
                <w:color w:val="1F3028"/>
                <w:sz w:val="18"/>
              </w:rPr>
              <w:t>Account Profile</w:t>
            </w:r>
          </w:p>
        </w:tc>
        <w:tc>
          <w:tcPr>
            <w:tcW w:type="dxa" w:w="8352"/>
            <w:vAlign w:val="top"/>
          </w:tcPr>
          <w:p>
            <w:r/>
            <w:r>
              <w:rPr>
                <w:rFonts w:ascii="Aptos" w:hAnsi="Aptos"/>
                <w:b w:val="0"/>
                <w:color w:val="1F3028"/>
                <w:sz w:val="18"/>
              </w:rPr>
              <w:t>Contacts, Tkxel resources, account journey, communication shortcuts, add/delete workflows, and required reasons.</w:t>
            </w:r>
          </w:p>
        </w:tc>
      </w:tr>
      <w:tr>
        <w:tc>
          <w:tcPr>
            <w:tcW w:type="dxa" w:w="2016"/>
            <w:vAlign w:val="top"/>
          </w:tcPr>
          <w:p>
            <w:r/>
            <w:r>
              <w:rPr>
                <w:rFonts w:ascii="Aptos" w:hAnsi="Aptos"/>
                <w:b w:val="0"/>
                <w:color w:val="1F3028"/>
                <w:sz w:val="18"/>
              </w:rPr>
              <w:t>Account Documents</w:t>
            </w:r>
          </w:p>
        </w:tc>
        <w:tc>
          <w:tcPr>
            <w:tcW w:type="dxa" w:w="8352"/>
            <w:vAlign w:val="top"/>
          </w:tcPr>
          <w:p>
            <w:r/>
            <w:r>
              <w:rPr>
                <w:rFonts w:ascii="Aptos" w:hAnsi="Aptos"/>
                <w:b w:val="0"/>
                <w:color w:val="1F3028"/>
                <w:sz w:val="18"/>
              </w:rPr>
              <w:t>Upload, document-derived proposals, generated KYC DOCX draft, accept/deny with reasons, and generated document formats.</w:t>
            </w:r>
          </w:p>
        </w:tc>
      </w:tr>
      <w:tr>
        <w:tc>
          <w:tcPr>
            <w:tcW w:type="dxa" w:w="2016"/>
            <w:vAlign w:val="top"/>
          </w:tcPr>
          <w:p>
            <w:r/>
            <w:r>
              <w:rPr>
                <w:rFonts w:ascii="Aptos" w:hAnsi="Aptos"/>
                <w:b w:val="0"/>
                <w:color w:val="1F3028"/>
                <w:sz w:val="18"/>
              </w:rPr>
              <w:t>Onboarding</w:t>
            </w:r>
          </w:p>
        </w:tc>
        <w:tc>
          <w:tcPr>
            <w:tcW w:type="dxa" w:w="8352"/>
            <w:vAlign w:val="top"/>
          </w:tcPr>
          <w:p>
            <w:r/>
            <w:r>
              <w:rPr>
                <w:rFonts w:ascii="Aptos" w:hAnsi="Aptos"/>
                <w:b w:val="0"/>
                <w:color w:val="1F3028"/>
                <w:sz w:val="18"/>
              </w:rPr>
              <w:t>Multi-file upload, setup assistant, profile/scoring/KYC/journey/review steps, associate submission, and KAM approval.</w:t>
            </w:r>
          </w:p>
        </w:tc>
      </w:tr>
      <w:tr>
        <w:tc>
          <w:tcPr>
            <w:tcW w:type="dxa" w:w="2016"/>
            <w:vAlign w:val="top"/>
          </w:tcPr>
          <w:p>
            <w:r/>
            <w:r>
              <w:rPr>
                <w:rFonts w:ascii="Aptos" w:hAnsi="Aptos"/>
                <w:b w:val="0"/>
                <w:color w:val="1F3028"/>
                <w:sz w:val="18"/>
              </w:rPr>
              <w:t>Templates</w:t>
            </w:r>
          </w:p>
        </w:tc>
        <w:tc>
          <w:tcPr>
            <w:tcW w:type="dxa" w:w="8352"/>
            <w:vAlign w:val="top"/>
          </w:tcPr>
          <w:p>
            <w:r/>
            <w:r>
              <w:rPr>
                <w:rFonts w:ascii="Aptos" w:hAnsi="Aptos"/>
                <w:b w:val="0"/>
                <w:color w:val="1F3028"/>
                <w:sz w:val="18"/>
              </w:rPr>
              <w:t>Upload templates by document tag and allow templates to influence assistant/account document generation.</w:t>
            </w:r>
          </w:p>
        </w:tc>
      </w:tr>
      <w:tr>
        <w:tc>
          <w:tcPr>
            <w:tcW w:type="dxa" w:w="2016"/>
            <w:vAlign w:val="top"/>
          </w:tcPr>
          <w:p>
            <w:r/>
            <w:r>
              <w:rPr>
                <w:rFonts w:ascii="Aptos" w:hAnsi="Aptos"/>
                <w:b w:val="0"/>
                <w:color w:val="1F3028"/>
                <w:sz w:val="18"/>
              </w:rPr>
              <w:t>Journey Configuration</w:t>
            </w:r>
          </w:p>
        </w:tc>
        <w:tc>
          <w:tcPr>
            <w:tcW w:type="dxa" w:w="8352"/>
            <w:vAlign w:val="top"/>
          </w:tcPr>
          <w:p>
            <w:r/>
            <w:r>
              <w:rPr>
                <w:rFonts w:ascii="Aptos" w:hAnsi="Aptos"/>
                <w:b w:val="0"/>
                <w:color w:val="1F3028"/>
                <w:sz w:val="18"/>
              </w:rPr>
              <w:t>Configure default account journey using relative offsets and conversational/manual editing.</w:t>
            </w:r>
          </w:p>
        </w:tc>
      </w:tr>
      <w:tr>
        <w:tc>
          <w:tcPr>
            <w:tcW w:type="dxa" w:w="2016"/>
            <w:vAlign w:val="top"/>
          </w:tcPr>
          <w:p>
            <w:r/>
            <w:r>
              <w:rPr>
                <w:rFonts w:ascii="Aptos" w:hAnsi="Aptos"/>
                <w:b w:val="0"/>
                <w:color w:val="1F3028"/>
                <w:sz w:val="18"/>
              </w:rPr>
              <w:t>Settings</w:t>
            </w:r>
          </w:p>
        </w:tc>
        <w:tc>
          <w:tcPr>
            <w:tcW w:type="dxa" w:w="8352"/>
            <w:vAlign w:val="top"/>
          </w:tcPr>
          <w:p>
            <w:r/>
            <w:r>
              <w:rPr>
                <w:rFonts w:ascii="Aptos" w:hAnsi="Aptos"/>
                <w:b w:val="0"/>
                <w:color w:val="1F3028"/>
                <w:sz w:val="18"/>
              </w:rPr>
              <w:t>KPI weights, associate/account allocation, invites, KPI playbooks, AI rules, integrations, audit timeline, and sound controls.</w:t>
            </w:r>
          </w:p>
        </w:tc>
      </w:tr>
      <w:tr>
        <w:tc>
          <w:tcPr>
            <w:tcW w:type="dxa" w:w="2016"/>
            <w:vAlign w:val="top"/>
          </w:tcPr>
          <w:p>
            <w:r/>
            <w:r>
              <w:rPr>
                <w:rFonts w:ascii="Aptos" w:hAnsi="Aptos"/>
                <w:b w:val="0"/>
                <w:color w:val="1F3028"/>
                <w:sz w:val="18"/>
              </w:rPr>
              <w:t>T Man</w:t>
            </w:r>
          </w:p>
        </w:tc>
        <w:tc>
          <w:tcPr>
            <w:tcW w:type="dxa" w:w="8352"/>
            <w:vAlign w:val="top"/>
          </w:tcPr>
          <w:p>
            <w:r/>
            <w:r>
              <w:rPr>
                <w:rFonts w:ascii="Aptos" w:hAnsi="Aptos"/>
                <w:b w:val="0"/>
                <w:color w:val="1F3028"/>
                <w:sz w:val="18"/>
              </w:rPr>
              <w:t>Conversational portfolio/account assistant, web research when approved, attachment support, and document generation.</w:t>
            </w:r>
          </w:p>
        </w:tc>
      </w:tr>
    </w:tbl>
    <w:p/>
    <w:p>
      <w:pPr>
        <w:pStyle w:val="Heading1"/>
      </w:pPr>
      <w:r>
        <w:t>5. AI Requirements</w:t>
      </w:r>
    </w:p>
    <w:p>
      <w:pPr>
        <w:pStyle w:val="ListBullet"/>
      </w:pPr>
      <w:r>
        <w:t>Agent source priority is Salesforce mock data, prior account data, uploaded documents, then user-entered data.</w:t>
      </w:r>
    </w:p>
    <w:p>
      <w:pPr>
        <w:pStyle w:val="ListBullet"/>
      </w:pPr>
      <w:r>
        <w:t>Approved user values override competing agent suggestions.</w:t>
      </w:r>
    </w:p>
    <w:p>
      <w:pPr>
        <w:pStyle w:val="ListBullet"/>
      </w:pPr>
      <w:r>
        <w:t>Proposals must include proposedValue, source, confidence, reasoningSummary, and approvalState.</w:t>
      </w:r>
    </w:p>
    <w:p>
      <w:pPr>
        <w:pStyle w:val="ListBullet"/>
      </w:pPr>
      <w:r>
        <w:t>No silent invention of ARR, dates, stakeholders, legal/commercial terms, financial commitments, or scores.</w:t>
      </w:r>
    </w:p>
    <w:p>
      <w:pPr>
        <w:pStyle w:val="ListBullet"/>
      </w:pPr>
      <w:r>
        <w:t>Cammie/Kammie legacy naming in code should present as T Man in user-facing UI.</w:t>
      </w:r>
    </w:p>
    <w:p>
      <w:pPr>
        <w:pStyle w:val="ListBullet"/>
      </w:pPr>
      <w:r>
        <w:t>Document generation must ask clarifying questions before output if required inputs are missing.</w:t>
      </w:r>
    </w:p>
    <w:p>
      <w:pPr>
        <w:pStyle w:val="ListBullet"/>
      </w:pPr>
      <w:r>
        <w:t>Learning playbook effects are user-specific, not global.</w:t>
      </w:r>
    </w:p>
    <w:p>
      <w:pPr>
        <w:pStyle w:val="Heading1"/>
      </w:pPr>
      <w:r>
        <w:t>6. Scoring Requirements</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F2E8D9"/>
            <w:vAlign w:val="center"/>
          </w:tcPr>
          <w:p>
            <w:r/>
            <w:r>
              <w:rPr>
                <w:rFonts w:ascii="Aptos" w:hAnsi="Aptos"/>
                <w:b/>
                <w:color w:val="1F3028"/>
                <w:sz w:val="18"/>
              </w:rPr>
              <w:t>KPI</w:t>
            </w:r>
          </w:p>
        </w:tc>
        <w:tc>
          <w:tcPr>
            <w:tcW w:type="dxa" w:w="1728"/>
            <w:shd w:fill="F2E8D9"/>
            <w:vAlign w:val="center"/>
          </w:tcPr>
          <w:p>
            <w:r/>
            <w:r>
              <w:rPr>
                <w:rFonts w:ascii="Aptos" w:hAnsi="Aptos"/>
                <w:b/>
                <w:color w:val="1F3028"/>
                <w:sz w:val="18"/>
              </w:rPr>
              <w:t>Default weight</w:t>
            </w:r>
          </w:p>
        </w:tc>
        <w:tc>
          <w:tcPr>
            <w:tcW w:type="dxa" w:w="5760"/>
            <w:shd w:fill="F2E8D9"/>
            <w:vAlign w:val="center"/>
          </w:tcPr>
          <w:p>
            <w:r/>
            <w:r>
              <w:rPr>
                <w:rFonts w:ascii="Aptos" w:hAnsi="Aptos"/>
                <w:b/>
                <w:color w:val="1F3028"/>
                <w:sz w:val="18"/>
              </w:rPr>
              <w:t>Purpose</w:t>
            </w:r>
          </w:p>
        </w:tc>
      </w:tr>
      <w:tr>
        <w:tc>
          <w:tcPr>
            <w:tcW w:type="dxa" w:w="2880"/>
            <w:vAlign w:val="top"/>
          </w:tcPr>
          <w:p>
            <w:r/>
            <w:r>
              <w:rPr>
                <w:rFonts w:ascii="Aptos" w:hAnsi="Aptos"/>
                <w:b w:val="0"/>
                <w:color w:val="1F3028"/>
                <w:sz w:val="18"/>
              </w:rPr>
              <w:t>Relationship Score</w:t>
            </w:r>
          </w:p>
        </w:tc>
        <w:tc>
          <w:tcPr>
            <w:tcW w:type="dxa" w:w="1728"/>
            <w:vAlign w:val="top"/>
          </w:tcPr>
          <w:p>
            <w:r/>
            <w:r>
              <w:rPr>
                <w:rFonts w:ascii="Aptos" w:hAnsi="Aptos"/>
                <w:b w:val="0"/>
                <w:color w:val="1F3028"/>
                <w:sz w:val="18"/>
              </w:rPr>
              <w:t>20%</w:t>
            </w:r>
          </w:p>
        </w:tc>
        <w:tc>
          <w:tcPr>
            <w:tcW w:type="dxa" w:w="5760"/>
            <w:vAlign w:val="top"/>
          </w:tcPr>
          <w:p>
            <w:r/>
            <w:r>
              <w:rPr>
                <w:rFonts w:ascii="Aptos" w:hAnsi="Aptos"/>
                <w:b w:val="0"/>
                <w:color w:val="1F3028"/>
                <w:sz w:val="18"/>
              </w:rPr>
              <w:t>Longevity, stakeholder depth, breadth, cadence, and executive access.</w:t>
            </w:r>
          </w:p>
        </w:tc>
      </w:tr>
      <w:tr>
        <w:tc>
          <w:tcPr>
            <w:tcW w:type="dxa" w:w="2880"/>
            <w:vAlign w:val="top"/>
          </w:tcPr>
          <w:p>
            <w:r/>
            <w:r>
              <w:rPr>
                <w:rFonts w:ascii="Aptos" w:hAnsi="Aptos"/>
                <w:b w:val="0"/>
                <w:color w:val="1F3028"/>
                <w:sz w:val="18"/>
              </w:rPr>
              <w:t>CSAT Score</w:t>
            </w:r>
          </w:p>
        </w:tc>
        <w:tc>
          <w:tcPr>
            <w:tcW w:type="dxa" w:w="1728"/>
            <w:vAlign w:val="top"/>
          </w:tcPr>
          <w:p>
            <w:r/>
            <w:r>
              <w:rPr>
                <w:rFonts w:ascii="Aptos" w:hAnsi="Aptos"/>
                <w:b w:val="0"/>
                <w:color w:val="1F3028"/>
                <w:sz w:val="18"/>
              </w:rPr>
              <w:t>20%</w:t>
            </w:r>
          </w:p>
        </w:tc>
        <w:tc>
          <w:tcPr>
            <w:tcW w:type="dxa" w:w="5760"/>
            <w:vAlign w:val="top"/>
          </w:tcPr>
          <w:p>
            <w:r/>
            <w:r>
              <w:rPr>
                <w:rFonts w:ascii="Aptos" w:hAnsi="Aptos"/>
                <w:b w:val="0"/>
                <w:color w:val="1F3028"/>
                <w:sz w:val="18"/>
              </w:rPr>
              <w:t>Explicit client feedback, responsiveness, sponsor confidence, and sentiment.</w:t>
            </w:r>
          </w:p>
        </w:tc>
      </w:tr>
      <w:tr>
        <w:tc>
          <w:tcPr>
            <w:tcW w:type="dxa" w:w="2880"/>
            <w:vAlign w:val="top"/>
          </w:tcPr>
          <w:p>
            <w:r/>
            <w:r>
              <w:rPr>
                <w:rFonts w:ascii="Aptos" w:hAnsi="Aptos"/>
                <w:b w:val="0"/>
                <w:color w:val="1F3028"/>
                <w:sz w:val="18"/>
              </w:rPr>
              <w:t>Risk Score</w:t>
            </w:r>
          </w:p>
        </w:tc>
        <w:tc>
          <w:tcPr>
            <w:tcW w:type="dxa" w:w="1728"/>
            <w:vAlign w:val="top"/>
          </w:tcPr>
          <w:p>
            <w:r/>
            <w:r>
              <w:rPr>
                <w:rFonts w:ascii="Aptos" w:hAnsi="Aptos"/>
                <w:b w:val="0"/>
                <w:color w:val="1F3028"/>
                <w:sz w:val="18"/>
              </w:rPr>
              <w:t>15%</w:t>
            </w:r>
          </w:p>
        </w:tc>
        <w:tc>
          <w:tcPr>
            <w:tcW w:type="dxa" w:w="5760"/>
            <w:vAlign w:val="top"/>
          </w:tcPr>
          <w:p>
            <w:r/>
            <w:r>
              <w:rPr>
                <w:rFonts w:ascii="Aptos" w:hAnsi="Aptos"/>
                <w:b w:val="0"/>
                <w:color w:val="1F3028"/>
                <w:sz w:val="18"/>
              </w:rPr>
              <w:t>Delivery, commercial, relationship, market, and escalation risk.</w:t>
            </w:r>
          </w:p>
        </w:tc>
      </w:tr>
      <w:tr>
        <w:tc>
          <w:tcPr>
            <w:tcW w:type="dxa" w:w="2880"/>
            <w:vAlign w:val="top"/>
          </w:tcPr>
          <w:p>
            <w:r/>
            <w:r>
              <w:rPr>
                <w:rFonts w:ascii="Aptos" w:hAnsi="Aptos"/>
                <w:b w:val="0"/>
                <w:color w:val="1F3028"/>
                <w:sz w:val="18"/>
              </w:rPr>
              <w:t>Contract Health Score</w:t>
            </w:r>
          </w:p>
        </w:tc>
        <w:tc>
          <w:tcPr>
            <w:tcW w:type="dxa" w:w="1728"/>
            <w:vAlign w:val="top"/>
          </w:tcPr>
          <w:p>
            <w:r/>
            <w:r>
              <w:rPr>
                <w:rFonts w:ascii="Aptos" w:hAnsi="Aptos"/>
                <w:b w:val="0"/>
                <w:color w:val="1F3028"/>
                <w:sz w:val="18"/>
              </w:rPr>
              <w:t>15%</w:t>
            </w:r>
          </w:p>
        </w:tc>
        <w:tc>
          <w:tcPr>
            <w:tcW w:type="dxa" w:w="5760"/>
            <w:vAlign w:val="top"/>
          </w:tcPr>
          <w:p>
            <w:r/>
            <w:r>
              <w:rPr>
                <w:rFonts w:ascii="Aptos" w:hAnsi="Aptos"/>
                <w:b w:val="0"/>
                <w:color w:val="1F3028"/>
                <w:sz w:val="18"/>
              </w:rPr>
              <w:t>Renewal readiness, scope coverage, change control, and commercial protection.</w:t>
            </w:r>
          </w:p>
        </w:tc>
      </w:tr>
      <w:tr>
        <w:tc>
          <w:tcPr>
            <w:tcW w:type="dxa" w:w="2880"/>
            <w:vAlign w:val="top"/>
          </w:tcPr>
          <w:p>
            <w:r/>
            <w:r>
              <w:rPr>
                <w:rFonts w:ascii="Aptos" w:hAnsi="Aptos"/>
                <w:b w:val="0"/>
                <w:color w:val="1F3028"/>
                <w:sz w:val="18"/>
              </w:rPr>
              <w:t>Project Health Score</w:t>
            </w:r>
          </w:p>
        </w:tc>
        <w:tc>
          <w:tcPr>
            <w:tcW w:type="dxa" w:w="1728"/>
            <w:vAlign w:val="top"/>
          </w:tcPr>
          <w:p>
            <w:r/>
            <w:r>
              <w:rPr>
                <w:rFonts w:ascii="Aptos" w:hAnsi="Aptos"/>
                <w:b w:val="0"/>
                <w:color w:val="1F3028"/>
                <w:sz w:val="18"/>
              </w:rPr>
              <w:t>15%</w:t>
            </w:r>
          </w:p>
        </w:tc>
        <w:tc>
          <w:tcPr>
            <w:tcW w:type="dxa" w:w="5760"/>
            <w:vAlign w:val="top"/>
          </w:tcPr>
          <w:p>
            <w:r/>
            <w:r>
              <w:rPr>
                <w:rFonts w:ascii="Aptos" w:hAnsi="Aptos"/>
                <w:b w:val="0"/>
                <w:color w:val="1F3028"/>
                <w:sz w:val="18"/>
              </w:rPr>
              <w:t>Sprint progress, blockers, delivery quality, and governance.</w:t>
            </w:r>
          </w:p>
        </w:tc>
      </w:tr>
      <w:tr>
        <w:tc>
          <w:tcPr>
            <w:tcW w:type="dxa" w:w="2880"/>
            <w:vAlign w:val="top"/>
          </w:tcPr>
          <w:p>
            <w:r/>
            <w:r>
              <w:rPr>
                <w:rFonts w:ascii="Aptos" w:hAnsi="Aptos"/>
                <w:b w:val="0"/>
                <w:color w:val="1F3028"/>
                <w:sz w:val="18"/>
              </w:rPr>
              <w:t>Financial Score</w:t>
            </w:r>
          </w:p>
        </w:tc>
        <w:tc>
          <w:tcPr>
            <w:tcW w:type="dxa" w:w="1728"/>
            <w:vAlign w:val="top"/>
          </w:tcPr>
          <w:p>
            <w:r/>
            <w:r>
              <w:rPr>
                <w:rFonts w:ascii="Aptos" w:hAnsi="Aptos"/>
                <w:b w:val="0"/>
                <w:color w:val="1F3028"/>
                <w:sz w:val="18"/>
              </w:rPr>
              <w:t>10%</w:t>
            </w:r>
          </w:p>
        </w:tc>
        <w:tc>
          <w:tcPr>
            <w:tcW w:type="dxa" w:w="5760"/>
            <w:vAlign w:val="top"/>
          </w:tcPr>
          <w:p>
            <w:r/>
            <w:r>
              <w:rPr>
                <w:rFonts w:ascii="Aptos" w:hAnsi="Aptos"/>
                <w:b w:val="0"/>
                <w:color w:val="1F3028"/>
                <w:sz w:val="18"/>
              </w:rPr>
              <w:t>Payment timeliness, revenue realization, invoice risk, and commercial health.</w:t>
            </w:r>
          </w:p>
        </w:tc>
      </w:tr>
      <w:tr>
        <w:tc>
          <w:tcPr>
            <w:tcW w:type="dxa" w:w="2880"/>
            <w:vAlign w:val="top"/>
          </w:tcPr>
          <w:p>
            <w:r/>
            <w:r>
              <w:rPr>
                <w:rFonts w:ascii="Aptos" w:hAnsi="Aptos"/>
                <w:b w:val="0"/>
                <w:color w:val="1F3028"/>
                <w:sz w:val="18"/>
              </w:rPr>
              <w:t>Whitespace Analysis</w:t>
            </w:r>
          </w:p>
        </w:tc>
        <w:tc>
          <w:tcPr>
            <w:tcW w:type="dxa" w:w="1728"/>
            <w:vAlign w:val="top"/>
          </w:tcPr>
          <w:p>
            <w:r/>
            <w:r>
              <w:rPr>
                <w:rFonts w:ascii="Aptos" w:hAnsi="Aptos"/>
                <w:b w:val="0"/>
                <w:color w:val="1F3028"/>
                <w:sz w:val="18"/>
              </w:rPr>
              <w:t>5%</w:t>
            </w:r>
          </w:p>
        </w:tc>
        <w:tc>
          <w:tcPr>
            <w:tcW w:type="dxa" w:w="5760"/>
            <w:vAlign w:val="top"/>
          </w:tcPr>
          <w:p>
            <w:r/>
            <w:r>
              <w:rPr>
                <w:rFonts w:ascii="Aptos" w:hAnsi="Aptos"/>
                <w:b w:val="0"/>
                <w:color w:val="1F3028"/>
                <w:sz w:val="18"/>
              </w:rPr>
              <w:t>Growth opportunity signal and expansion readiness.</w:t>
            </w:r>
          </w:p>
        </w:tc>
      </w:tr>
      <w:tr>
        <w:tc>
          <w:tcPr>
            <w:tcW w:type="dxa" w:w="2880"/>
            <w:vAlign w:val="top"/>
          </w:tcPr>
          <w:p>
            <w:r/>
            <w:r>
              <w:rPr>
                <w:rFonts w:ascii="Aptos" w:hAnsi="Aptos"/>
                <w:b w:val="0"/>
                <w:color w:val="1F3028"/>
                <w:sz w:val="18"/>
              </w:rPr>
              <w:t>Resource Health Score</w:t>
            </w:r>
          </w:p>
        </w:tc>
        <w:tc>
          <w:tcPr>
            <w:tcW w:type="dxa" w:w="1728"/>
            <w:vAlign w:val="top"/>
          </w:tcPr>
          <w:p>
            <w:r/>
            <w:r>
              <w:rPr>
                <w:rFonts w:ascii="Aptos" w:hAnsi="Aptos"/>
                <w:b w:val="0"/>
                <w:color w:val="1F3028"/>
                <w:sz w:val="18"/>
              </w:rPr>
              <w:t>0% placeholder</w:t>
            </w:r>
          </w:p>
        </w:tc>
        <w:tc>
          <w:tcPr>
            <w:tcW w:type="dxa" w:w="5760"/>
            <w:vAlign w:val="top"/>
          </w:tcPr>
          <w:p>
            <w:r/>
            <w:r>
              <w:rPr>
                <w:rFonts w:ascii="Aptos" w:hAnsi="Aptos"/>
                <w:b w:val="0"/>
                <w:color w:val="1F3028"/>
                <w:sz w:val="18"/>
              </w:rPr>
              <w:t>Tkxel resource stability and fit; held as placeholder until live Worksphere resource data matures.</w:t>
            </w:r>
          </w:p>
        </w:tc>
      </w:tr>
    </w:tbl>
    <w:p/>
    <w:p>
      <w:pPr>
        <w:pStyle w:val="Heading1"/>
      </w:pPr>
      <w:r>
        <w:t>7. Approval Rules</w:t>
      </w:r>
    </w:p>
    <w:p>
      <w:pPr>
        <w:pStyle w:val="ListBullet"/>
      </w:pPr>
      <w:r>
        <w:t>Associate changes create requests requiring KAM approval.</w:t>
      </w:r>
    </w:p>
    <w:p>
      <w:pPr>
        <w:pStyle w:val="ListBullet"/>
      </w:pPr>
      <w:r>
        <w:t>KAM changes can be saved directly, approved, denied, or edited before approval.</w:t>
      </w:r>
    </w:p>
    <w:p>
      <w:pPr>
        <w:pStyle w:val="ListBullet"/>
      </w:pPr>
      <w:r>
        <w:t>Reasons are required for denials, dismissals, completed task confirmations, score overrides, and approval decisions where governance requires traceability.</w:t>
      </w:r>
    </w:p>
    <w:p>
      <w:pPr>
        <w:pStyle w:val="ListBullet"/>
      </w:pPr>
      <w:r>
        <w:t>The reason history should feed audit trail and the user-specific AI rules playbook.</w:t>
      </w:r>
    </w:p>
    <w:p>
      <w:pPr>
        <w:pStyle w:val="Heading1"/>
      </w:pPr>
      <w:r>
        <w:t>8. Integrations</w:t>
      </w:r>
    </w:p>
    <w:p>
      <w:r>
        <w:t>The POC displays mock integrations for Salesforce, Gmail, Jira, Worksphere, finance invoice tracking, LLM, and AI note taker. Integration state is shown in Settings and should be treated as simulated unless explicitly wired.</w:t>
      </w:r>
    </w:p>
    <w:p>
      <w:pPr>
        <w:pStyle w:val="Heading1"/>
      </w:pPr>
      <w:r>
        <w:t>9. Non-Functional Requirements</w:t>
      </w:r>
    </w:p>
    <w:p>
      <w:pPr>
        <w:pStyle w:val="ListBullet"/>
      </w:pPr>
      <w:r>
        <w:t>The UI should remain cohesive, paper-like, human, and avoid unnecessary all-caps labels.</w:t>
      </w:r>
    </w:p>
    <w:p>
      <w:pPr>
        <w:pStyle w:val="ListBullet"/>
      </w:pPr>
      <w:r>
        <w:t>Generated artifacts should be durable and accessible across sessions in production.</w:t>
      </w:r>
    </w:p>
    <w:p>
      <w:pPr>
        <w:pStyle w:val="ListBullet"/>
      </w:pPr>
      <w:r>
        <w:t>AI actions should be explainable and reversible where feasible.</w:t>
      </w:r>
    </w:p>
    <w:p>
      <w:pPr>
        <w:pStyle w:val="ListBullet"/>
      </w:pPr>
      <w:r>
        <w:t>Routes should be deep-linkable for notifications and account focus items.</w:t>
      </w:r>
    </w:p>
    <w:p>
      <w:pPr>
        <w:pStyle w:val="ListBullet"/>
      </w:pPr>
      <w:r>
        <w:t>The app should fail gracefully when API keys, quota, or storage are unavailable.</w:t>
      </w:r>
    </w:p>
    <w:p>
      <w:pPr>
        <w:pStyle w:val="Heading1"/>
      </w:pPr>
      <w:r>
        <w:t>10. Acceptance Criteria</w:t>
      </w:r>
    </w:p>
    <w:p>
      <w:pPr>
        <w:pStyle w:val="ListBullet"/>
      </w:pPr>
      <w:r>
        <w:t>All role paths can sign in and access expected pages.</w:t>
      </w:r>
    </w:p>
    <w:p>
      <w:pPr>
        <w:pStyle w:val="ListBullet"/>
      </w:pPr>
      <w:r>
        <w:t>Home calendar month and timeline views show consistent data.</w:t>
      </w:r>
    </w:p>
    <w:p>
      <w:pPr>
        <w:pStyle w:val="ListBullet"/>
      </w:pPr>
      <w:r>
        <w:t>Account workspaces show correct account-specific scores, tasks, documents, contacts, resources, and journey items.</w:t>
      </w:r>
    </w:p>
    <w:p>
      <w:pPr>
        <w:pStyle w:val="ListBullet"/>
      </w:pPr>
      <w:r>
        <w:t>KYC regeneration creates a reviewable DOCX draft and can update account information after acceptance.</w:t>
      </w:r>
    </w:p>
    <w:p>
      <w:pPr>
        <w:pStyle w:val="ListBullet"/>
      </w:pPr>
      <w:r>
        <w:t>Generated documents are not finalized with unknown/TBD placeholders unless explicitly accepted.</w:t>
      </w:r>
    </w:p>
    <w:p>
      <w:pPr>
        <w:pStyle w:val="ListBullet"/>
      </w:pPr>
      <w:r>
        <w:t>Settings contains KPI sliders, AI rules, integrations, account allocation, invite controls, and audit timeline.</w:t>
      </w:r>
    </w:p>
    <w:p>
      <w:pPr>
        <w:pStyle w:val="ListBullet"/>
      </w:pPr>
      <w:r>
        <w:t>Notifications are generated from actual app state and route to the originating item.</w:t>
      </w:r>
    </w:p>
    <w:p>
      <w:pPr>
        <w:pStyle w:val="Heading1"/>
      </w:pPr>
      <w:r>
        <w:t>11. Remaining Hardening Items</w:t>
      </w:r>
    </w:p>
    <w:p>
      <w:pPr>
        <w:pStyle w:val="ListBullet"/>
      </w:pPr>
      <w:r>
        <w:t>Persist Templates and some prototype UI state to the database.</w:t>
      </w:r>
    </w:p>
    <w:p>
      <w:pPr>
        <w:pStyle w:val="ListBullet"/>
      </w:pPr>
      <w:r>
        <w:t>Complete the playbook parser to task recommendation pipeline with real scoring/account history inputs.</w:t>
      </w:r>
    </w:p>
    <w:p>
      <w:pPr>
        <w:pStyle w:val="ListBullet"/>
      </w:pPr>
      <w:r>
        <w:t>Move production file storage to durable object storage.</w:t>
      </w:r>
    </w:p>
    <w:p>
      <w:pPr>
        <w:pStyle w:val="ListBullet"/>
      </w:pPr>
      <w:r>
        <w:t>Deepen the journey assistant into a fully LLM-backed editor with robust diff validation.</w:t>
      </w:r>
    </w:p>
    <w:p>
      <w:pPr>
        <w:pStyle w:val="ListBullet"/>
      </w:pPr>
      <w:r>
        <w:t>Run full UI regression QA before final demo deployment.</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F302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302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30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302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302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