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35702" w14:textId="68E8C487" w:rsidR="00640AC0" w:rsidRDefault="00E20938">
      <w:pPr>
        <w:rPr>
          <w:sz w:val="36"/>
          <w:szCs w:val="36"/>
        </w:rPr>
      </w:pPr>
      <w:r w:rsidRPr="00E20938">
        <w:rPr>
          <w:sz w:val="36"/>
          <w:szCs w:val="36"/>
        </w:rPr>
        <w:t>Cost</w:t>
      </w:r>
      <w:r>
        <w:rPr>
          <w:sz w:val="36"/>
          <w:szCs w:val="36"/>
        </w:rPr>
        <w:t xml:space="preserve"> </w:t>
      </w:r>
      <w:r w:rsidRPr="00E20938">
        <w:rPr>
          <w:sz w:val="36"/>
          <w:szCs w:val="36"/>
        </w:rPr>
        <w:t>and</w:t>
      </w:r>
      <w:r>
        <w:rPr>
          <w:sz w:val="36"/>
          <w:szCs w:val="36"/>
        </w:rPr>
        <w:t xml:space="preserve"> </w:t>
      </w:r>
      <w:r w:rsidRPr="00E20938">
        <w:rPr>
          <w:sz w:val="36"/>
          <w:szCs w:val="36"/>
        </w:rPr>
        <w:t>performance</w:t>
      </w:r>
      <w:r>
        <w:rPr>
          <w:sz w:val="36"/>
          <w:szCs w:val="36"/>
        </w:rPr>
        <w:t xml:space="preserve"> </w:t>
      </w:r>
      <w:r w:rsidRPr="00E20938">
        <w:rPr>
          <w:sz w:val="36"/>
          <w:szCs w:val="36"/>
        </w:rPr>
        <w:t>characteristics</w:t>
      </w:r>
      <w:r>
        <w:rPr>
          <w:sz w:val="36"/>
          <w:szCs w:val="36"/>
        </w:rPr>
        <w:t xml:space="preserve"> </w:t>
      </w:r>
      <w:r w:rsidRPr="00E20938">
        <w:rPr>
          <w:sz w:val="36"/>
          <w:szCs w:val="36"/>
        </w:rPr>
        <w:t>of</w:t>
      </w:r>
      <w:r>
        <w:rPr>
          <w:sz w:val="36"/>
          <w:szCs w:val="36"/>
        </w:rPr>
        <w:t xml:space="preserve"> </w:t>
      </w:r>
      <w:r w:rsidRPr="00E20938">
        <w:rPr>
          <w:sz w:val="36"/>
          <w:szCs w:val="36"/>
        </w:rPr>
        <w:t>new</w:t>
      </w:r>
      <w:r>
        <w:rPr>
          <w:sz w:val="36"/>
          <w:szCs w:val="36"/>
        </w:rPr>
        <w:t xml:space="preserve"> </w:t>
      </w:r>
      <w:r w:rsidRPr="00E20938">
        <w:rPr>
          <w:sz w:val="36"/>
          <w:szCs w:val="36"/>
        </w:rPr>
        <w:t>central</w:t>
      </w:r>
      <w:r>
        <w:rPr>
          <w:sz w:val="36"/>
          <w:szCs w:val="36"/>
        </w:rPr>
        <w:t xml:space="preserve"> </w:t>
      </w:r>
      <w:r w:rsidRPr="00E20938">
        <w:rPr>
          <w:sz w:val="36"/>
          <w:szCs w:val="36"/>
        </w:rPr>
        <w:t>station</w:t>
      </w:r>
      <w:r>
        <w:rPr>
          <w:sz w:val="36"/>
          <w:szCs w:val="36"/>
        </w:rPr>
        <w:t xml:space="preserve"> </w:t>
      </w:r>
      <w:r w:rsidRPr="00E20938">
        <w:rPr>
          <w:sz w:val="36"/>
          <w:szCs w:val="36"/>
        </w:rPr>
        <w:t>el</w:t>
      </w:r>
      <w:r>
        <w:rPr>
          <w:sz w:val="36"/>
          <w:szCs w:val="36"/>
        </w:rPr>
        <w:t>e</w:t>
      </w:r>
      <w:r w:rsidRPr="00E20938">
        <w:rPr>
          <w:sz w:val="36"/>
          <w:szCs w:val="36"/>
        </w:rPr>
        <w:t>ctricity</w:t>
      </w:r>
      <w:r>
        <w:rPr>
          <w:sz w:val="36"/>
          <w:szCs w:val="36"/>
        </w:rPr>
        <w:t xml:space="preserve"> </w:t>
      </w:r>
      <w:r w:rsidRPr="00E20938">
        <w:rPr>
          <w:sz w:val="36"/>
          <w:szCs w:val="36"/>
        </w:rPr>
        <w:t>generating</w:t>
      </w:r>
      <w:r>
        <w:rPr>
          <w:sz w:val="36"/>
          <w:szCs w:val="36"/>
        </w:rPr>
        <w:t xml:space="preserve"> </w:t>
      </w:r>
      <w:r w:rsidRPr="00E20938">
        <w:rPr>
          <w:sz w:val="36"/>
          <w:szCs w:val="36"/>
        </w:rPr>
        <w:t>technologies</w:t>
      </w:r>
      <w:r>
        <w:rPr>
          <w:sz w:val="36"/>
          <w:szCs w:val="36"/>
        </w:rPr>
        <w:t>: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0938" w:rsidRPr="00E20938" w14:paraId="18B6E57B" w14:textId="77777777" w:rsidTr="00E20938">
        <w:trPr>
          <w:trHeight w:val="300"/>
        </w:trPr>
        <w:tc>
          <w:tcPr>
            <w:tcW w:w="9350" w:type="dxa"/>
            <w:hideMark/>
          </w:tcPr>
          <w:p w14:paraId="7B5C22FB" w14:textId="77777777" w:rsidR="00E20938" w:rsidRPr="00E20938" w:rsidRDefault="00E20938">
            <w:pPr>
              <w:rPr>
                <w:sz w:val="24"/>
                <w:szCs w:val="24"/>
              </w:rPr>
            </w:pPr>
            <w:r w:rsidRPr="00E20938">
              <w:rPr>
                <w:sz w:val="24"/>
                <w:szCs w:val="24"/>
              </w:rPr>
              <w:t>Notes</w:t>
            </w:r>
          </w:p>
        </w:tc>
      </w:tr>
      <w:tr w:rsidR="00E20938" w:rsidRPr="00E20938" w14:paraId="604104BC" w14:textId="77777777" w:rsidTr="00E20938">
        <w:trPr>
          <w:trHeight w:val="600"/>
        </w:trPr>
        <w:tc>
          <w:tcPr>
            <w:tcW w:w="9350" w:type="dxa"/>
            <w:hideMark/>
          </w:tcPr>
          <w:p w14:paraId="3B8E618C" w14:textId="52F88514" w:rsidR="00E20938" w:rsidRPr="00E20938" w:rsidRDefault="00E20938">
            <w:pPr>
              <w:rPr>
                <w:sz w:val="24"/>
                <w:szCs w:val="24"/>
              </w:rPr>
            </w:pPr>
            <w:r w:rsidRPr="00E2093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‐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Represents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first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year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that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unit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could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become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operational.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20938" w:rsidRPr="00E20938" w14:paraId="20F40A56" w14:textId="77777777" w:rsidTr="00E20938">
        <w:trPr>
          <w:trHeight w:val="1565"/>
        </w:trPr>
        <w:tc>
          <w:tcPr>
            <w:tcW w:w="9350" w:type="dxa"/>
            <w:hideMark/>
          </w:tcPr>
          <w:p w14:paraId="395F8813" w14:textId="43221745" w:rsidR="00E20938" w:rsidRPr="00E20938" w:rsidRDefault="00E20938">
            <w:pPr>
              <w:rPr>
                <w:sz w:val="24"/>
                <w:szCs w:val="24"/>
              </w:rPr>
            </w:pPr>
            <w:r w:rsidRPr="00E2093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–AACE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International,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Association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Advancement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Cost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Engineering,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has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defined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contingency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“An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amount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added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estimate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allow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items,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conditions,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or</w:t>
            </w:r>
            <w:r>
              <w:rPr>
                <w:sz w:val="24"/>
                <w:szCs w:val="24"/>
              </w:rPr>
              <w:t xml:space="preserve"> events </w:t>
            </w:r>
            <w:r w:rsidRPr="00E20938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which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state,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occurrence,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or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effect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uncertain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that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experience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shows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will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likely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result,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aggregate,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additional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costs.”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E20938" w:rsidRPr="00E20938" w14:paraId="40C13C00" w14:textId="77777777" w:rsidTr="00E20938">
        <w:trPr>
          <w:trHeight w:val="1070"/>
        </w:trPr>
        <w:tc>
          <w:tcPr>
            <w:tcW w:w="9350" w:type="dxa"/>
            <w:hideMark/>
          </w:tcPr>
          <w:p w14:paraId="4D3D3904" w14:textId="2B5B802B" w:rsidR="00E20938" w:rsidRPr="00E20938" w:rsidRDefault="00E20938">
            <w:pPr>
              <w:rPr>
                <w:sz w:val="24"/>
                <w:szCs w:val="24"/>
              </w:rPr>
            </w:pPr>
            <w:r w:rsidRPr="00E20938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‐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technological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optimism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factor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applied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first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four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units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new,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unproven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design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reflects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demonstrated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tendency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underestimate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actual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costs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first</w:t>
            </w:r>
            <w:r w:rsidRPr="00E20938">
              <w:rPr>
                <w:sz w:val="24"/>
                <w:szCs w:val="24"/>
              </w:rPr>
              <w:t>‐of‐a‐kind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unit.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E20938" w:rsidRPr="00E20938" w14:paraId="19885802" w14:textId="77777777" w:rsidTr="00E20938">
        <w:trPr>
          <w:trHeight w:val="998"/>
        </w:trPr>
        <w:tc>
          <w:tcPr>
            <w:tcW w:w="9350" w:type="dxa"/>
            <w:hideMark/>
          </w:tcPr>
          <w:p w14:paraId="502794E8" w14:textId="12C96926" w:rsidR="00E20938" w:rsidRPr="00E20938" w:rsidRDefault="00E20938">
            <w:pPr>
              <w:rPr>
                <w:sz w:val="24"/>
                <w:szCs w:val="24"/>
              </w:rPr>
            </w:pPr>
            <w:r w:rsidRPr="00E20938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‐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Overnight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capital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cost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including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contingency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factors,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excluding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regional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multipliers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(except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noted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wind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solar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PV)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learning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effects.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Interest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charges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also</w:t>
            </w:r>
            <w:r>
              <w:rPr>
                <w:sz w:val="24"/>
                <w:szCs w:val="24"/>
              </w:rPr>
              <w:t xml:space="preserve"> excluded</w:t>
            </w:r>
            <w:r w:rsidRPr="00E2093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These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represent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current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costs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plants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that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would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come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online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2018.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E20938" w:rsidRPr="00E20938" w14:paraId="3B59A2FA" w14:textId="77777777" w:rsidTr="00E20938">
        <w:trPr>
          <w:trHeight w:val="900"/>
        </w:trPr>
        <w:tc>
          <w:tcPr>
            <w:tcW w:w="9350" w:type="dxa"/>
            <w:hideMark/>
          </w:tcPr>
          <w:p w14:paraId="1EA50265" w14:textId="787C0B7F" w:rsidR="00E20938" w:rsidRPr="00E20938" w:rsidRDefault="00E20938">
            <w:pPr>
              <w:rPr>
                <w:sz w:val="24"/>
                <w:szCs w:val="24"/>
              </w:rPr>
            </w:pPr>
            <w:r w:rsidRPr="00E20938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‐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O&amp;M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Operations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maintenance.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Fuel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Costs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significant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part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variable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O&amp;M.</w:t>
            </w:r>
          </w:p>
        </w:tc>
      </w:tr>
      <w:tr w:rsidR="00E20938" w:rsidRPr="00E20938" w14:paraId="14B55032" w14:textId="77777777" w:rsidTr="00E20938">
        <w:trPr>
          <w:trHeight w:val="2753"/>
        </w:trPr>
        <w:tc>
          <w:tcPr>
            <w:tcW w:w="9350" w:type="dxa"/>
            <w:hideMark/>
          </w:tcPr>
          <w:p w14:paraId="78CE12D4" w14:textId="74C3530E" w:rsidR="00E20938" w:rsidRPr="00E20938" w:rsidRDefault="00E20938" w:rsidP="00E20938">
            <w:pPr>
              <w:rPr>
                <w:sz w:val="24"/>
                <w:szCs w:val="24"/>
              </w:rPr>
            </w:pPr>
            <w:r w:rsidRPr="00E20938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‐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hydropower,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wind,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solar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geothermal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technologies,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heat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rate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shown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represents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average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heat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rate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conventional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thermal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generation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2016.</w:t>
            </w:r>
            <w:r>
              <w:rPr>
                <w:sz w:val="24"/>
                <w:szCs w:val="24"/>
              </w:rPr>
              <w:t xml:space="preserve">  </w:t>
            </w:r>
            <w:r w:rsidRPr="00E20938">
              <w:rPr>
                <w:sz w:val="24"/>
                <w:szCs w:val="24"/>
              </w:rPr>
              <w:t>This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heat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rate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used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purposes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calculating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primary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energy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consumption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displaced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these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resources,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does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imply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estimate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their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actual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energy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conversion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efficiency.</w:t>
            </w:r>
            <w:r>
              <w:rPr>
                <w:sz w:val="24"/>
                <w:szCs w:val="24"/>
              </w:rPr>
              <w:t xml:space="preserve"> 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nuclear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average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heat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rate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weighted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average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tested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heat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rate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nuclear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units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reported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on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Form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EIA‐860,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"Annual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Electric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Generator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Report."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heat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rate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reported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battery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storage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because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primary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conversion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technology;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conversion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losses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accounted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when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electricity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first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generated;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electricity‐to‐storage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losses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accounted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through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additional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demand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electricity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required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meet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load.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20938" w:rsidRPr="00E20938" w14:paraId="4007786C" w14:textId="77777777" w:rsidTr="00E20938">
        <w:trPr>
          <w:trHeight w:val="710"/>
        </w:trPr>
        <w:tc>
          <w:tcPr>
            <w:tcW w:w="9350" w:type="dxa"/>
            <w:hideMark/>
          </w:tcPr>
          <w:p w14:paraId="0AD24757" w14:textId="4B50FFB9" w:rsidR="00E20938" w:rsidRPr="00E20938" w:rsidRDefault="00E20938">
            <w:pPr>
              <w:rPr>
                <w:sz w:val="24"/>
                <w:szCs w:val="24"/>
              </w:rPr>
            </w:pPr>
            <w:r w:rsidRPr="00E20938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Conventional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combustion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turbine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units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can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be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built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by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model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prior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2018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if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necessary,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meet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given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region's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reserve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margin.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20938" w:rsidRPr="00E20938" w14:paraId="14647337" w14:textId="77777777" w:rsidTr="00E20938">
        <w:trPr>
          <w:trHeight w:val="600"/>
        </w:trPr>
        <w:tc>
          <w:tcPr>
            <w:tcW w:w="9350" w:type="dxa"/>
            <w:hideMark/>
          </w:tcPr>
          <w:p w14:paraId="79A39A54" w14:textId="7367B51F" w:rsidR="00E20938" w:rsidRPr="00E20938" w:rsidRDefault="00E20938">
            <w:pPr>
              <w:rPr>
                <w:sz w:val="24"/>
                <w:szCs w:val="24"/>
              </w:rPr>
            </w:pPr>
            <w:r w:rsidRPr="00E20938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‐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Capital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costs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shown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before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investment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tax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credits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applied.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20938" w:rsidRPr="00E20938" w14:paraId="0A0B06BA" w14:textId="77777777" w:rsidTr="00E20938">
        <w:trPr>
          <w:trHeight w:val="962"/>
        </w:trPr>
        <w:tc>
          <w:tcPr>
            <w:tcW w:w="9350" w:type="dxa"/>
            <w:hideMark/>
          </w:tcPr>
          <w:p w14:paraId="6CA4D1A1" w14:textId="43B83B92" w:rsidR="00E20938" w:rsidRPr="00E20938" w:rsidRDefault="00E20938">
            <w:pPr>
              <w:rPr>
                <w:sz w:val="24"/>
                <w:szCs w:val="24"/>
              </w:rPr>
            </w:pPr>
            <w:r w:rsidRPr="00E20938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‐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Because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geothermal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hydropower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cost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performance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characteristics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specific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each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site,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table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entries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represent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cost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least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expensive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plant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that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could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be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built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Northwest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Power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Pool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region,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where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most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proposed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sites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located.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20938" w:rsidRPr="00E20938" w14:paraId="7E1E41C1" w14:textId="77777777" w:rsidTr="00E20938">
        <w:trPr>
          <w:trHeight w:val="3050"/>
        </w:trPr>
        <w:tc>
          <w:tcPr>
            <w:tcW w:w="9350" w:type="dxa"/>
            <w:hideMark/>
          </w:tcPr>
          <w:p w14:paraId="640DBD26" w14:textId="2DDCD0AC" w:rsidR="00E20938" w:rsidRPr="00E20938" w:rsidRDefault="00E20938">
            <w:pPr>
              <w:rPr>
                <w:sz w:val="24"/>
                <w:szCs w:val="24"/>
              </w:rPr>
            </w:pPr>
            <w:r w:rsidRPr="00E20938">
              <w:rPr>
                <w:sz w:val="24"/>
                <w:szCs w:val="24"/>
              </w:rPr>
              <w:lastRenderedPageBreak/>
              <w:t>10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‐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Wind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both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solar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PV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technologies'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total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overnight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cost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shown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table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represents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average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input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value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across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electricity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market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regions,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weighted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by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respective </w:t>
            </w:r>
            <w:r w:rsidRPr="00E20938">
              <w:rPr>
                <w:sz w:val="24"/>
                <w:szCs w:val="24"/>
              </w:rPr>
              <w:t>capacity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that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installed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during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2016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each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region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account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substantial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regional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variation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wind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solar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costs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(as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shown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Table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8.3).</w:t>
            </w:r>
            <w:r>
              <w:rPr>
                <w:sz w:val="24"/>
                <w:szCs w:val="24"/>
              </w:rPr>
              <w:t xml:space="preserve"> 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input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value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used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wind </w:t>
            </w:r>
            <w:r w:rsidRPr="00E20938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AEO2018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was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$1,887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per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kilowatt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(kW),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solar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PV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with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tracking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was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$2,207/kW,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solar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PV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fixed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tilt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was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$2,068,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representing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cost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building</w:t>
            </w:r>
            <w:r>
              <w:rPr>
                <w:sz w:val="24"/>
                <w:szCs w:val="24"/>
              </w:rPr>
              <w:t xml:space="preserve"> a </w:t>
            </w:r>
            <w:r w:rsidRPr="00E20938">
              <w:rPr>
                <w:sz w:val="24"/>
                <w:szCs w:val="24"/>
              </w:rPr>
              <w:t>plant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excluding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regional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factors.</w:t>
            </w:r>
            <w:r>
              <w:rPr>
                <w:sz w:val="24"/>
                <w:szCs w:val="24"/>
              </w:rPr>
              <w:t xml:space="preserve">  </w:t>
            </w:r>
            <w:r w:rsidRPr="00E20938">
              <w:rPr>
                <w:sz w:val="24"/>
                <w:szCs w:val="24"/>
              </w:rPr>
              <w:t>Region‐specific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factors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contributing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substantial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regional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variation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cost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include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differences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typical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project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size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across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regions,</w:t>
            </w:r>
            <w:r>
              <w:rPr>
                <w:sz w:val="24"/>
                <w:szCs w:val="24"/>
              </w:rPr>
              <w:t xml:space="preserve"> accessibility </w:t>
            </w:r>
            <w:r w:rsidRPr="00E20938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resources,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variation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labor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other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construction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costs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through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country.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E20938" w:rsidRPr="00E20938" w14:paraId="0AA7165F" w14:textId="77777777" w:rsidTr="00E20938">
        <w:trPr>
          <w:trHeight w:val="710"/>
        </w:trPr>
        <w:tc>
          <w:tcPr>
            <w:tcW w:w="9350" w:type="dxa"/>
            <w:hideMark/>
          </w:tcPr>
          <w:p w14:paraId="69CD78FB" w14:textId="61A7DF7B" w:rsidR="00E20938" w:rsidRPr="00E20938" w:rsidRDefault="00E20938">
            <w:pPr>
              <w:rPr>
                <w:sz w:val="24"/>
                <w:szCs w:val="24"/>
              </w:rPr>
            </w:pPr>
            <w:r w:rsidRPr="00E20938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‐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Costs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capacities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expressed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terms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net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power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available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grid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installed</w:t>
            </w:r>
            <w:r>
              <w:rPr>
                <w:sz w:val="24"/>
                <w:szCs w:val="24"/>
              </w:rPr>
              <w:t xml:space="preserve"> </w:t>
            </w:r>
            <w:r w:rsidRPr="00E20938">
              <w:rPr>
                <w:sz w:val="24"/>
                <w:szCs w:val="24"/>
              </w:rPr>
              <w:t>capacity.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 w14:paraId="39686C2C" w14:textId="0570F1D9" w:rsidR="00E20938" w:rsidRDefault="00E20938">
      <w:pPr>
        <w:rPr>
          <w:sz w:val="24"/>
          <w:szCs w:val="24"/>
        </w:rPr>
      </w:pPr>
    </w:p>
    <w:p w14:paraId="58FAC18F" w14:textId="26E07FD7" w:rsidR="00F64E82" w:rsidRDefault="00F64E82">
      <w:pPr>
        <w:rPr>
          <w:sz w:val="24"/>
          <w:szCs w:val="24"/>
        </w:rPr>
      </w:pPr>
    </w:p>
    <w:p w14:paraId="0D951C5F" w14:textId="154E3FCA" w:rsidR="00F64E82" w:rsidRDefault="00F64E82">
      <w:pPr>
        <w:rPr>
          <w:sz w:val="24"/>
          <w:szCs w:val="24"/>
        </w:rPr>
      </w:pPr>
      <w:r>
        <w:rPr>
          <w:sz w:val="24"/>
          <w:szCs w:val="24"/>
        </w:rPr>
        <w:t>Additional:</w:t>
      </w:r>
    </w:p>
    <w:p w14:paraId="75F1F6D4" w14:textId="5E972A09" w:rsidR="00F64E82" w:rsidRDefault="00F64E82">
      <w:pPr>
        <w:rPr>
          <w:sz w:val="24"/>
          <w:szCs w:val="24"/>
        </w:rPr>
      </w:pPr>
    </w:p>
    <w:p w14:paraId="68348165" w14:textId="6DF7E347" w:rsidR="00F64E82" w:rsidRDefault="00F64E82">
      <w:pPr>
        <w:rPr>
          <w:sz w:val="24"/>
          <w:szCs w:val="24"/>
        </w:rPr>
      </w:pPr>
      <w:r>
        <w:rPr>
          <w:sz w:val="24"/>
          <w:szCs w:val="24"/>
        </w:rPr>
        <w:t>Nth-of-</w:t>
      </w:r>
      <w:proofErr w:type="spellStart"/>
      <w:r>
        <w:rPr>
          <w:sz w:val="24"/>
          <w:szCs w:val="24"/>
        </w:rPr>
        <w:t>akind</w:t>
      </w:r>
      <w:proofErr w:type="spellEnd"/>
      <w:r>
        <w:rPr>
          <w:sz w:val="24"/>
          <w:szCs w:val="24"/>
        </w:rPr>
        <w:t xml:space="preserve"> heat rate is the thermal efficiency of that type of power plant.</w:t>
      </w:r>
    </w:p>
    <w:p w14:paraId="59D70D35" w14:textId="482074DD" w:rsidR="00F64E82" w:rsidRDefault="00F64E82">
      <w:pPr>
        <w:rPr>
          <w:sz w:val="24"/>
          <w:szCs w:val="24"/>
        </w:rPr>
      </w:pPr>
      <w:hyperlink r:id="rId4" w:history="1">
        <w:r w:rsidRPr="0039790A">
          <w:rPr>
            <w:rStyle w:val="Hyperlink"/>
            <w:sz w:val="24"/>
            <w:szCs w:val="24"/>
          </w:rPr>
          <w:t>https://www.eia.gov/tools/glossary/index.php?id=T#therm_eff</w:t>
        </w:r>
      </w:hyperlink>
    </w:p>
    <w:p w14:paraId="43BB01A2" w14:textId="2D31C0E9" w:rsidR="00F64E82" w:rsidRDefault="00F64E82">
      <w:pPr>
        <w:rPr>
          <w:sz w:val="24"/>
          <w:szCs w:val="24"/>
        </w:rPr>
      </w:pPr>
      <w:hyperlink r:id="rId5" w:history="1">
        <w:r w:rsidRPr="0039790A">
          <w:rPr>
            <w:rStyle w:val="Hyperlink"/>
            <w:sz w:val="24"/>
            <w:szCs w:val="24"/>
          </w:rPr>
          <w:t>https://www.eia.gov/outlooks/capitalcost/</w:t>
        </w:r>
      </w:hyperlink>
    </w:p>
    <w:p w14:paraId="57D09B7F" w14:textId="68C264A3" w:rsidR="00F64E82" w:rsidRDefault="00F64E82">
      <w:pPr>
        <w:rPr>
          <w:sz w:val="24"/>
          <w:szCs w:val="24"/>
        </w:rPr>
      </w:pPr>
    </w:p>
    <w:p w14:paraId="049BB1B0" w14:textId="2FC04DA5" w:rsidR="00F64E82" w:rsidRPr="00E20938" w:rsidRDefault="00F64E82">
      <w:pPr>
        <w:rPr>
          <w:sz w:val="24"/>
          <w:szCs w:val="24"/>
        </w:rPr>
      </w:pPr>
      <w:r>
        <w:rPr>
          <w:sz w:val="24"/>
          <w:szCs w:val="24"/>
        </w:rPr>
        <w:t>Starting year appears to be 2017. 1s year available is current year (2017) + lead time.</w:t>
      </w:r>
      <w:bookmarkStart w:id="0" w:name="_GoBack"/>
      <w:bookmarkEnd w:id="0"/>
    </w:p>
    <w:sectPr w:rsidR="00F64E82" w:rsidRPr="00E20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38"/>
    <w:rsid w:val="00640AC0"/>
    <w:rsid w:val="00CD55EA"/>
    <w:rsid w:val="00E20938"/>
    <w:rsid w:val="00F6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9E28"/>
  <w15:chartTrackingRefBased/>
  <w15:docId w15:val="{CF7E61A8-9397-404C-B9F7-9FB4A43C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4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ia.gov/outlooks/capitalcost/" TargetMode="External"/><Relationship Id="rId4" Type="http://schemas.openxmlformats.org/officeDocument/2006/relationships/hyperlink" Target="https://www.eia.gov/tools/glossary/index.php?id=T#therm_e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North</dc:creator>
  <cp:keywords/>
  <dc:description/>
  <cp:lastModifiedBy>Alex North</cp:lastModifiedBy>
  <cp:revision>2</cp:revision>
  <dcterms:created xsi:type="dcterms:W3CDTF">2019-02-26T05:47:00Z</dcterms:created>
  <dcterms:modified xsi:type="dcterms:W3CDTF">2019-02-26T06:21:00Z</dcterms:modified>
</cp:coreProperties>
</file>