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881E73" w14:textId="77777777" w:rsidR="001C00E3" w:rsidRPr="00B24B5F" w:rsidRDefault="00B24B5F" w:rsidP="00F97DFD">
      <w:pPr>
        <w:tabs>
          <w:tab w:val="left" w:pos="1080"/>
          <w:tab w:val="left" w:pos="1170"/>
          <w:tab w:val="left" w:pos="1710"/>
        </w:tabs>
        <w:spacing w:after="0"/>
        <w:rPr>
          <w:rFonts w:cs="Arial"/>
        </w:rPr>
      </w:pPr>
      <w:r w:rsidRPr="00B24B5F">
        <w:rPr>
          <w:rFonts w:cs="Arial"/>
        </w:rPr>
        <w:t>Travis Lageman</w:t>
      </w:r>
    </w:p>
    <w:p w14:paraId="2804F373" w14:textId="77777777" w:rsidR="00B24B5F" w:rsidRPr="00B24B5F" w:rsidRDefault="00B24B5F" w:rsidP="00F97DFD">
      <w:pPr>
        <w:tabs>
          <w:tab w:val="left" w:pos="1080"/>
          <w:tab w:val="left" w:pos="1170"/>
          <w:tab w:val="left" w:pos="1710"/>
        </w:tabs>
        <w:spacing w:after="0"/>
        <w:rPr>
          <w:rFonts w:cs="Arial"/>
        </w:rPr>
      </w:pPr>
      <w:r w:rsidRPr="00B24B5F">
        <w:rPr>
          <w:rFonts w:cs="Arial"/>
        </w:rPr>
        <w:t>GES 686</w:t>
      </w:r>
    </w:p>
    <w:p w14:paraId="60FC5C2A" w14:textId="6D46C8C6" w:rsidR="00B24B5F" w:rsidRPr="00B24B5F" w:rsidRDefault="00F97DFD" w:rsidP="00F97DFD">
      <w:pPr>
        <w:tabs>
          <w:tab w:val="left" w:pos="1080"/>
          <w:tab w:val="left" w:pos="1170"/>
          <w:tab w:val="left" w:pos="1710"/>
        </w:tabs>
        <w:spacing w:after="0"/>
        <w:rPr>
          <w:rFonts w:cs="Arial"/>
        </w:rPr>
      </w:pPr>
      <w:r>
        <w:rPr>
          <w:rFonts w:cs="Arial"/>
        </w:rPr>
        <w:t>Final Project</w:t>
      </w:r>
    </w:p>
    <w:p w14:paraId="66956F95" w14:textId="6A9412B8" w:rsidR="00B24B5F" w:rsidRDefault="00F97DFD" w:rsidP="00F97DFD">
      <w:pPr>
        <w:tabs>
          <w:tab w:val="left" w:pos="1080"/>
          <w:tab w:val="left" w:pos="1170"/>
          <w:tab w:val="left" w:pos="1710"/>
        </w:tabs>
        <w:spacing w:after="0"/>
        <w:rPr>
          <w:rFonts w:cs="Arial"/>
        </w:rPr>
      </w:pPr>
      <w:r>
        <w:rPr>
          <w:rFonts w:cs="Arial"/>
        </w:rPr>
        <w:t>5/23/18</w:t>
      </w:r>
    </w:p>
    <w:p w14:paraId="7DD2A6AA" w14:textId="77777777" w:rsidR="00F97DFD" w:rsidRPr="00B24B5F" w:rsidRDefault="00F97DFD" w:rsidP="00F97DFD">
      <w:pPr>
        <w:tabs>
          <w:tab w:val="left" w:pos="1080"/>
          <w:tab w:val="left" w:pos="1170"/>
          <w:tab w:val="left" w:pos="1710"/>
        </w:tabs>
        <w:spacing w:after="0"/>
        <w:rPr>
          <w:rFonts w:cs="Arial"/>
        </w:rPr>
      </w:pPr>
    </w:p>
    <w:p w14:paraId="0DE69979" w14:textId="3D34C70F" w:rsidR="00B24B5F" w:rsidRPr="00D35EBE" w:rsidRDefault="001C00E3" w:rsidP="00A278F0">
      <w:pPr>
        <w:ind w:right="720"/>
        <w:rPr>
          <w:b/>
          <w:bCs/>
          <w:sz w:val="28"/>
        </w:rPr>
      </w:pPr>
      <w:r w:rsidRPr="00D35EBE">
        <w:rPr>
          <w:b/>
          <w:sz w:val="28"/>
        </w:rPr>
        <w:t>Project Description:</w:t>
      </w:r>
      <w:r w:rsidR="00A278F0" w:rsidRPr="00D35EBE">
        <w:rPr>
          <w:b/>
          <w:sz w:val="28"/>
        </w:rPr>
        <w:t xml:space="preserve"> </w:t>
      </w:r>
      <w:sdt>
        <w:sdtPr>
          <w:rPr>
            <w:b/>
            <w:bCs/>
            <w:sz w:val="28"/>
          </w:rPr>
          <w:id w:val="-1173497441"/>
          <w:showingPlcHdr/>
        </w:sdtPr>
        <w:sdtEndPr/>
        <w:sdtContent>
          <w:r w:rsidR="00E53D11">
            <w:rPr>
              <w:b/>
              <w:bCs/>
              <w:sz w:val="28"/>
            </w:rPr>
            <w:t xml:space="preserve">     </w:t>
          </w:r>
        </w:sdtContent>
      </w:sdt>
    </w:p>
    <w:p w14:paraId="516D7DD8" w14:textId="491A3CB5" w:rsidR="00810D2D" w:rsidRDefault="00A278F0" w:rsidP="00810D2D">
      <w:pPr>
        <w:tabs>
          <w:tab w:val="left" w:pos="9360"/>
        </w:tabs>
        <w:ind w:right="720" w:firstLine="720"/>
        <w:rPr>
          <w:bCs/>
        </w:rPr>
      </w:pPr>
      <w:r w:rsidRPr="00B24B5F">
        <w:rPr>
          <w:bCs/>
        </w:rPr>
        <w:t xml:space="preserve">The purpose of this study is to </w:t>
      </w:r>
      <w:r w:rsidR="009F319E">
        <w:rPr>
          <w:bCs/>
        </w:rPr>
        <w:t>explore</w:t>
      </w:r>
      <w:r w:rsidRPr="00B24B5F">
        <w:rPr>
          <w:bCs/>
        </w:rPr>
        <w:t xml:space="preserve"> how and where resources, provided by Baltimore City Department of Public Works</w:t>
      </w:r>
      <w:r w:rsidR="00810D2D">
        <w:rPr>
          <w:bCs/>
        </w:rPr>
        <w:t xml:space="preserve"> (DPW)</w:t>
      </w:r>
      <w:r w:rsidRPr="00B24B5F">
        <w:rPr>
          <w:bCs/>
        </w:rPr>
        <w:t xml:space="preserve"> GROW</w:t>
      </w:r>
      <w:r w:rsidR="009F319E">
        <w:rPr>
          <w:bCs/>
        </w:rPr>
        <w:t xml:space="preserve"> (Green Resources and Outreach for Watersheds)</w:t>
      </w:r>
      <w:r w:rsidRPr="00B24B5F">
        <w:rPr>
          <w:bCs/>
        </w:rPr>
        <w:t xml:space="preserve"> Centers, are </w:t>
      </w:r>
      <w:r w:rsidR="009F319E">
        <w:rPr>
          <w:bCs/>
        </w:rPr>
        <w:t>accessed</w:t>
      </w:r>
      <w:r w:rsidRPr="00B24B5F">
        <w:rPr>
          <w:bCs/>
        </w:rPr>
        <w:t xml:space="preserve"> by city residents. This study look</w:t>
      </w:r>
      <w:r w:rsidR="009F319E">
        <w:rPr>
          <w:bCs/>
        </w:rPr>
        <w:t>s</w:t>
      </w:r>
      <w:r w:rsidRPr="00B24B5F">
        <w:rPr>
          <w:bCs/>
        </w:rPr>
        <w:t xml:space="preserve"> specifically at where GROW Center users originate</w:t>
      </w:r>
      <w:r w:rsidR="009F319E">
        <w:rPr>
          <w:bCs/>
        </w:rPr>
        <w:t>,</w:t>
      </w:r>
      <w:r w:rsidRPr="00B24B5F">
        <w:rPr>
          <w:bCs/>
        </w:rPr>
        <w:t xml:space="preserve"> and the demographics of these areas. In doing so, </w:t>
      </w:r>
      <w:r w:rsidR="009F319E">
        <w:rPr>
          <w:bCs/>
        </w:rPr>
        <w:t>insight</w:t>
      </w:r>
      <w:r w:rsidRPr="00B24B5F">
        <w:rPr>
          <w:bCs/>
        </w:rPr>
        <w:t xml:space="preserve"> into the relationships between Baltimore City residents and GROW Center pop-ups</w:t>
      </w:r>
      <w:r w:rsidR="009F319E">
        <w:rPr>
          <w:bCs/>
        </w:rPr>
        <w:t xml:space="preserve"> is revealed</w:t>
      </w:r>
      <w:r w:rsidRPr="00B24B5F">
        <w:rPr>
          <w:bCs/>
        </w:rPr>
        <w:t>. The target population in this study are GROW Center users/attendees.</w:t>
      </w:r>
    </w:p>
    <w:p w14:paraId="7081B323" w14:textId="3AC24698" w:rsidR="00810D2D" w:rsidRPr="00D35EBE" w:rsidRDefault="00810D2D" w:rsidP="00810D2D">
      <w:pPr>
        <w:tabs>
          <w:tab w:val="left" w:pos="9360"/>
        </w:tabs>
        <w:ind w:right="720"/>
        <w:rPr>
          <w:bCs/>
          <w:sz w:val="28"/>
        </w:rPr>
      </w:pPr>
      <w:r w:rsidRPr="00D35EBE">
        <w:rPr>
          <w:b/>
          <w:bCs/>
          <w:sz w:val="28"/>
        </w:rPr>
        <w:t>Background:</w:t>
      </w:r>
    </w:p>
    <w:p w14:paraId="4A1AF8E1" w14:textId="10EABBEE" w:rsidR="00810D2D" w:rsidRPr="00810D2D" w:rsidRDefault="00810D2D" w:rsidP="00810D2D">
      <w:pPr>
        <w:tabs>
          <w:tab w:val="left" w:pos="720"/>
        </w:tabs>
        <w:ind w:right="720"/>
        <w:rPr>
          <w:bCs/>
        </w:rPr>
      </w:pPr>
      <w:r>
        <w:rPr>
          <w:bCs/>
        </w:rPr>
        <w:tab/>
        <w:t xml:space="preserve">Baltimore City Department of Public Works (DPW) received funding from United States Department of Agriculture/United States Forestry Service to develop the GROW Center concept. </w:t>
      </w:r>
      <w:r w:rsidR="00976D80">
        <w:rPr>
          <w:bCs/>
        </w:rPr>
        <w:t>GROW</w:t>
      </w:r>
      <w:r>
        <w:rPr>
          <w:bCs/>
        </w:rPr>
        <w:t xml:space="preserve"> Centers are envisioned as “greening resource hubs” or places where residents and communities access low or no cost greening resources to help meet city goals. These goals include increasing the urban tree canopy, promoting </w:t>
      </w:r>
      <w:proofErr w:type="spellStart"/>
      <w:r>
        <w:rPr>
          <w:bCs/>
        </w:rPr>
        <w:t>stormwater</w:t>
      </w:r>
      <w:proofErr w:type="spellEnd"/>
      <w:r>
        <w:rPr>
          <w:bCs/>
        </w:rPr>
        <w:t xml:space="preserve"> management on private property, encouraging vacant lot revitalization, and also encouraging the reuse of materials otherwise deemed as waste. Resources include the physical: mulch, trees, native plants, and deconstruction materials; and the educational: training and informational. DPW is currently and continuing to develop pilot pop-up </w:t>
      </w:r>
      <w:proofErr w:type="gramStart"/>
      <w:r>
        <w:rPr>
          <w:bCs/>
        </w:rPr>
        <w:t>GROW</w:t>
      </w:r>
      <w:proofErr w:type="gramEnd"/>
      <w:r>
        <w:rPr>
          <w:bCs/>
        </w:rPr>
        <w:t xml:space="preserve"> Centers</w:t>
      </w:r>
      <w:r w:rsidR="00976D80">
        <w:rPr>
          <w:bCs/>
        </w:rPr>
        <w:t>. These pilots will guide</w:t>
      </w:r>
      <w:r>
        <w:rPr>
          <w:bCs/>
        </w:rPr>
        <w:t xml:space="preserve"> </w:t>
      </w:r>
      <w:r w:rsidR="00976D80">
        <w:rPr>
          <w:bCs/>
        </w:rPr>
        <w:t>efforts</w:t>
      </w:r>
      <w:r>
        <w:rPr>
          <w:bCs/>
        </w:rPr>
        <w:t xml:space="preserve"> to create a permanent, replicable GROW Center model. One of their main questions in performing these pop-ups is to understand which residents are accessing these centers and resources.</w:t>
      </w:r>
    </w:p>
    <w:p w14:paraId="7A6E5825" w14:textId="77777777" w:rsidR="00C24E26" w:rsidRPr="00D35EBE" w:rsidRDefault="00C24E26" w:rsidP="00C24E26">
      <w:pPr>
        <w:ind w:right="720"/>
        <w:rPr>
          <w:bCs/>
          <w:sz w:val="28"/>
        </w:rPr>
      </w:pPr>
      <w:r w:rsidRPr="00D35EBE">
        <w:rPr>
          <w:b/>
          <w:bCs/>
          <w:sz w:val="28"/>
        </w:rPr>
        <w:t>Data:</w:t>
      </w:r>
      <w:r w:rsidRPr="00D35EBE">
        <w:rPr>
          <w:bCs/>
          <w:sz w:val="28"/>
        </w:rPr>
        <w:t xml:space="preserve"> </w:t>
      </w:r>
    </w:p>
    <w:p w14:paraId="76387448" w14:textId="0B847E05" w:rsidR="00C24E26" w:rsidRDefault="00C24E26" w:rsidP="00C24E26">
      <w:pPr>
        <w:ind w:right="720"/>
        <w:rPr>
          <w:bCs/>
        </w:rPr>
      </w:pPr>
      <w:r>
        <w:rPr>
          <w:bCs/>
        </w:rPr>
        <w:tab/>
        <w:t>Data were collected from open data sources and at GROW Center pop-up events</w:t>
      </w:r>
      <w:r w:rsidR="004E39A8">
        <w:rPr>
          <w:bCs/>
        </w:rPr>
        <w:t xml:space="preserve">. These events </w:t>
      </w:r>
      <w:r>
        <w:rPr>
          <w:bCs/>
        </w:rPr>
        <w:t xml:space="preserve">took place over the course of four weekends from April to May 2018 in four locations across Baltimore City. At these </w:t>
      </w:r>
      <w:r w:rsidR="004E39A8">
        <w:rPr>
          <w:bCs/>
        </w:rPr>
        <w:t>pop-ups</w:t>
      </w:r>
      <w:r>
        <w:rPr>
          <w:bCs/>
        </w:rPr>
        <w:t xml:space="preserve"> residents attended to obtain resources or attend various educational workshops. Participant addresses were collected from GROW Center attendees upon checking-in </w:t>
      </w:r>
      <w:r w:rsidR="004E39A8">
        <w:rPr>
          <w:bCs/>
        </w:rPr>
        <w:t>to the</w:t>
      </w:r>
      <w:r>
        <w:rPr>
          <w:bCs/>
        </w:rPr>
        <w:t xml:space="preserve"> </w:t>
      </w:r>
      <w:r w:rsidR="004E39A8">
        <w:rPr>
          <w:bCs/>
        </w:rPr>
        <w:t>events. After g</w:t>
      </w:r>
      <w:r>
        <w:rPr>
          <w:bCs/>
        </w:rPr>
        <w:t>eocoding, this data was cleaned to remove unnecessary fields and examined for errors. Baltimore Neighborhood Indicators Alliance</w:t>
      </w:r>
      <w:r w:rsidR="004E39A8">
        <w:rPr>
          <w:bCs/>
        </w:rPr>
        <w:t xml:space="preserve"> </w:t>
      </w:r>
      <w:r>
        <w:rPr>
          <w:bCs/>
        </w:rPr>
        <w:t xml:space="preserve">(BNIA) –Jacob France Institute was sourced for the Baltimore City community statistical area maps as well as associated indicator data. Indicator </w:t>
      </w:r>
      <w:r w:rsidR="00AE5A4B">
        <w:rPr>
          <w:bCs/>
        </w:rPr>
        <w:t>data was from BNIA’s Vital Sign</w:t>
      </w:r>
      <w:r>
        <w:rPr>
          <w:bCs/>
        </w:rPr>
        <w:t xml:space="preserve">s datasets. The most recent </w:t>
      </w:r>
      <w:r w:rsidR="00AE5A4B">
        <w:rPr>
          <w:bCs/>
        </w:rPr>
        <w:t xml:space="preserve">available </w:t>
      </w:r>
      <w:r>
        <w:rPr>
          <w:bCs/>
        </w:rPr>
        <w:t xml:space="preserve">datasets were used for each indicator </w:t>
      </w:r>
      <w:r w:rsidR="00AE5A4B">
        <w:rPr>
          <w:bCs/>
        </w:rPr>
        <w:t>in</w:t>
      </w:r>
      <w:r>
        <w:rPr>
          <w:bCs/>
        </w:rPr>
        <w:t xml:space="preserve"> analysis. These indicators included: Measurements for Percentage of Residential Properties that are Vacant &amp; Abandoned (2016), Number of Community Managed Open Spaces (2015), Median Household Income (2015) and Percentage of Area Covered by Trees (2011).  </w:t>
      </w:r>
    </w:p>
    <w:p w14:paraId="5A0029D7" w14:textId="328BD21B" w:rsidR="00B24B5F" w:rsidRPr="00B24B5F" w:rsidRDefault="001C00E3" w:rsidP="00B24B5F">
      <w:pPr>
        <w:ind w:right="720"/>
        <w:rPr>
          <w:b/>
          <w:bCs/>
        </w:rPr>
      </w:pPr>
      <w:r w:rsidRPr="002170B3">
        <w:rPr>
          <w:b/>
          <w:sz w:val="28"/>
        </w:rPr>
        <w:lastRenderedPageBreak/>
        <w:t xml:space="preserve">Methods: </w:t>
      </w:r>
      <w:sdt>
        <w:sdtPr>
          <w:rPr>
            <w:b/>
            <w:bCs/>
          </w:rPr>
          <w:id w:val="892161896"/>
          <w:showingPlcHdr/>
        </w:sdtPr>
        <w:sdtEndPr/>
        <w:sdtContent>
          <w:r w:rsidR="005A35E3">
            <w:rPr>
              <w:b/>
              <w:bCs/>
            </w:rPr>
            <w:t xml:space="preserve">     </w:t>
          </w:r>
        </w:sdtContent>
      </w:sdt>
    </w:p>
    <w:p w14:paraId="72260EEF" w14:textId="43CC141E" w:rsidR="006F5723" w:rsidRDefault="00FB0E8E" w:rsidP="00C24E26">
      <w:pPr>
        <w:ind w:right="720" w:firstLine="720"/>
        <w:rPr>
          <w:bCs/>
        </w:rPr>
      </w:pPr>
      <w:r>
        <w:rPr>
          <w:bCs/>
        </w:rPr>
        <w:t>Participant</w:t>
      </w:r>
      <w:r w:rsidR="00C034CE">
        <w:rPr>
          <w:bCs/>
        </w:rPr>
        <w:t xml:space="preserve"> addresses were collected from GROW Center Pop-up events and geocoded using ArcGIS World </w:t>
      </w:r>
      <w:proofErr w:type="spellStart"/>
      <w:r w:rsidR="00C034CE">
        <w:rPr>
          <w:bCs/>
        </w:rPr>
        <w:t>Gecoding</w:t>
      </w:r>
      <w:proofErr w:type="spellEnd"/>
      <w:r w:rsidR="00C034CE">
        <w:rPr>
          <w:bCs/>
        </w:rPr>
        <w:t xml:space="preserve"> Locator to obtain Latitude and Longitude coordinates for each </w:t>
      </w:r>
      <w:r>
        <w:rPr>
          <w:bCs/>
        </w:rPr>
        <w:t>participant</w:t>
      </w:r>
      <w:r w:rsidR="00C034CE">
        <w:rPr>
          <w:bCs/>
        </w:rPr>
        <w:t xml:space="preserve">. </w:t>
      </w:r>
      <w:r w:rsidR="006F5723">
        <w:rPr>
          <w:bCs/>
        </w:rPr>
        <w:t xml:space="preserve">All </w:t>
      </w:r>
      <w:r w:rsidR="00C034CE">
        <w:rPr>
          <w:bCs/>
        </w:rPr>
        <w:t xml:space="preserve">other </w:t>
      </w:r>
      <w:r w:rsidR="006F5723">
        <w:rPr>
          <w:bCs/>
        </w:rPr>
        <w:t>data and results were organized, analy</w:t>
      </w:r>
      <w:r w:rsidR="00C034CE">
        <w:rPr>
          <w:bCs/>
        </w:rPr>
        <w:t>zed, and produced in ArcMap</w:t>
      </w:r>
      <w:r w:rsidR="006F5723">
        <w:rPr>
          <w:bCs/>
        </w:rPr>
        <w:t xml:space="preserve"> and Microsoft Excel. Before analysis, each </w:t>
      </w:r>
      <w:proofErr w:type="spellStart"/>
      <w:r w:rsidR="006F5723">
        <w:rPr>
          <w:bCs/>
        </w:rPr>
        <w:t>shapefile</w:t>
      </w:r>
      <w:proofErr w:type="spellEnd"/>
      <w:r w:rsidR="006F5723">
        <w:rPr>
          <w:bCs/>
        </w:rPr>
        <w:t xml:space="preserve"> was projected to the same projected coordinate system: NAD 1983 State Plane Maryland FIPS 1900 Feet. </w:t>
      </w:r>
      <w:r w:rsidR="00C034CE">
        <w:rPr>
          <w:bCs/>
        </w:rPr>
        <w:t>Three primary analyses were performed in this study: (1) Characteristics of distance traveled to GROW Centers (2) A Kernel Density analysis of GROW Center participants (3) A comparison of High, Medium and Low Density participant areas.</w:t>
      </w:r>
    </w:p>
    <w:p w14:paraId="59335CC6" w14:textId="3070B2ED" w:rsidR="00C034CE" w:rsidRDefault="00FB0E8E" w:rsidP="00C24E26">
      <w:pPr>
        <w:ind w:right="720" w:firstLine="720"/>
        <w:rPr>
          <w:bCs/>
        </w:rPr>
      </w:pPr>
      <w:r>
        <w:rPr>
          <w:bCs/>
        </w:rPr>
        <w:t xml:space="preserve">(1) </w:t>
      </w:r>
      <w:r w:rsidR="00C034CE">
        <w:rPr>
          <w:bCs/>
        </w:rPr>
        <w:t>To determine characteristics of distance traveled to GROW Centers by participants, geocoded data was assigned a unique identifier based on which pop-</w:t>
      </w:r>
      <w:r w:rsidR="00957C18">
        <w:rPr>
          <w:bCs/>
        </w:rPr>
        <w:t xml:space="preserve">up GROW Center it belonged to. For example, the location point of pop-up #1 and all associated participant locations that attended pop-up #1 were assigned a value of 1 in the created field, </w:t>
      </w:r>
      <w:proofErr w:type="spellStart"/>
      <w:r w:rsidR="00957C18">
        <w:rPr>
          <w:bCs/>
        </w:rPr>
        <w:t>PopUpNum</w:t>
      </w:r>
      <w:proofErr w:type="spellEnd"/>
      <w:r w:rsidR="00957C18">
        <w:rPr>
          <w:bCs/>
        </w:rPr>
        <w:t xml:space="preserve">. The “Point Distance” tool was used on each set of pop-up data to determine the distance of each participant to the respective pop-up location. </w:t>
      </w:r>
      <w:r w:rsidR="006930E6">
        <w:rPr>
          <w:bCs/>
        </w:rPr>
        <w:t>The same analysis was performed on a set of</w:t>
      </w:r>
      <w:r w:rsidR="005673DD">
        <w:rPr>
          <w:bCs/>
        </w:rPr>
        <w:t xml:space="preserve"> 100 randomly generated points</w:t>
      </w:r>
      <w:r w:rsidR="006930E6">
        <w:rPr>
          <w:bCs/>
        </w:rPr>
        <w:t xml:space="preserve"> for comparison. </w:t>
      </w:r>
      <w:r w:rsidR="00957C18">
        <w:rPr>
          <w:bCs/>
        </w:rPr>
        <w:t>This data was exported to Excel, where the average, minimum, maximum, and standard deviation values were c</w:t>
      </w:r>
      <w:r>
        <w:rPr>
          <w:bCs/>
        </w:rPr>
        <w:t>alculated using excel functions</w:t>
      </w:r>
      <w:r w:rsidR="00957C18">
        <w:rPr>
          <w:bCs/>
        </w:rPr>
        <w:t>.</w:t>
      </w:r>
      <w:r w:rsidR="00FF7EF3">
        <w:rPr>
          <w:bCs/>
        </w:rPr>
        <w:t xml:space="preserve"> </w:t>
      </w:r>
    </w:p>
    <w:p w14:paraId="11797705" w14:textId="5A9CA68E" w:rsidR="00957C18" w:rsidRDefault="00FB0E8E" w:rsidP="00C24E26">
      <w:pPr>
        <w:ind w:right="720" w:firstLine="720"/>
        <w:rPr>
          <w:bCs/>
        </w:rPr>
      </w:pPr>
      <w:r>
        <w:rPr>
          <w:bCs/>
        </w:rPr>
        <w:t xml:space="preserve">(2) </w:t>
      </w:r>
      <w:r w:rsidR="00FF7EF3">
        <w:rPr>
          <w:bCs/>
        </w:rPr>
        <w:t xml:space="preserve">A kernel density map of GROW Center participants from all four pop-ups was produced using ArcMap’s “Kernel Density” tool </w:t>
      </w:r>
      <w:r>
        <w:rPr>
          <w:bCs/>
        </w:rPr>
        <w:t>with</w:t>
      </w:r>
      <w:r w:rsidR="00FF7EF3">
        <w:rPr>
          <w:bCs/>
        </w:rPr>
        <w:t xml:space="preserve"> default settings. Natural Jenks Classification was selected for displaying five breaks in the data to identify any underlying trends. The raster was reclassified into three categories: High, Medium and Low Density</w:t>
      </w:r>
      <w:r w:rsidR="00FE39C9">
        <w:rPr>
          <w:bCs/>
        </w:rPr>
        <w:t>.</w:t>
      </w:r>
      <w:r w:rsidR="00FF7EF3">
        <w:rPr>
          <w:bCs/>
        </w:rPr>
        <w:t xml:space="preserve"> </w:t>
      </w:r>
      <w:r w:rsidR="00FE39C9">
        <w:rPr>
          <w:bCs/>
        </w:rPr>
        <w:t>The</w:t>
      </w:r>
      <w:r w:rsidR="00FF7EF3">
        <w:rPr>
          <w:bCs/>
        </w:rPr>
        <w:t xml:space="preserve"> first break was Low, middle two breaks were Medium and last two breaks were High. This raster was overlaid with Baltimore City to show community statistical areas of high, medium and low GROW Center Participant density.</w:t>
      </w:r>
    </w:p>
    <w:p w14:paraId="4558696D" w14:textId="2E6E0954" w:rsidR="002170B3" w:rsidRPr="00FE39C9" w:rsidRDefault="00FB0E8E" w:rsidP="00FE39C9">
      <w:pPr>
        <w:ind w:right="720" w:firstLine="720"/>
        <w:rPr>
          <w:bCs/>
        </w:rPr>
      </w:pPr>
      <w:r>
        <w:rPr>
          <w:bCs/>
        </w:rPr>
        <w:t xml:space="preserve">(3) </w:t>
      </w:r>
      <w:r w:rsidR="00F821A3">
        <w:rPr>
          <w:bCs/>
        </w:rPr>
        <w:t>Comparison of High, M</w:t>
      </w:r>
      <w:r w:rsidR="00CC32CF">
        <w:rPr>
          <w:bCs/>
        </w:rPr>
        <w:t xml:space="preserve">edium and </w:t>
      </w:r>
      <w:r w:rsidR="00F821A3">
        <w:rPr>
          <w:bCs/>
        </w:rPr>
        <w:t>L</w:t>
      </w:r>
      <w:r w:rsidR="00910A45">
        <w:rPr>
          <w:bCs/>
        </w:rPr>
        <w:t>ow-density</w:t>
      </w:r>
      <w:r w:rsidR="00CC32CF">
        <w:rPr>
          <w:bCs/>
        </w:rPr>
        <w:t xml:space="preserve"> areas was performed using ArcMap’s “Zonal Statistics” tool on the reclassified kernel density raster. In order to perform the zonal statistics, </w:t>
      </w:r>
      <w:proofErr w:type="spellStart"/>
      <w:r w:rsidR="00CC32CF">
        <w:rPr>
          <w:bCs/>
        </w:rPr>
        <w:t>rasters</w:t>
      </w:r>
      <w:proofErr w:type="spellEnd"/>
      <w:r w:rsidR="00CC32CF">
        <w:rPr>
          <w:bCs/>
        </w:rPr>
        <w:t xml:space="preserve"> were created from each indicator of interest provided by BNIA Community Statistical Area data.</w:t>
      </w:r>
      <w:r w:rsidR="00910A45">
        <w:rPr>
          <w:bCs/>
        </w:rPr>
        <w:t xml:space="preserve"> After creating </w:t>
      </w:r>
      <w:proofErr w:type="spellStart"/>
      <w:r w:rsidR="00910A45">
        <w:rPr>
          <w:bCs/>
        </w:rPr>
        <w:t>rasters</w:t>
      </w:r>
      <w:proofErr w:type="spellEnd"/>
      <w:r w:rsidR="00910A45">
        <w:rPr>
          <w:bCs/>
        </w:rPr>
        <w:t>, average values of each indicator raster (Vacant properties, Tree Canopy, Median Income, and Community Spaces) could be calculated and recorded. All maps were produced and exported in ArcMap layout.</w:t>
      </w:r>
    </w:p>
    <w:p w14:paraId="7A424CC3" w14:textId="56E5837C" w:rsidR="00C24E26" w:rsidRDefault="00C24E26" w:rsidP="00C24E26">
      <w:pPr>
        <w:ind w:right="720"/>
        <w:rPr>
          <w:b/>
          <w:bCs/>
          <w:sz w:val="28"/>
        </w:rPr>
      </w:pPr>
      <w:r w:rsidRPr="002170B3">
        <w:rPr>
          <w:b/>
          <w:bCs/>
          <w:sz w:val="28"/>
        </w:rPr>
        <w:t>Results:</w:t>
      </w:r>
    </w:p>
    <w:p w14:paraId="55528703" w14:textId="7DC4D999" w:rsidR="00770A14" w:rsidRDefault="00FE39C9" w:rsidP="00343218">
      <w:pPr>
        <w:ind w:right="720" w:firstLine="720"/>
        <w:rPr>
          <w:bCs/>
        </w:rPr>
      </w:pPr>
      <w:r>
        <w:rPr>
          <w:bCs/>
        </w:rPr>
        <w:t xml:space="preserve">If we </w:t>
      </w:r>
      <w:r w:rsidR="006930E6">
        <w:rPr>
          <w:bCs/>
        </w:rPr>
        <w:t>examine</w:t>
      </w:r>
      <w:r>
        <w:rPr>
          <w:bCs/>
        </w:rPr>
        <w:t xml:space="preserve"> Figure 1, it would appear that GROW Center participants tended to originate from points nearer</w:t>
      </w:r>
      <w:r w:rsidR="002D7D68">
        <w:rPr>
          <w:bCs/>
        </w:rPr>
        <w:t xml:space="preserve"> each C</w:t>
      </w:r>
      <w:r>
        <w:rPr>
          <w:bCs/>
        </w:rPr>
        <w:t>enter but some still tr</w:t>
      </w:r>
      <w:r w:rsidR="000F394B">
        <w:rPr>
          <w:bCs/>
        </w:rPr>
        <w:t>aveled a distance to reach the C</w:t>
      </w:r>
      <w:r>
        <w:rPr>
          <w:bCs/>
        </w:rPr>
        <w:t>enters</w:t>
      </w:r>
      <w:r w:rsidR="00320528">
        <w:rPr>
          <w:bCs/>
        </w:rPr>
        <w:t xml:space="preserve"> (see max distances)</w:t>
      </w:r>
      <w:r>
        <w:rPr>
          <w:bCs/>
        </w:rPr>
        <w:t xml:space="preserve">. </w:t>
      </w:r>
      <w:proofErr w:type="gramStart"/>
      <w:r w:rsidR="008823DA">
        <w:rPr>
          <w:bCs/>
        </w:rPr>
        <w:t>Analysis</w:t>
      </w:r>
      <w:r>
        <w:rPr>
          <w:bCs/>
        </w:rPr>
        <w:t xml:space="preserve"> showed that man</w:t>
      </w:r>
      <w:r w:rsidR="00CA6B8F">
        <w:rPr>
          <w:bCs/>
        </w:rPr>
        <w:t>y GROW</w:t>
      </w:r>
      <w:proofErr w:type="gramEnd"/>
      <w:r w:rsidR="00CA6B8F">
        <w:rPr>
          <w:bCs/>
        </w:rPr>
        <w:t xml:space="preserve"> Center p</w:t>
      </w:r>
      <w:r w:rsidR="006930E6">
        <w:rPr>
          <w:bCs/>
        </w:rPr>
        <w:t xml:space="preserve">articipants </w:t>
      </w:r>
      <w:r w:rsidR="00CA6B8F">
        <w:rPr>
          <w:bCs/>
        </w:rPr>
        <w:t>attended</w:t>
      </w:r>
      <w:r w:rsidR="006930E6">
        <w:rPr>
          <w:bCs/>
        </w:rPr>
        <w:t xml:space="preserve"> from </w:t>
      </w:r>
      <w:r w:rsidR="00320528">
        <w:rPr>
          <w:bCs/>
        </w:rPr>
        <w:t xml:space="preserve">somewhat </w:t>
      </w:r>
      <w:r w:rsidR="006930E6">
        <w:rPr>
          <w:bCs/>
        </w:rPr>
        <w:t>closer, more local areas in relation to each Center. This can be inferred from the average distance traveled being less (~2 miles</w:t>
      </w:r>
      <w:r w:rsidR="00F100DF">
        <w:rPr>
          <w:bCs/>
        </w:rPr>
        <w:t xml:space="preserve"> </w:t>
      </w:r>
      <w:r w:rsidR="00F100DF">
        <w:rPr>
          <w:bCs/>
        </w:rPr>
        <w:lastRenderedPageBreak/>
        <w:t>less</w:t>
      </w:r>
      <w:r w:rsidR="006930E6">
        <w:rPr>
          <w:bCs/>
        </w:rPr>
        <w:t xml:space="preserve">) than that calculated for random points. </w:t>
      </w:r>
      <w:r w:rsidR="00320528">
        <w:rPr>
          <w:bCs/>
        </w:rPr>
        <w:t xml:space="preserve">Additionally, standard </w:t>
      </w:r>
      <w:r w:rsidR="00CA6B8F">
        <w:rPr>
          <w:bCs/>
        </w:rPr>
        <w:t xml:space="preserve">deviations for each measured pop-up sample were relatively small, indicating less variability in distance traveled. The exception was Pop-up #4 where some outliers most likely skewed the calculation of standard deviation (See Figure 1). </w:t>
      </w:r>
      <w:r>
        <w:rPr>
          <w:bCs/>
        </w:rPr>
        <w:t xml:space="preserve">Results from the distance analyses can be found in Table 1. </w:t>
      </w:r>
    </w:p>
    <w:p w14:paraId="02151EFA" w14:textId="77777777" w:rsidR="008823DA" w:rsidRPr="00AC290D" w:rsidRDefault="00AC290D" w:rsidP="00AD26B8">
      <w:pPr>
        <w:spacing w:after="0"/>
        <w:ind w:right="720"/>
        <w:rPr>
          <w:bCs/>
          <w:i/>
        </w:rPr>
      </w:pPr>
      <w:r>
        <w:rPr>
          <w:bCs/>
        </w:rPr>
        <w:t>Table 1: (</w:t>
      </w:r>
      <w:r>
        <w:rPr>
          <w:bCs/>
          <w:i/>
        </w:rPr>
        <w:t>All numbers in miles)</w:t>
      </w:r>
    </w:p>
    <w:tbl>
      <w:tblPr>
        <w:tblW w:w="7052" w:type="dxa"/>
        <w:tblInd w:w="93" w:type="dxa"/>
        <w:tblLook w:val="04A0" w:firstRow="1" w:lastRow="0" w:firstColumn="1" w:lastColumn="0" w:noHBand="0" w:noVBand="1"/>
      </w:tblPr>
      <w:tblGrid>
        <w:gridCol w:w="2812"/>
        <w:gridCol w:w="1060"/>
        <w:gridCol w:w="1060"/>
        <w:gridCol w:w="1060"/>
        <w:gridCol w:w="1060"/>
      </w:tblGrid>
      <w:tr w:rsidR="008823DA" w:rsidRPr="008823DA" w14:paraId="1E3FC5A9" w14:textId="77777777" w:rsidTr="008823DA">
        <w:trPr>
          <w:trHeight w:val="280"/>
        </w:trPr>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20581" w14:textId="59EF1DEC" w:rsidR="008823DA" w:rsidRPr="008823DA" w:rsidRDefault="008823DA" w:rsidP="008823DA">
            <w:pPr>
              <w:spacing w:after="0"/>
              <w:rPr>
                <w:rFonts w:ascii="Calibri" w:eastAsia="Times New Roman" w:hAnsi="Calibri" w:cs="Times New Roman"/>
                <w:b/>
                <w:bCs/>
                <w:color w:val="000000"/>
                <w:sz w:val="22"/>
                <w:szCs w:val="22"/>
              </w:rPr>
            </w:pPr>
            <w:r>
              <w:rPr>
                <w:rFonts w:ascii="Calibri" w:eastAsia="Times New Roman" w:hAnsi="Calibri" w:cs="Times New Roman"/>
                <w:b/>
                <w:bCs/>
                <w:color w:val="000000"/>
                <w:sz w:val="22"/>
                <w:szCs w:val="22"/>
              </w:rPr>
              <w:t>Pop-</w:t>
            </w:r>
            <w:r w:rsidRPr="008823DA">
              <w:rPr>
                <w:rFonts w:ascii="Calibri" w:eastAsia="Times New Roman" w:hAnsi="Calibri" w:cs="Times New Roman"/>
                <w:b/>
                <w:bCs/>
                <w:color w:val="000000"/>
                <w:sz w:val="22"/>
                <w:szCs w:val="22"/>
              </w:rPr>
              <w:t xml:space="preserve">up </w:t>
            </w:r>
            <w:r>
              <w:rPr>
                <w:rFonts w:ascii="Calibri" w:eastAsia="Times New Roman" w:hAnsi="Calibri" w:cs="Times New Roman"/>
                <w:b/>
                <w:bCs/>
                <w:color w:val="000000"/>
                <w:sz w:val="22"/>
                <w:szCs w:val="22"/>
              </w:rPr>
              <w:t>Number</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08AA17E9" w14:textId="77777777" w:rsidR="008823DA" w:rsidRPr="008823DA" w:rsidRDefault="008823DA" w:rsidP="008823DA">
            <w:pPr>
              <w:spacing w:after="0"/>
              <w:jc w:val="right"/>
              <w:rPr>
                <w:rFonts w:ascii="Calibri" w:eastAsia="Times New Roman" w:hAnsi="Calibri" w:cs="Times New Roman"/>
                <w:b/>
                <w:bCs/>
                <w:color w:val="000000"/>
                <w:sz w:val="22"/>
                <w:szCs w:val="22"/>
              </w:rPr>
            </w:pPr>
            <w:r w:rsidRPr="008823DA">
              <w:rPr>
                <w:rFonts w:ascii="Calibri" w:eastAsia="Times New Roman" w:hAnsi="Calibri" w:cs="Times New Roman"/>
                <w:b/>
                <w:bCs/>
                <w:color w:val="000000"/>
                <w:sz w:val="22"/>
                <w:szCs w:val="22"/>
              </w:rPr>
              <w:t>1</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0063FB5F" w14:textId="77777777" w:rsidR="008823DA" w:rsidRPr="008823DA" w:rsidRDefault="008823DA" w:rsidP="008823DA">
            <w:pPr>
              <w:spacing w:after="0"/>
              <w:jc w:val="right"/>
              <w:rPr>
                <w:rFonts w:ascii="Calibri" w:eastAsia="Times New Roman" w:hAnsi="Calibri" w:cs="Times New Roman"/>
                <w:b/>
                <w:bCs/>
                <w:color w:val="000000"/>
                <w:sz w:val="22"/>
                <w:szCs w:val="22"/>
              </w:rPr>
            </w:pPr>
            <w:r w:rsidRPr="008823DA">
              <w:rPr>
                <w:rFonts w:ascii="Calibri" w:eastAsia="Times New Roman" w:hAnsi="Calibri" w:cs="Times New Roman"/>
                <w:b/>
                <w:bCs/>
                <w:color w:val="000000"/>
                <w:sz w:val="22"/>
                <w:szCs w:val="22"/>
              </w:rPr>
              <w:t>2</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16AF280E" w14:textId="77777777" w:rsidR="008823DA" w:rsidRPr="008823DA" w:rsidRDefault="008823DA" w:rsidP="008823DA">
            <w:pPr>
              <w:spacing w:after="0"/>
              <w:jc w:val="right"/>
              <w:rPr>
                <w:rFonts w:ascii="Calibri" w:eastAsia="Times New Roman" w:hAnsi="Calibri" w:cs="Times New Roman"/>
                <w:b/>
                <w:bCs/>
                <w:color w:val="000000"/>
                <w:sz w:val="22"/>
                <w:szCs w:val="22"/>
              </w:rPr>
            </w:pPr>
            <w:r w:rsidRPr="008823DA">
              <w:rPr>
                <w:rFonts w:ascii="Calibri" w:eastAsia="Times New Roman" w:hAnsi="Calibri" w:cs="Times New Roman"/>
                <w:b/>
                <w:bCs/>
                <w:color w:val="000000"/>
                <w:sz w:val="22"/>
                <w:szCs w:val="22"/>
              </w:rPr>
              <w:t>3</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58A071EF" w14:textId="77777777" w:rsidR="008823DA" w:rsidRPr="008823DA" w:rsidRDefault="008823DA" w:rsidP="008823DA">
            <w:pPr>
              <w:spacing w:after="0"/>
              <w:jc w:val="right"/>
              <w:rPr>
                <w:rFonts w:ascii="Calibri" w:eastAsia="Times New Roman" w:hAnsi="Calibri" w:cs="Times New Roman"/>
                <w:b/>
                <w:bCs/>
                <w:color w:val="000000"/>
                <w:sz w:val="22"/>
                <w:szCs w:val="22"/>
              </w:rPr>
            </w:pPr>
            <w:r w:rsidRPr="008823DA">
              <w:rPr>
                <w:rFonts w:ascii="Calibri" w:eastAsia="Times New Roman" w:hAnsi="Calibri" w:cs="Times New Roman"/>
                <w:b/>
                <w:bCs/>
                <w:color w:val="000000"/>
                <w:sz w:val="22"/>
                <w:szCs w:val="22"/>
              </w:rPr>
              <w:t>4</w:t>
            </w:r>
          </w:p>
        </w:tc>
      </w:tr>
      <w:tr w:rsidR="008823DA" w:rsidRPr="008823DA" w14:paraId="6417B54A" w14:textId="77777777" w:rsidTr="008823DA">
        <w:trPr>
          <w:trHeight w:val="280"/>
        </w:trPr>
        <w:tc>
          <w:tcPr>
            <w:tcW w:w="2812" w:type="dxa"/>
            <w:tcBorders>
              <w:top w:val="nil"/>
              <w:left w:val="single" w:sz="4" w:space="0" w:color="auto"/>
              <w:bottom w:val="single" w:sz="4" w:space="0" w:color="auto"/>
              <w:right w:val="single" w:sz="4" w:space="0" w:color="auto"/>
            </w:tcBorders>
            <w:shd w:val="clear" w:color="auto" w:fill="auto"/>
            <w:noWrap/>
            <w:vAlign w:val="bottom"/>
            <w:hideMark/>
          </w:tcPr>
          <w:p w14:paraId="0F8E964D" w14:textId="6FDFEC11" w:rsidR="008823DA" w:rsidRPr="008823DA" w:rsidRDefault="008823DA" w:rsidP="008823DA">
            <w:pPr>
              <w:spacing w:after="0"/>
              <w:rPr>
                <w:rFonts w:ascii="Calibri" w:eastAsia="Times New Roman" w:hAnsi="Calibri" w:cs="Times New Roman"/>
                <w:i/>
                <w:iCs/>
                <w:color w:val="000000"/>
                <w:sz w:val="22"/>
                <w:szCs w:val="22"/>
              </w:rPr>
            </w:pPr>
            <w:r>
              <w:rPr>
                <w:rFonts w:ascii="Calibri" w:eastAsia="Times New Roman" w:hAnsi="Calibri" w:cs="Times New Roman"/>
                <w:i/>
                <w:iCs/>
                <w:color w:val="000000"/>
                <w:sz w:val="22"/>
                <w:szCs w:val="22"/>
              </w:rPr>
              <w:t>Average Distance</w:t>
            </w:r>
            <w:r w:rsidRPr="008823DA">
              <w:rPr>
                <w:rFonts w:ascii="Calibri" w:eastAsia="Times New Roman" w:hAnsi="Calibri" w:cs="Times New Roman"/>
                <w:i/>
                <w:iCs/>
                <w:color w:val="000000"/>
                <w:sz w:val="22"/>
                <w:szCs w:val="22"/>
              </w:rPr>
              <w:t xml:space="preserve"> (Actual)</w:t>
            </w:r>
          </w:p>
        </w:tc>
        <w:tc>
          <w:tcPr>
            <w:tcW w:w="1060" w:type="dxa"/>
            <w:tcBorders>
              <w:top w:val="nil"/>
              <w:left w:val="nil"/>
              <w:bottom w:val="single" w:sz="4" w:space="0" w:color="auto"/>
              <w:right w:val="single" w:sz="4" w:space="0" w:color="auto"/>
            </w:tcBorders>
            <w:shd w:val="clear" w:color="auto" w:fill="auto"/>
            <w:noWrap/>
            <w:vAlign w:val="bottom"/>
            <w:hideMark/>
          </w:tcPr>
          <w:p w14:paraId="6C28BA66"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2.04</w:t>
            </w:r>
          </w:p>
        </w:tc>
        <w:tc>
          <w:tcPr>
            <w:tcW w:w="1060" w:type="dxa"/>
            <w:tcBorders>
              <w:top w:val="nil"/>
              <w:left w:val="nil"/>
              <w:bottom w:val="single" w:sz="4" w:space="0" w:color="auto"/>
              <w:right w:val="single" w:sz="4" w:space="0" w:color="auto"/>
            </w:tcBorders>
            <w:shd w:val="clear" w:color="auto" w:fill="auto"/>
            <w:noWrap/>
            <w:vAlign w:val="bottom"/>
            <w:hideMark/>
          </w:tcPr>
          <w:p w14:paraId="7183BE42"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2.87</w:t>
            </w:r>
          </w:p>
        </w:tc>
        <w:tc>
          <w:tcPr>
            <w:tcW w:w="1060" w:type="dxa"/>
            <w:tcBorders>
              <w:top w:val="nil"/>
              <w:left w:val="nil"/>
              <w:bottom w:val="single" w:sz="4" w:space="0" w:color="auto"/>
              <w:right w:val="single" w:sz="4" w:space="0" w:color="auto"/>
            </w:tcBorders>
            <w:shd w:val="clear" w:color="auto" w:fill="auto"/>
            <w:noWrap/>
            <w:vAlign w:val="bottom"/>
            <w:hideMark/>
          </w:tcPr>
          <w:p w14:paraId="6626D6B2"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2.12</w:t>
            </w:r>
          </w:p>
        </w:tc>
        <w:tc>
          <w:tcPr>
            <w:tcW w:w="1060" w:type="dxa"/>
            <w:tcBorders>
              <w:top w:val="nil"/>
              <w:left w:val="nil"/>
              <w:bottom w:val="single" w:sz="4" w:space="0" w:color="auto"/>
              <w:right w:val="single" w:sz="4" w:space="0" w:color="auto"/>
            </w:tcBorders>
            <w:shd w:val="clear" w:color="auto" w:fill="auto"/>
            <w:noWrap/>
            <w:vAlign w:val="bottom"/>
            <w:hideMark/>
          </w:tcPr>
          <w:p w14:paraId="7B075A14"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2.76</w:t>
            </w:r>
          </w:p>
        </w:tc>
      </w:tr>
      <w:tr w:rsidR="008823DA" w:rsidRPr="008823DA" w14:paraId="22344B10" w14:textId="77777777" w:rsidTr="008823DA">
        <w:trPr>
          <w:trHeight w:val="280"/>
        </w:trPr>
        <w:tc>
          <w:tcPr>
            <w:tcW w:w="2812" w:type="dxa"/>
            <w:tcBorders>
              <w:top w:val="nil"/>
              <w:left w:val="single" w:sz="4" w:space="0" w:color="auto"/>
              <w:bottom w:val="single" w:sz="4" w:space="0" w:color="auto"/>
              <w:right w:val="single" w:sz="4" w:space="0" w:color="auto"/>
            </w:tcBorders>
            <w:shd w:val="clear" w:color="auto" w:fill="auto"/>
            <w:noWrap/>
            <w:vAlign w:val="bottom"/>
            <w:hideMark/>
          </w:tcPr>
          <w:p w14:paraId="7C92B3D1" w14:textId="77777777" w:rsidR="008823DA" w:rsidRPr="008823DA" w:rsidRDefault="008823DA" w:rsidP="00CA6B8F">
            <w:pPr>
              <w:spacing w:after="0"/>
              <w:jc w:val="right"/>
              <w:rPr>
                <w:rFonts w:ascii="Calibri" w:eastAsia="Times New Roman" w:hAnsi="Calibri" w:cs="Times New Roman"/>
                <w:i/>
                <w:iCs/>
                <w:color w:val="000000"/>
                <w:sz w:val="22"/>
                <w:szCs w:val="22"/>
              </w:rPr>
            </w:pPr>
            <w:r w:rsidRPr="008823DA">
              <w:rPr>
                <w:rFonts w:ascii="Calibri" w:eastAsia="Times New Roman" w:hAnsi="Calibri" w:cs="Times New Roman"/>
                <w:i/>
                <w:iCs/>
                <w:color w:val="000000"/>
                <w:sz w:val="22"/>
                <w:szCs w:val="22"/>
              </w:rPr>
              <w:t>Max Distance</w:t>
            </w:r>
          </w:p>
        </w:tc>
        <w:tc>
          <w:tcPr>
            <w:tcW w:w="1060" w:type="dxa"/>
            <w:tcBorders>
              <w:top w:val="nil"/>
              <w:left w:val="nil"/>
              <w:bottom w:val="single" w:sz="4" w:space="0" w:color="auto"/>
              <w:right w:val="single" w:sz="4" w:space="0" w:color="auto"/>
            </w:tcBorders>
            <w:shd w:val="clear" w:color="auto" w:fill="auto"/>
            <w:noWrap/>
            <w:vAlign w:val="bottom"/>
            <w:hideMark/>
          </w:tcPr>
          <w:p w14:paraId="23095443"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5.68</w:t>
            </w:r>
          </w:p>
        </w:tc>
        <w:tc>
          <w:tcPr>
            <w:tcW w:w="1060" w:type="dxa"/>
            <w:tcBorders>
              <w:top w:val="nil"/>
              <w:left w:val="nil"/>
              <w:bottom w:val="single" w:sz="4" w:space="0" w:color="auto"/>
              <w:right w:val="single" w:sz="4" w:space="0" w:color="auto"/>
            </w:tcBorders>
            <w:shd w:val="clear" w:color="auto" w:fill="auto"/>
            <w:noWrap/>
            <w:vAlign w:val="bottom"/>
            <w:hideMark/>
          </w:tcPr>
          <w:p w14:paraId="37F24138"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6.05</w:t>
            </w:r>
          </w:p>
        </w:tc>
        <w:tc>
          <w:tcPr>
            <w:tcW w:w="1060" w:type="dxa"/>
            <w:tcBorders>
              <w:top w:val="nil"/>
              <w:left w:val="nil"/>
              <w:bottom w:val="single" w:sz="4" w:space="0" w:color="auto"/>
              <w:right w:val="single" w:sz="4" w:space="0" w:color="auto"/>
            </w:tcBorders>
            <w:shd w:val="clear" w:color="auto" w:fill="auto"/>
            <w:noWrap/>
            <w:vAlign w:val="bottom"/>
            <w:hideMark/>
          </w:tcPr>
          <w:p w14:paraId="63BCC1A1"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5.96</w:t>
            </w:r>
          </w:p>
        </w:tc>
        <w:tc>
          <w:tcPr>
            <w:tcW w:w="1060" w:type="dxa"/>
            <w:tcBorders>
              <w:top w:val="nil"/>
              <w:left w:val="nil"/>
              <w:bottom w:val="single" w:sz="4" w:space="0" w:color="auto"/>
              <w:right w:val="single" w:sz="4" w:space="0" w:color="auto"/>
            </w:tcBorders>
            <w:shd w:val="clear" w:color="auto" w:fill="auto"/>
            <w:noWrap/>
            <w:vAlign w:val="bottom"/>
            <w:hideMark/>
          </w:tcPr>
          <w:p w14:paraId="5B5D37D8"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9.26</w:t>
            </w:r>
          </w:p>
        </w:tc>
      </w:tr>
      <w:tr w:rsidR="008823DA" w:rsidRPr="008823DA" w14:paraId="71592BEC" w14:textId="77777777" w:rsidTr="008823DA">
        <w:trPr>
          <w:trHeight w:val="280"/>
        </w:trPr>
        <w:tc>
          <w:tcPr>
            <w:tcW w:w="2812" w:type="dxa"/>
            <w:tcBorders>
              <w:top w:val="nil"/>
              <w:left w:val="single" w:sz="4" w:space="0" w:color="auto"/>
              <w:bottom w:val="single" w:sz="4" w:space="0" w:color="auto"/>
              <w:right w:val="single" w:sz="4" w:space="0" w:color="auto"/>
            </w:tcBorders>
            <w:shd w:val="clear" w:color="auto" w:fill="auto"/>
            <w:noWrap/>
            <w:vAlign w:val="bottom"/>
            <w:hideMark/>
          </w:tcPr>
          <w:p w14:paraId="4B306660" w14:textId="77777777" w:rsidR="008823DA" w:rsidRPr="008823DA" w:rsidRDefault="008823DA" w:rsidP="00CA6B8F">
            <w:pPr>
              <w:spacing w:after="0"/>
              <w:jc w:val="right"/>
              <w:rPr>
                <w:rFonts w:ascii="Calibri" w:eastAsia="Times New Roman" w:hAnsi="Calibri" w:cs="Times New Roman"/>
                <w:i/>
                <w:iCs/>
                <w:color w:val="000000"/>
                <w:sz w:val="22"/>
                <w:szCs w:val="22"/>
              </w:rPr>
            </w:pPr>
            <w:r w:rsidRPr="008823DA">
              <w:rPr>
                <w:rFonts w:ascii="Calibri" w:eastAsia="Times New Roman" w:hAnsi="Calibri" w:cs="Times New Roman"/>
                <w:i/>
                <w:iCs/>
                <w:color w:val="000000"/>
                <w:sz w:val="22"/>
                <w:szCs w:val="22"/>
              </w:rPr>
              <w:t>Min Distance</w:t>
            </w:r>
          </w:p>
        </w:tc>
        <w:tc>
          <w:tcPr>
            <w:tcW w:w="1060" w:type="dxa"/>
            <w:tcBorders>
              <w:top w:val="nil"/>
              <w:left w:val="nil"/>
              <w:bottom w:val="single" w:sz="4" w:space="0" w:color="auto"/>
              <w:right w:val="single" w:sz="4" w:space="0" w:color="auto"/>
            </w:tcBorders>
            <w:shd w:val="clear" w:color="auto" w:fill="auto"/>
            <w:noWrap/>
            <w:vAlign w:val="bottom"/>
            <w:hideMark/>
          </w:tcPr>
          <w:p w14:paraId="1AD4483E"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0.06</w:t>
            </w:r>
          </w:p>
        </w:tc>
        <w:tc>
          <w:tcPr>
            <w:tcW w:w="1060" w:type="dxa"/>
            <w:tcBorders>
              <w:top w:val="nil"/>
              <w:left w:val="nil"/>
              <w:bottom w:val="single" w:sz="4" w:space="0" w:color="auto"/>
              <w:right w:val="single" w:sz="4" w:space="0" w:color="auto"/>
            </w:tcBorders>
            <w:shd w:val="clear" w:color="auto" w:fill="auto"/>
            <w:noWrap/>
            <w:vAlign w:val="bottom"/>
            <w:hideMark/>
          </w:tcPr>
          <w:p w14:paraId="5CE4446B"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0.00</w:t>
            </w:r>
          </w:p>
        </w:tc>
        <w:tc>
          <w:tcPr>
            <w:tcW w:w="1060" w:type="dxa"/>
            <w:tcBorders>
              <w:top w:val="nil"/>
              <w:left w:val="nil"/>
              <w:bottom w:val="single" w:sz="4" w:space="0" w:color="auto"/>
              <w:right w:val="single" w:sz="4" w:space="0" w:color="auto"/>
            </w:tcBorders>
            <w:shd w:val="clear" w:color="auto" w:fill="auto"/>
            <w:noWrap/>
            <w:vAlign w:val="bottom"/>
            <w:hideMark/>
          </w:tcPr>
          <w:p w14:paraId="3C21AB2B"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0.06</w:t>
            </w:r>
          </w:p>
        </w:tc>
        <w:tc>
          <w:tcPr>
            <w:tcW w:w="1060" w:type="dxa"/>
            <w:tcBorders>
              <w:top w:val="nil"/>
              <w:left w:val="nil"/>
              <w:bottom w:val="single" w:sz="4" w:space="0" w:color="auto"/>
              <w:right w:val="single" w:sz="4" w:space="0" w:color="auto"/>
            </w:tcBorders>
            <w:shd w:val="clear" w:color="auto" w:fill="auto"/>
            <w:noWrap/>
            <w:vAlign w:val="bottom"/>
            <w:hideMark/>
          </w:tcPr>
          <w:p w14:paraId="72B0527B"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0.05</w:t>
            </w:r>
          </w:p>
        </w:tc>
      </w:tr>
      <w:tr w:rsidR="008823DA" w:rsidRPr="008823DA" w14:paraId="181888E1" w14:textId="77777777" w:rsidTr="008823DA">
        <w:trPr>
          <w:trHeight w:val="300"/>
        </w:trPr>
        <w:tc>
          <w:tcPr>
            <w:tcW w:w="2812" w:type="dxa"/>
            <w:tcBorders>
              <w:top w:val="nil"/>
              <w:left w:val="single" w:sz="4" w:space="0" w:color="auto"/>
              <w:bottom w:val="single" w:sz="12" w:space="0" w:color="auto"/>
              <w:right w:val="single" w:sz="4" w:space="0" w:color="auto"/>
            </w:tcBorders>
            <w:shd w:val="clear" w:color="auto" w:fill="auto"/>
            <w:noWrap/>
            <w:vAlign w:val="bottom"/>
            <w:hideMark/>
          </w:tcPr>
          <w:p w14:paraId="04F6E4AA" w14:textId="77777777" w:rsidR="008823DA" w:rsidRPr="008823DA" w:rsidRDefault="008823DA" w:rsidP="00CA6B8F">
            <w:pPr>
              <w:spacing w:after="0"/>
              <w:jc w:val="right"/>
              <w:rPr>
                <w:rFonts w:ascii="Calibri" w:eastAsia="Times New Roman" w:hAnsi="Calibri" w:cs="Times New Roman"/>
                <w:i/>
                <w:iCs/>
                <w:color w:val="000000"/>
                <w:sz w:val="22"/>
                <w:szCs w:val="22"/>
              </w:rPr>
            </w:pPr>
            <w:r w:rsidRPr="008823DA">
              <w:rPr>
                <w:rFonts w:ascii="Calibri" w:eastAsia="Times New Roman" w:hAnsi="Calibri" w:cs="Times New Roman"/>
                <w:i/>
                <w:iCs/>
                <w:color w:val="000000"/>
                <w:sz w:val="22"/>
                <w:szCs w:val="22"/>
              </w:rPr>
              <w:t>Standard Deviation</w:t>
            </w:r>
          </w:p>
        </w:tc>
        <w:tc>
          <w:tcPr>
            <w:tcW w:w="1060" w:type="dxa"/>
            <w:tcBorders>
              <w:top w:val="nil"/>
              <w:left w:val="nil"/>
              <w:bottom w:val="single" w:sz="12" w:space="0" w:color="auto"/>
              <w:right w:val="single" w:sz="4" w:space="0" w:color="auto"/>
            </w:tcBorders>
            <w:shd w:val="clear" w:color="auto" w:fill="auto"/>
            <w:noWrap/>
            <w:vAlign w:val="bottom"/>
            <w:hideMark/>
          </w:tcPr>
          <w:p w14:paraId="0EAEFED7"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1.51</w:t>
            </w:r>
          </w:p>
        </w:tc>
        <w:tc>
          <w:tcPr>
            <w:tcW w:w="1060" w:type="dxa"/>
            <w:tcBorders>
              <w:top w:val="nil"/>
              <w:left w:val="nil"/>
              <w:bottom w:val="single" w:sz="12" w:space="0" w:color="auto"/>
              <w:right w:val="single" w:sz="4" w:space="0" w:color="auto"/>
            </w:tcBorders>
            <w:shd w:val="clear" w:color="auto" w:fill="auto"/>
            <w:noWrap/>
            <w:vAlign w:val="bottom"/>
            <w:hideMark/>
          </w:tcPr>
          <w:p w14:paraId="6A73309B"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1.78</w:t>
            </w:r>
          </w:p>
        </w:tc>
        <w:tc>
          <w:tcPr>
            <w:tcW w:w="1060" w:type="dxa"/>
            <w:tcBorders>
              <w:top w:val="nil"/>
              <w:left w:val="nil"/>
              <w:bottom w:val="single" w:sz="12" w:space="0" w:color="auto"/>
              <w:right w:val="single" w:sz="4" w:space="0" w:color="auto"/>
            </w:tcBorders>
            <w:shd w:val="clear" w:color="auto" w:fill="auto"/>
            <w:noWrap/>
            <w:vAlign w:val="bottom"/>
            <w:hideMark/>
          </w:tcPr>
          <w:p w14:paraId="601C947B"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1.55</w:t>
            </w:r>
          </w:p>
        </w:tc>
        <w:tc>
          <w:tcPr>
            <w:tcW w:w="1060" w:type="dxa"/>
            <w:tcBorders>
              <w:top w:val="nil"/>
              <w:left w:val="nil"/>
              <w:bottom w:val="single" w:sz="12" w:space="0" w:color="auto"/>
              <w:right w:val="single" w:sz="4" w:space="0" w:color="auto"/>
            </w:tcBorders>
            <w:shd w:val="clear" w:color="auto" w:fill="auto"/>
            <w:noWrap/>
            <w:vAlign w:val="bottom"/>
            <w:hideMark/>
          </w:tcPr>
          <w:p w14:paraId="43791B49"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2.70</w:t>
            </w:r>
          </w:p>
        </w:tc>
      </w:tr>
      <w:tr w:rsidR="008823DA" w:rsidRPr="008823DA" w14:paraId="6E9B0B67" w14:textId="77777777" w:rsidTr="008823DA">
        <w:trPr>
          <w:trHeight w:val="300"/>
        </w:trPr>
        <w:tc>
          <w:tcPr>
            <w:tcW w:w="2812" w:type="dxa"/>
            <w:tcBorders>
              <w:top w:val="nil"/>
              <w:left w:val="single" w:sz="4" w:space="0" w:color="auto"/>
              <w:bottom w:val="single" w:sz="4" w:space="0" w:color="auto"/>
              <w:right w:val="single" w:sz="4" w:space="0" w:color="auto"/>
            </w:tcBorders>
            <w:shd w:val="clear" w:color="auto" w:fill="auto"/>
            <w:noWrap/>
            <w:vAlign w:val="bottom"/>
            <w:hideMark/>
          </w:tcPr>
          <w:p w14:paraId="0047CC8D" w14:textId="7850DD1B" w:rsidR="008823DA" w:rsidRPr="008823DA" w:rsidRDefault="008823DA" w:rsidP="008823DA">
            <w:pPr>
              <w:spacing w:after="0"/>
              <w:rPr>
                <w:rFonts w:ascii="Calibri" w:eastAsia="Times New Roman" w:hAnsi="Calibri" w:cs="Times New Roman"/>
                <w:i/>
                <w:iCs/>
                <w:color w:val="000000"/>
                <w:sz w:val="22"/>
                <w:szCs w:val="22"/>
              </w:rPr>
            </w:pPr>
            <w:r>
              <w:rPr>
                <w:rFonts w:ascii="Calibri" w:eastAsia="Times New Roman" w:hAnsi="Calibri" w:cs="Times New Roman"/>
                <w:i/>
                <w:iCs/>
                <w:color w:val="000000"/>
                <w:sz w:val="22"/>
                <w:szCs w:val="22"/>
              </w:rPr>
              <w:t>Average Distance</w:t>
            </w:r>
            <w:r w:rsidRPr="008823DA">
              <w:rPr>
                <w:rFonts w:ascii="Calibri" w:eastAsia="Times New Roman" w:hAnsi="Calibri" w:cs="Times New Roman"/>
                <w:i/>
                <w:iCs/>
                <w:color w:val="000000"/>
                <w:sz w:val="22"/>
                <w:szCs w:val="22"/>
              </w:rPr>
              <w:t xml:space="preserve"> (Random)</w:t>
            </w:r>
          </w:p>
        </w:tc>
        <w:tc>
          <w:tcPr>
            <w:tcW w:w="1060" w:type="dxa"/>
            <w:tcBorders>
              <w:top w:val="nil"/>
              <w:left w:val="nil"/>
              <w:bottom w:val="single" w:sz="4" w:space="0" w:color="auto"/>
              <w:right w:val="single" w:sz="4" w:space="0" w:color="auto"/>
            </w:tcBorders>
            <w:shd w:val="clear" w:color="auto" w:fill="auto"/>
            <w:noWrap/>
            <w:vAlign w:val="bottom"/>
            <w:hideMark/>
          </w:tcPr>
          <w:p w14:paraId="5D7EE229"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3.71</w:t>
            </w:r>
          </w:p>
        </w:tc>
        <w:tc>
          <w:tcPr>
            <w:tcW w:w="1060" w:type="dxa"/>
            <w:tcBorders>
              <w:top w:val="nil"/>
              <w:left w:val="nil"/>
              <w:bottom w:val="single" w:sz="4" w:space="0" w:color="auto"/>
              <w:right w:val="single" w:sz="4" w:space="0" w:color="auto"/>
            </w:tcBorders>
            <w:shd w:val="clear" w:color="auto" w:fill="auto"/>
            <w:noWrap/>
            <w:vAlign w:val="bottom"/>
            <w:hideMark/>
          </w:tcPr>
          <w:p w14:paraId="67B72DCA"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4.05</w:t>
            </w:r>
          </w:p>
        </w:tc>
        <w:tc>
          <w:tcPr>
            <w:tcW w:w="1060" w:type="dxa"/>
            <w:tcBorders>
              <w:top w:val="nil"/>
              <w:left w:val="nil"/>
              <w:bottom w:val="single" w:sz="4" w:space="0" w:color="auto"/>
              <w:right w:val="single" w:sz="4" w:space="0" w:color="auto"/>
            </w:tcBorders>
            <w:shd w:val="clear" w:color="auto" w:fill="auto"/>
            <w:noWrap/>
            <w:vAlign w:val="bottom"/>
            <w:hideMark/>
          </w:tcPr>
          <w:p w14:paraId="79648003"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3.70</w:t>
            </w:r>
          </w:p>
        </w:tc>
        <w:tc>
          <w:tcPr>
            <w:tcW w:w="1060" w:type="dxa"/>
            <w:tcBorders>
              <w:top w:val="nil"/>
              <w:left w:val="nil"/>
              <w:bottom w:val="single" w:sz="4" w:space="0" w:color="auto"/>
              <w:right w:val="single" w:sz="4" w:space="0" w:color="auto"/>
            </w:tcBorders>
            <w:shd w:val="clear" w:color="auto" w:fill="auto"/>
            <w:noWrap/>
            <w:vAlign w:val="bottom"/>
            <w:hideMark/>
          </w:tcPr>
          <w:p w14:paraId="1F8FE6EE"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5.13</w:t>
            </w:r>
          </w:p>
        </w:tc>
      </w:tr>
      <w:tr w:rsidR="008823DA" w:rsidRPr="008823DA" w14:paraId="27A4024B" w14:textId="77777777" w:rsidTr="008823DA">
        <w:trPr>
          <w:trHeight w:val="280"/>
        </w:trPr>
        <w:tc>
          <w:tcPr>
            <w:tcW w:w="2812" w:type="dxa"/>
            <w:tcBorders>
              <w:top w:val="nil"/>
              <w:left w:val="single" w:sz="4" w:space="0" w:color="auto"/>
              <w:bottom w:val="single" w:sz="4" w:space="0" w:color="auto"/>
              <w:right w:val="single" w:sz="4" w:space="0" w:color="auto"/>
            </w:tcBorders>
            <w:shd w:val="clear" w:color="auto" w:fill="auto"/>
            <w:noWrap/>
            <w:vAlign w:val="bottom"/>
            <w:hideMark/>
          </w:tcPr>
          <w:p w14:paraId="4D11718B" w14:textId="77777777" w:rsidR="008823DA" w:rsidRPr="008823DA" w:rsidRDefault="008823DA" w:rsidP="00CA6B8F">
            <w:pPr>
              <w:spacing w:after="0"/>
              <w:jc w:val="right"/>
              <w:rPr>
                <w:rFonts w:ascii="Calibri" w:eastAsia="Times New Roman" w:hAnsi="Calibri" w:cs="Times New Roman"/>
                <w:i/>
                <w:iCs/>
                <w:color w:val="000000"/>
                <w:sz w:val="22"/>
                <w:szCs w:val="22"/>
              </w:rPr>
            </w:pPr>
            <w:r w:rsidRPr="008823DA">
              <w:rPr>
                <w:rFonts w:ascii="Calibri" w:eastAsia="Times New Roman" w:hAnsi="Calibri" w:cs="Times New Roman"/>
                <w:i/>
                <w:iCs/>
                <w:color w:val="000000"/>
                <w:sz w:val="22"/>
                <w:szCs w:val="22"/>
              </w:rPr>
              <w:t>Max Distance</w:t>
            </w:r>
          </w:p>
        </w:tc>
        <w:tc>
          <w:tcPr>
            <w:tcW w:w="1060" w:type="dxa"/>
            <w:tcBorders>
              <w:top w:val="nil"/>
              <w:left w:val="nil"/>
              <w:bottom w:val="single" w:sz="4" w:space="0" w:color="auto"/>
              <w:right w:val="single" w:sz="4" w:space="0" w:color="auto"/>
            </w:tcBorders>
            <w:shd w:val="clear" w:color="auto" w:fill="auto"/>
            <w:noWrap/>
            <w:vAlign w:val="bottom"/>
            <w:hideMark/>
          </w:tcPr>
          <w:p w14:paraId="313DB68A"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7.91</w:t>
            </w:r>
          </w:p>
        </w:tc>
        <w:tc>
          <w:tcPr>
            <w:tcW w:w="1060" w:type="dxa"/>
            <w:tcBorders>
              <w:top w:val="nil"/>
              <w:left w:val="nil"/>
              <w:bottom w:val="single" w:sz="4" w:space="0" w:color="auto"/>
              <w:right w:val="single" w:sz="4" w:space="0" w:color="auto"/>
            </w:tcBorders>
            <w:shd w:val="clear" w:color="auto" w:fill="auto"/>
            <w:noWrap/>
            <w:vAlign w:val="bottom"/>
            <w:hideMark/>
          </w:tcPr>
          <w:p w14:paraId="2790AC31"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7.78</w:t>
            </w:r>
          </w:p>
        </w:tc>
        <w:tc>
          <w:tcPr>
            <w:tcW w:w="1060" w:type="dxa"/>
            <w:tcBorders>
              <w:top w:val="nil"/>
              <w:left w:val="nil"/>
              <w:bottom w:val="single" w:sz="4" w:space="0" w:color="auto"/>
              <w:right w:val="single" w:sz="4" w:space="0" w:color="auto"/>
            </w:tcBorders>
            <w:shd w:val="clear" w:color="auto" w:fill="auto"/>
            <w:noWrap/>
            <w:vAlign w:val="bottom"/>
            <w:hideMark/>
          </w:tcPr>
          <w:p w14:paraId="742AA864"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7.63</w:t>
            </w:r>
          </w:p>
        </w:tc>
        <w:tc>
          <w:tcPr>
            <w:tcW w:w="1060" w:type="dxa"/>
            <w:tcBorders>
              <w:top w:val="nil"/>
              <w:left w:val="nil"/>
              <w:bottom w:val="single" w:sz="4" w:space="0" w:color="auto"/>
              <w:right w:val="single" w:sz="4" w:space="0" w:color="auto"/>
            </w:tcBorders>
            <w:shd w:val="clear" w:color="auto" w:fill="auto"/>
            <w:noWrap/>
            <w:vAlign w:val="bottom"/>
            <w:hideMark/>
          </w:tcPr>
          <w:p w14:paraId="238B074E"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11.00</w:t>
            </w:r>
          </w:p>
        </w:tc>
      </w:tr>
      <w:tr w:rsidR="008823DA" w:rsidRPr="008823DA" w14:paraId="100182DF" w14:textId="77777777" w:rsidTr="008823DA">
        <w:trPr>
          <w:trHeight w:val="280"/>
        </w:trPr>
        <w:tc>
          <w:tcPr>
            <w:tcW w:w="2812" w:type="dxa"/>
            <w:tcBorders>
              <w:top w:val="nil"/>
              <w:left w:val="single" w:sz="4" w:space="0" w:color="auto"/>
              <w:bottom w:val="single" w:sz="4" w:space="0" w:color="auto"/>
              <w:right w:val="single" w:sz="4" w:space="0" w:color="auto"/>
            </w:tcBorders>
            <w:shd w:val="clear" w:color="auto" w:fill="auto"/>
            <w:noWrap/>
            <w:vAlign w:val="bottom"/>
            <w:hideMark/>
          </w:tcPr>
          <w:p w14:paraId="59F8D19C" w14:textId="77777777" w:rsidR="008823DA" w:rsidRPr="008823DA" w:rsidRDefault="008823DA" w:rsidP="00CA6B8F">
            <w:pPr>
              <w:spacing w:after="0"/>
              <w:jc w:val="right"/>
              <w:rPr>
                <w:rFonts w:ascii="Calibri" w:eastAsia="Times New Roman" w:hAnsi="Calibri" w:cs="Times New Roman"/>
                <w:i/>
                <w:iCs/>
                <w:color w:val="000000"/>
                <w:sz w:val="22"/>
                <w:szCs w:val="22"/>
              </w:rPr>
            </w:pPr>
            <w:r w:rsidRPr="008823DA">
              <w:rPr>
                <w:rFonts w:ascii="Calibri" w:eastAsia="Times New Roman" w:hAnsi="Calibri" w:cs="Times New Roman"/>
                <w:i/>
                <w:iCs/>
                <w:color w:val="000000"/>
                <w:sz w:val="22"/>
                <w:szCs w:val="22"/>
              </w:rPr>
              <w:t>Min Distance</w:t>
            </w:r>
          </w:p>
        </w:tc>
        <w:tc>
          <w:tcPr>
            <w:tcW w:w="1060" w:type="dxa"/>
            <w:tcBorders>
              <w:top w:val="nil"/>
              <w:left w:val="nil"/>
              <w:bottom w:val="single" w:sz="4" w:space="0" w:color="auto"/>
              <w:right w:val="single" w:sz="4" w:space="0" w:color="auto"/>
            </w:tcBorders>
            <w:shd w:val="clear" w:color="auto" w:fill="auto"/>
            <w:noWrap/>
            <w:vAlign w:val="bottom"/>
            <w:hideMark/>
          </w:tcPr>
          <w:p w14:paraId="398E29C2"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0.24</w:t>
            </w:r>
          </w:p>
        </w:tc>
        <w:tc>
          <w:tcPr>
            <w:tcW w:w="1060" w:type="dxa"/>
            <w:tcBorders>
              <w:top w:val="nil"/>
              <w:left w:val="nil"/>
              <w:bottom w:val="single" w:sz="4" w:space="0" w:color="auto"/>
              <w:right w:val="single" w:sz="4" w:space="0" w:color="auto"/>
            </w:tcBorders>
            <w:shd w:val="clear" w:color="auto" w:fill="auto"/>
            <w:noWrap/>
            <w:vAlign w:val="bottom"/>
            <w:hideMark/>
          </w:tcPr>
          <w:p w14:paraId="1DE4DA62"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0.14</w:t>
            </w:r>
          </w:p>
        </w:tc>
        <w:tc>
          <w:tcPr>
            <w:tcW w:w="1060" w:type="dxa"/>
            <w:tcBorders>
              <w:top w:val="nil"/>
              <w:left w:val="nil"/>
              <w:bottom w:val="single" w:sz="4" w:space="0" w:color="auto"/>
              <w:right w:val="single" w:sz="4" w:space="0" w:color="auto"/>
            </w:tcBorders>
            <w:shd w:val="clear" w:color="auto" w:fill="auto"/>
            <w:noWrap/>
            <w:vAlign w:val="bottom"/>
            <w:hideMark/>
          </w:tcPr>
          <w:p w14:paraId="6F9AB272"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0.22</w:t>
            </w:r>
          </w:p>
        </w:tc>
        <w:tc>
          <w:tcPr>
            <w:tcW w:w="1060" w:type="dxa"/>
            <w:tcBorders>
              <w:top w:val="nil"/>
              <w:left w:val="nil"/>
              <w:bottom w:val="single" w:sz="4" w:space="0" w:color="auto"/>
              <w:right w:val="single" w:sz="4" w:space="0" w:color="auto"/>
            </w:tcBorders>
            <w:shd w:val="clear" w:color="auto" w:fill="auto"/>
            <w:noWrap/>
            <w:vAlign w:val="bottom"/>
            <w:hideMark/>
          </w:tcPr>
          <w:p w14:paraId="1CBCBF3F"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1.10</w:t>
            </w:r>
          </w:p>
        </w:tc>
      </w:tr>
      <w:tr w:rsidR="008823DA" w:rsidRPr="008823DA" w14:paraId="106BA6EF" w14:textId="77777777" w:rsidTr="008823DA">
        <w:trPr>
          <w:trHeight w:val="280"/>
        </w:trPr>
        <w:tc>
          <w:tcPr>
            <w:tcW w:w="2812" w:type="dxa"/>
            <w:tcBorders>
              <w:top w:val="nil"/>
              <w:left w:val="single" w:sz="4" w:space="0" w:color="auto"/>
              <w:bottom w:val="single" w:sz="4" w:space="0" w:color="auto"/>
              <w:right w:val="single" w:sz="4" w:space="0" w:color="auto"/>
            </w:tcBorders>
            <w:shd w:val="clear" w:color="auto" w:fill="auto"/>
            <w:noWrap/>
            <w:vAlign w:val="bottom"/>
            <w:hideMark/>
          </w:tcPr>
          <w:p w14:paraId="25065438" w14:textId="77777777" w:rsidR="008823DA" w:rsidRPr="008823DA" w:rsidRDefault="008823DA" w:rsidP="00CA6B8F">
            <w:pPr>
              <w:spacing w:after="0"/>
              <w:jc w:val="right"/>
              <w:rPr>
                <w:rFonts w:ascii="Calibri" w:eastAsia="Times New Roman" w:hAnsi="Calibri" w:cs="Times New Roman"/>
                <w:i/>
                <w:iCs/>
                <w:color w:val="000000"/>
                <w:sz w:val="22"/>
                <w:szCs w:val="22"/>
              </w:rPr>
            </w:pPr>
            <w:r w:rsidRPr="008823DA">
              <w:rPr>
                <w:rFonts w:ascii="Calibri" w:eastAsia="Times New Roman" w:hAnsi="Calibri" w:cs="Times New Roman"/>
                <w:i/>
                <w:iCs/>
                <w:color w:val="000000"/>
                <w:sz w:val="22"/>
                <w:szCs w:val="22"/>
              </w:rPr>
              <w:t>Standard Deviation</w:t>
            </w:r>
          </w:p>
        </w:tc>
        <w:tc>
          <w:tcPr>
            <w:tcW w:w="1060" w:type="dxa"/>
            <w:tcBorders>
              <w:top w:val="nil"/>
              <w:left w:val="nil"/>
              <w:bottom w:val="single" w:sz="4" w:space="0" w:color="auto"/>
              <w:right w:val="single" w:sz="4" w:space="0" w:color="auto"/>
            </w:tcBorders>
            <w:shd w:val="clear" w:color="auto" w:fill="auto"/>
            <w:noWrap/>
            <w:vAlign w:val="bottom"/>
            <w:hideMark/>
          </w:tcPr>
          <w:p w14:paraId="7ED9AC73"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1.95</w:t>
            </w:r>
          </w:p>
        </w:tc>
        <w:tc>
          <w:tcPr>
            <w:tcW w:w="1060" w:type="dxa"/>
            <w:tcBorders>
              <w:top w:val="nil"/>
              <w:left w:val="nil"/>
              <w:bottom w:val="single" w:sz="4" w:space="0" w:color="auto"/>
              <w:right w:val="single" w:sz="4" w:space="0" w:color="auto"/>
            </w:tcBorders>
            <w:shd w:val="clear" w:color="auto" w:fill="auto"/>
            <w:noWrap/>
            <w:vAlign w:val="bottom"/>
            <w:hideMark/>
          </w:tcPr>
          <w:p w14:paraId="7FB9BC3F"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1.79</w:t>
            </w:r>
          </w:p>
        </w:tc>
        <w:tc>
          <w:tcPr>
            <w:tcW w:w="1060" w:type="dxa"/>
            <w:tcBorders>
              <w:top w:val="nil"/>
              <w:left w:val="nil"/>
              <w:bottom w:val="single" w:sz="4" w:space="0" w:color="auto"/>
              <w:right w:val="single" w:sz="4" w:space="0" w:color="auto"/>
            </w:tcBorders>
            <w:shd w:val="clear" w:color="auto" w:fill="auto"/>
            <w:noWrap/>
            <w:vAlign w:val="bottom"/>
            <w:hideMark/>
          </w:tcPr>
          <w:p w14:paraId="1377C27D"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1.72</w:t>
            </w:r>
          </w:p>
        </w:tc>
        <w:tc>
          <w:tcPr>
            <w:tcW w:w="1060" w:type="dxa"/>
            <w:tcBorders>
              <w:top w:val="nil"/>
              <w:left w:val="nil"/>
              <w:bottom w:val="single" w:sz="4" w:space="0" w:color="auto"/>
              <w:right w:val="single" w:sz="4" w:space="0" w:color="auto"/>
            </w:tcBorders>
            <w:shd w:val="clear" w:color="auto" w:fill="auto"/>
            <w:noWrap/>
            <w:vAlign w:val="bottom"/>
            <w:hideMark/>
          </w:tcPr>
          <w:p w14:paraId="746CE3CA" w14:textId="77777777" w:rsidR="008823DA" w:rsidRPr="008823DA" w:rsidRDefault="008823DA" w:rsidP="008823DA">
            <w:pPr>
              <w:spacing w:after="0"/>
              <w:jc w:val="right"/>
              <w:rPr>
                <w:rFonts w:ascii="Calibri" w:eastAsia="Times New Roman" w:hAnsi="Calibri" w:cs="Times New Roman"/>
                <w:color w:val="000000"/>
                <w:sz w:val="22"/>
                <w:szCs w:val="22"/>
              </w:rPr>
            </w:pPr>
            <w:r w:rsidRPr="008823DA">
              <w:rPr>
                <w:rFonts w:ascii="Calibri" w:eastAsia="Times New Roman" w:hAnsi="Calibri" w:cs="Times New Roman"/>
                <w:color w:val="000000"/>
                <w:sz w:val="22"/>
                <w:szCs w:val="22"/>
              </w:rPr>
              <w:t>2.09</w:t>
            </w:r>
          </w:p>
        </w:tc>
      </w:tr>
    </w:tbl>
    <w:p w14:paraId="214E85FD" w14:textId="5A125B4D" w:rsidR="00AD26B8" w:rsidRDefault="00AD26B8" w:rsidP="00343218">
      <w:pPr>
        <w:spacing w:before="100"/>
        <w:ind w:right="720" w:firstLine="720"/>
        <w:rPr>
          <w:bCs/>
        </w:rPr>
      </w:pPr>
      <w:r>
        <w:rPr>
          <w:bCs/>
        </w:rPr>
        <w:t>Upon classifying GROW Center Participants into High, Medium and Low-Density areas, characteristics of GROW Center participants were illuminated. Classification areas can be seen in Figure 2. Zonal statistics on each area revealed that High</w:t>
      </w:r>
      <w:r w:rsidR="00770A14">
        <w:rPr>
          <w:bCs/>
        </w:rPr>
        <w:t xml:space="preserve"> and Medium</w:t>
      </w:r>
      <w:r>
        <w:rPr>
          <w:bCs/>
        </w:rPr>
        <w:t xml:space="preserve"> Density areas of GROW Center users had lower median household incomes, higher percentages of vacant properties, higher numbers of community managed open spaces and less tree canopy cover as compared to Lower Density areas.</w:t>
      </w:r>
    </w:p>
    <w:p w14:paraId="76A5767C" w14:textId="7BE0FC2B" w:rsidR="00AD26B8" w:rsidRDefault="00AD26B8" w:rsidP="00AD26B8">
      <w:pPr>
        <w:spacing w:after="0"/>
        <w:ind w:right="720"/>
        <w:rPr>
          <w:bCs/>
        </w:rPr>
      </w:pPr>
      <w:r>
        <w:rPr>
          <w:bCs/>
        </w:rPr>
        <w:t>Table 2:</w:t>
      </w:r>
    </w:p>
    <w:tbl>
      <w:tblPr>
        <w:tblW w:w="7500" w:type="dxa"/>
        <w:tblInd w:w="93" w:type="dxa"/>
        <w:tblLook w:val="04A0" w:firstRow="1" w:lastRow="0" w:firstColumn="1" w:lastColumn="0" w:noHBand="0" w:noVBand="1"/>
      </w:tblPr>
      <w:tblGrid>
        <w:gridCol w:w="1060"/>
        <w:gridCol w:w="3260"/>
        <w:gridCol w:w="1060"/>
        <w:gridCol w:w="1060"/>
        <w:gridCol w:w="1060"/>
      </w:tblGrid>
      <w:tr w:rsidR="00AD26B8" w:rsidRPr="00AD26B8" w14:paraId="1AB721A9" w14:textId="77777777" w:rsidTr="00AD26B8">
        <w:trPr>
          <w:trHeight w:val="28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D0F655" w14:textId="77777777" w:rsidR="00AD26B8" w:rsidRPr="00AD26B8" w:rsidRDefault="00AD26B8" w:rsidP="00AD26B8">
            <w:pPr>
              <w:spacing w:after="0"/>
              <w:rPr>
                <w:rFonts w:ascii="Calibri" w:eastAsia="Times New Roman" w:hAnsi="Calibri" w:cs="Times New Roman"/>
                <w:b/>
                <w:bCs/>
                <w:color w:val="000000"/>
                <w:sz w:val="22"/>
                <w:szCs w:val="22"/>
              </w:rPr>
            </w:pPr>
            <w:r w:rsidRPr="00AD26B8">
              <w:rPr>
                <w:rFonts w:ascii="Calibri" w:eastAsia="Times New Roman" w:hAnsi="Calibri" w:cs="Times New Roman"/>
                <w:b/>
                <w:bCs/>
                <w:color w:val="000000"/>
                <w:sz w:val="22"/>
                <w:szCs w:val="22"/>
              </w:rPr>
              <w:t>Year</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288702E2" w14:textId="77777777" w:rsidR="00AD26B8" w:rsidRPr="00AD26B8" w:rsidRDefault="00AD26B8" w:rsidP="00AD26B8">
            <w:pPr>
              <w:spacing w:after="0"/>
              <w:rPr>
                <w:rFonts w:ascii="Calibri" w:eastAsia="Times New Roman" w:hAnsi="Calibri" w:cs="Times New Roman"/>
                <w:b/>
                <w:bCs/>
                <w:color w:val="000000"/>
                <w:sz w:val="22"/>
                <w:szCs w:val="22"/>
              </w:rPr>
            </w:pPr>
            <w:r w:rsidRPr="00AD26B8">
              <w:rPr>
                <w:rFonts w:ascii="Calibri" w:eastAsia="Times New Roman" w:hAnsi="Calibri" w:cs="Times New Roman"/>
                <w:b/>
                <w:bCs/>
                <w:color w:val="000000"/>
                <w:sz w:val="22"/>
                <w:szCs w:val="22"/>
              </w:rPr>
              <w:t>Indicator</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5E865012" w14:textId="77777777" w:rsidR="00AD26B8" w:rsidRPr="00AD26B8" w:rsidRDefault="00AD26B8" w:rsidP="00AD26B8">
            <w:pPr>
              <w:spacing w:after="0"/>
              <w:rPr>
                <w:rFonts w:ascii="Calibri" w:eastAsia="Times New Roman" w:hAnsi="Calibri" w:cs="Times New Roman"/>
                <w:b/>
                <w:bCs/>
                <w:color w:val="000000"/>
                <w:sz w:val="22"/>
                <w:szCs w:val="22"/>
              </w:rPr>
            </w:pPr>
            <w:r w:rsidRPr="00AD26B8">
              <w:rPr>
                <w:rFonts w:ascii="Calibri" w:eastAsia="Times New Roman" w:hAnsi="Calibri" w:cs="Times New Roman"/>
                <w:b/>
                <w:bCs/>
                <w:color w:val="000000"/>
                <w:sz w:val="22"/>
                <w:szCs w:val="22"/>
              </w:rPr>
              <w:t>High</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61BAB6AD" w14:textId="77777777" w:rsidR="00AD26B8" w:rsidRPr="00AD26B8" w:rsidRDefault="00AD26B8" w:rsidP="00AD26B8">
            <w:pPr>
              <w:spacing w:after="0"/>
              <w:rPr>
                <w:rFonts w:ascii="Calibri" w:eastAsia="Times New Roman" w:hAnsi="Calibri" w:cs="Times New Roman"/>
                <w:b/>
                <w:bCs/>
                <w:color w:val="000000"/>
                <w:sz w:val="22"/>
                <w:szCs w:val="22"/>
              </w:rPr>
            </w:pPr>
            <w:r w:rsidRPr="00AD26B8">
              <w:rPr>
                <w:rFonts w:ascii="Calibri" w:eastAsia="Times New Roman" w:hAnsi="Calibri" w:cs="Times New Roman"/>
                <w:b/>
                <w:bCs/>
                <w:color w:val="000000"/>
                <w:sz w:val="22"/>
                <w:szCs w:val="22"/>
              </w:rPr>
              <w:t>Med</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52FEF984" w14:textId="77777777" w:rsidR="00AD26B8" w:rsidRPr="00AD26B8" w:rsidRDefault="00AD26B8" w:rsidP="00AD26B8">
            <w:pPr>
              <w:spacing w:after="0"/>
              <w:rPr>
                <w:rFonts w:ascii="Calibri" w:eastAsia="Times New Roman" w:hAnsi="Calibri" w:cs="Times New Roman"/>
                <w:b/>
                <w:bCs/>
                <w:color w:val="000000"/>
                <w:sz w:val="22"/>
                <w:szCs w:val="22"/>
              </w:rPr>
            </w:pPr>
            <w:r w:rsidRPr="00AD26B8">
              <w:rPr>
                <w:rFonts w:ascii="Calibri" w:eastAsia="Times New Roman" w:hAnsi="Calibri" w:cs="Times New Roman"/>
                <w:b/>
                <w:bCs/>
                <w:color w:val="000000"/>
                <w:sz w:val="22"/>
                <w:szCs w:val="22"/>
              </w:rPr>
              <w:t>Low</w:t>
            </w:r>
          </w:p>
        </w:tc>
      </w:tr>
      <w:tr w:rsidR="00AD26B8" w:rsidRPr="00AD26B8" w14:paraId="6309A8DF" w14:textId="77777777" w:rsidTr="00AD26B8">
        <w:trPr>
          <w:trHeight w:val="28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E9308AA" w14:textId="77777777" w:rsidR="00AD26B8" w:rsidRPr="00AD26B8" w:rsidRDefault="00AD26B8" w:rsidP="00AD26B8">
            <w:pPr>
              <w:spacing w:after="0"/>
              <w:jc w:val="right"/>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2016</w:t>
            </w:r>
          </w:p>
        </w:tc>
        <w:tc>
          <w:tcPr>
            <w:tcW w:w="3260" w:type="dxa"/>
            <w:tcBorders>
              <w:top w:val="nil"/>
              <w:left w:val="nil"/>
              <w:bottom w:val="single" w:sz="4" w:space="0" w:color="auto"/>
              <w:right w:val="single" w:sz="4" w:space="0" w:color="auto"/>
            </w:tcBorders>
            <w:shd w:val="clear" w:color="auto" w:fill="auto"/>
            <w:noWrap/>
            <w:vAlign w:val="bottom"/>
            <w:hideMark/>
          </w:tcPr>
          <w:p w14:paraId="69C04B68" w14:textId="77777777" w:rsidR="00AD26B8" w:rsidRPr="00AD26B8" w:rsidRDefault="00AD26B8" w:rsidP="00AD26B8">
            <w:pPr>
              <w:spacing w:after="0"/>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Median Household Income ($)</w:t>
            </w:r>
          </w:p>
        </w:tc>
        <w:tc>
          <w:tcPr>
            <w:tcW w:w="1060" w:type="dxa"/>
            <w:tcBorders>
              <w:top w:val="nil"/>
              <w:left w:val="nil"/>
              <w:bottom w:val="single" w:sz="4" w:space="0" w:color="auto"/>
              <w:right w:val="single" w:sz="4" w:space="0" w:color="auto"/>
            </w:tcBorders>
            <w:shd w:val="clear" w:color="auto" w:fill="auto"/>
            <w:noWrap/>
            <w:vAlign w:val="bottom"/>
            <w:hideMark/>
          </w:tcPr>
          <w:p w14:paraId="1119B31F" w14:textId="77777777" w:rsidR="00AD26B8" w:rsidRPr="00AD26B8" w:rsidRDefault="00AD26B8" w:rsidP="00AD26B8">
            <w:pPr>
              <w:spacing w:after="0"/>
              <w:jc w:val="right"/>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38,325</w:t>
            </w:r>
          </w:p>
        </w:tc>
        <w:tc>
          <w:tcPr>
            <w:tcW w:w="1060" w:type="dxa"/>
            <w:tcBorders>
              <w:top w:val="nil"/>
              <w:left w:val="nil"/>
              <w:bottom w:val="single" w:sz="4" w:space="0" w:color="auto"/>
              <w:right w:val="single" w:sz="4" w:space="0" w:color="auto"/>
            </w:tcBorders>
            <w:shd w:val="clear" w:color="auto" w:fill="auto"/>
            <w:noWrap/>
            <w:vAlign w:val="bottom"/>
            <w:hideMark/>
          </w:tcPr>
          <w:p w14:paraId="21F953AD" w14:textId="77777777" w:rsidR="00AD26B8" w:rsidRPr="00AD26B8" w:rsidRDefault="00AD26B8" w:rsidP="00AD26B8">
            <w:pPr>
              <w:spacing w:after="0"/>
              <w:jc w:val="right"/>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47,926</w:t>
            </w:r>
          </w:p>
        </w:tc>
        <w:tc>
          <w:tcPr>
            <w:tcW w:w="1060" w:type="dxa"/>
            <w:tcBorders>
              <w:top w:val="nil"/>
              <w:left w:val="nil"/>
              <w:bottom w:val="single" w:sz="4" w:space="0" w:color="auto"/>
              <w:right w:val="single" w:sz="4" w:space="0" w:color="auto"/>
            </w:tcBorders>
            <w:shd w:val="clear" w:color="auto" w:fill="auto"/>
            <w:noWrap/>
            <w:vAlign w:val="bottom"/>
            <w:hideMark/>
          </w:tcPr>
          <w:p w14:paraId="750BDC27" w14:textId="77777777" w:rsidR="00AD26B8" w:rsidRPr="00AD26B8" w:rsidRDefault="00AD26B8" w:rsidP="00AD26B8">
            <w:pPr>
              <w:spacing w:after="0"/>
              <w:jc w:val="right"/>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50,267</w:t>
            </w:r>
          </w:p>
        </w:tc>
      </w:tr>
      <w:tr w:rsidR="00AD26B8" w:rsidRPr="00AD26B8" w14:paraId="0DEFECD7" w14:textId="77777777" w:rsidTr="00AD26B8">
        <w:trPr>
          <w:trHeight w:val="56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4A051A6" w14:textId="77777777" w:rsidR="00AD26B8" w:rsidRPr="00AD26B8" w:rsidRDefault="00AD26B8" w:rsidP="00AD26B8">
            <w:pPr>
              <w:spacing w:after="0"/>
              <w:jc w:val="right"/>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2015</w:t>
            </w:r>
          </w:p>
        </w:tc>
        <w:tc>
          <w:tcPr>
            <w:tcW w:w="3260" w:type="dxa"/>
            <w:tcBorders>
              <w:top w:val="nil"/>
              <w:left w:val="nil"/>
              <w:bottom w:val="single" w:sz="4" w:space="0" w:color="auto"/>
              <w:right w:val="single" w:sz="4" w:space="0" w:color="auto"/>
            </w:tcBorders>
            <w:shd w:val="clear" w:color="auto" w:fill="auto"/>
            <w:vAlign w:val="bottom"/>
            <w:hideMark/>
          </w:tcPr>
          <w:p w14:paraId="15691098" w14:textId="77777777" w:rsidR="00AD26B8" w:rsidRPr="00AD26B8" w:rsidRDefault="00AD26B8" w:rsidP="00AD26B8">
            <w:pPr>
              <w:spacing w:after="0"/>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 Residential Properties that are vacant and abandoned</w:t>
            </w:r>
          </w:p>
        </w:tc>
        <w:tc>
          <w:tcPr>
            <w:tcW w:w="1060" w:type="dxa"/>
            <w:tcBorders>
              <w:top w:val="nil"/>
              <w:left w:val="nil"/>
              <w:bottom w:val="single" w:sz="4" w:space="0" w:color="auto"/>
              <w:right w:val="single" w:sz="4" w:space="0" w:color="auto"/>
            </w:tcBorders>
            <w:shd w:val="clear" w:color="auto" w:fill="auto"/>
            <w:noWrap/>
            <w:vAlign w:val="bottom"/>
            <w:hideMark/>
          </w:tcPr>
          <w:p w14:paraId="7AAE4F09" w14:textId="77777777" w:rsidR="00AD26B8" w:rsidRPr="00AD26B8" w:rsidRDefault="00AD26B8" w:rsidP="00AD26B8">
            <w:pPr>
              <w:spacing w:after="0"/>
              <w:jc w:val="right"/>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12.83</w:t>
            </w:r>
          </w:p>
        </w:tc>
        <w:tc>
          <w:tcPr>
            <w:tcW w:w="1060" w:type="dxa"/>
            <w:tcBorders>
              <w:top w:val="nil"/>
              <w:left w:val="nil"/>
              <w:bottom w:val="single" w:sz="4" w:space="0" w:color="auto"/>
              <w:right w:val="single" w:sz="4" w:space="0" w:color="auto"/>
            </w:tcBorders>
            <w:shd w:val="clear" w:color="auto" w:fill="auto"/>
            <w:noWrap/>
            <w:vAlign w:val="bottom"/>
            <w:hideMark/>
          </w:tcPr>
          <w:p w14:paraId="0C1B18D7" w14:textId="77777777" w:rsidR="00AD26B8" w:rsidRPr="00AD26B8" w:rsidRDefault="00AD26B8" w:rsidP="00AD26B8">
            <w:pPr>
              <w:spacing w:after="0"/>
              <w:jc w:val="right"/>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6.56</w:t>
            </w:r>
          </w:p>
        </w:tc>
        <w:tc>
          <w:tcPr>
            <w:tcW w:w="1060" w:type="dxa"/>
            <w:tcBorders>
              <w:top w:val="nil"/>
              <w:left w:val="nil"/>
              <w:bottom w:val="single" w:sz="4" w:space="0" w:color="auto"/>
              <w:right w:val="single" w:sz="4" w:space="0" w:color="auto"/>
            </w:tcBorders>
            <w:shd w:val="clear" w:color="auto" w:fill="auto"/>
            <w:noWrap/>
            <w:vAlign w:val="bottom"/>
            <w:hideMark/>
          </w:tcPr>
          <w:p w14:paraId="06949A4B" w14:textId="77777777" w:rsidR="00AD26B8" w:rsidRPr="00AD26B8" w:rsidRDefault="00AD26B8" w:rsidP="00AD26B8">
            <w:pPr>
              <w:spacing w:after="0"/>
              <w:jc w:val="right"/>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3.03</w:t>
            </w:r>
          </w:p>
        </w:tc>
      </w:tr>
      <w:tr w:rsidR="00AD26B8" w:rsidRPr="00AD26B8" w14:paraId="0E84D12B" w14:textId="77777777" w:rsidTr="00AD26B8">
        <w:trPr>
          <w:trHeight w:val="56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85DB36B" w14:textId="77777777" w:rsidR="00AD26B8" w:rsidRPr="00AD26B8" w:rsidRDefault="00AD26B8" w:rsidP="00AD26B8">
            <w:pPr>
              <w:spacing w:after="0"/>
              <w:jc w:val="right"/>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2015</w:t>
            </w:r>
          </w:p>
        </w:tc>
        <w:tc>
          <w:tcPr>
            <w:tcW w:w="3260" w:type="dxa"/>
            <w:tcBorders>
              <w:top w:val="nil"/>
              <w:left w:val="nil"/>
              <w:bottom w:val="single" w:sz="4" w:space="0" w:color="auto"/>
              <w:right w:val="single" w:sz="4" w:space="0" w:color="auto"/>
            </w:tcBorders>
            <w:shd w:val="clear" w:color="auto" w:fill="auto"/>
            <w:vAlign w:val="bottom"/>
            <w:hideMark/>
          </w:tcPr>
          <w:p w14:paraId="4DB8FC5E" w14:textId="2A875986" w:rsidR="00AD26B8" w:rsidRPr="00AD26B8" w:rsidRDefault="00AD26B8" w:rsidP="00AD26B8">
            <w:pPr>
              <w:spacing w:after="0"/>
              <w:rPr>
                <w:rFonts w:ascii="Calibri" w:eastAsia="Times New Roman" w:hAnsi="Calibri" w:cs="Times New Roman"/>
                <w:color w:val="000000"/>
                <w:sz w:val="22"/>
                <w:szCs w:val="22"/>
              </w:rPr>
            </w:pPr>
            <w:r>
              <w:rPr>
                <w:rFonts w:ascii="Calibri" w:eastAsia="Times New Roman" w:hAnsi="Calibri" w:cs="Times New Roman"/>
                <w:color w:val="000000"/>
                <w:sz w:val="22"/>
                <w:szCs w:val="22"/>
              </w:rPr>
              <w:t>Number</w:t>
            </w:r>
            <w:r w:rsidRPr="00AD26B8">
              <w:rPr>
                <w:rFonts w:ascii="Calibri" w:eastAsia="Times New Roman" w:hAnsi="Calibri" w:cs="Times New Roman"/>
                <w:color w:val="000000"/>
                <w:sz w:val="22"/>
                <w:szCs w:val="22"/>
              </w:rPr>
              <w:t xml:space="preserve"> of Community Managed Open Spaces</w:t>
            </w:r>
          </w:p>
        </w:tc>
        <w:tc>
          <w:tcPr>
            <w:tcW w:w="1060" w:type="dxa"/>
            <w:tcBorders>
              <w:top w:val="nil"/>
              <w:left w:val="nil"/>
              <w:bottom w:val="single" w:sz="4" w:space="0" w:color="auto"/>
              <w:right w:val="single" w:sz="4" w:space="0" w:color="auto"/>
            </w:tcBorders>
            <w:shd w:val="clear" w:color="auto" w:fill="auto"/>
            <w:noWrap/>
            <w:vAlign w:val="bottom"/>
            <w:hideMark/>
          </w:tcPr>
          <w:p w14:paraId="4CB67C96" w14:textId="77777777" w:rsidR="00AD26B8" w:rsidRPr="00AD26B8" w:rsidRDefault="00AD26B8" w:rsidP="00AD26B8">
            <w:pPr>
              <w:spacing w:after="0"/>
              <w:jc w:val="right"/>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27.81</w:t>
            </w:r>
          </w:p>
        </w:tc>
        <w:tc>
          <w:tcPr>
            <w:tcW w:w="1060" w:type="dxa"/>
            <w:tcBorders>
              <w:top w:val="nil"/>
              <w:left w:val="nil"/>
              <w:bottom w:val="single" w:sz="4" w:space="0" w:color="auto"/>
              <w:right w:val="single" w:sz="4" w:space="0" w:color="auto"/>
            </w:tcBorders>
            <w:shd w:val="clear" w:color="auto" w:fill="auto"/>
            <w:noWrap/>
            <w:vAlign w:val="bottom"/>
            <w:hideMark/>
          </w:tcPr>
          <w:p w14:paraId="0FD6698D" w14:textId="77777777" w:rsidR="00AD26B8" w:rsidRPr="00AD26B8" w:rsidRDefault="00AD26B8" w:rsidP="00AD26B8">
            <w:pPr>
              <w:spacing w:after="0"/>
              <w:jc w:val="right"/>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13</w:t>
            </w:r>
          </w:p>
        </w:tc>
        <w:tc>
          <w:tcPr>
            <w:tcW w:w="1060" w:type="dxa"/>
            <w:tcBorders>
              <w:top w:val="nil"/>
              <w:left w:val="nil"/>
              <w:bottom w:val="single" w:sz="4" w:space="0" w:color="auto"/>
              <w:right w:val="single" w:sz="4" w:space="0" w:color="auto"/>
            </w:tcBorders>
            <w:shd w:val="clear" w:color="auto" w:fill="auto"/>
            <w:noWrap/>
            <w:vAlign w:val="bottom"/>
            <w:hideMark/>
          </w:tcPr>
          <w:p w14:paraId="2F9BFEA5" w14:textId="77777777" w:rsidR="00AD26B8" w:rsidRPr="00AD26B8" w:rsidRDefault="00AD26B8" w:rsidP="00AD26B8">
            <w:pPr>
              <w:spacing w:after="0"/>
              <w:jc w:val="right"/>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3.75</w:t>
            </w:r>
          </w:p>
        </w:tc>
      </w:tr>
      <w:tr w:rsidR="00AD26B8" w:rsidRPr="00AD26B8" w14:paraId="42547B04" w14:textId="77777777" w:rsidTr="00AD26B8">
        <w:trPr>
          <w:trHeight w:val="28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8590E34" w14:textId="77777777" w:rsidR="00AD26B8" w:rsidRPr="00AD26B8" w:rsidRDefault="00AD26B8" w:rsidP="00AD26B8">
            <w:pPr>
              <w:spacing w:after="0"/>
              <w:jc w:val="right"/>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2011</w:t>
            </w:r>
          </w:p>
        </w:tc>
        <w:tc>
          <w:tcPr>
            <w:tcW w:w="3260" w:type="dxa"/>
            <w:tcBorders>
              <w:top w:val="nil"/>
              <w:left w:val="nil"/>
              <w:bottom w:val="single" w:sz="4" w:space="0" w:color="auto"/>
              <w:right w:val="single" w:sz="4" w:space="0" w:color="auto"/>
            </w:tcBorders>
            <w:shd w:val="clear" w:color="auto" w:fill="auto"/>
            <w:noWrap/>
            <w:vAlign w:val="bottom"/>
            <w:hideMark/>
          </w:tcPr>
          <w:p w14:paraId="2B82A17B" w14:textId="77777777" w:rsidR="00AD26B8" w:rsidRPr="00AD26B8" w:rsidRDefault="00AD26B8" w:rsidP="00AD26B8">
            <w:pPr>
              <w:spacing w:after="0"/>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 Tree Canopy Cover</w:t>
            </w:r>
          </w:p>
        </w:tc>
        <w:tc>
          <w:tcPr>
            <w:tcW w:w="1060" w:type="dxa"/>
            <w:tcBorders>
              <w:top w:val="nil"/>
              <w:left w:val="nil"/>
              <w:bottom w:val="single" w:sz="4" w:space="0" w:color="auto"/>
              <w:right w:val="single" w:sz="4" w:space="0" w:color="auto"/>
            </w:tcBorders>
            <w:shd w:val="clear" w:color="auto" w:fill="auto"/>
            <w:noWrap/>
            <w:vAlign w:val="bottom"/>
            <w:hideMark/>
          </w:tcPr>
          <w:p w14:paraId="4D79B530" w14:textId="77777777" w:rsidR="00AD26B8" w:rsidRPr="00AD26B8" w:rsidRDefault="00AD26B8" w:rsidP="00AD26B8">
            <w:pPr>
              <w:spacing w:after="0"/>
              <w:jc w:val="right"/>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21.31</w:t>
            </w:r>
          </w:p>
        </w:tc>
        <w:tc>
          <w:tcPr>
            <w:tcW w:w="1060" w:type="dxa"/>
            <w:tcBorders>
              <w:top w:val="nil"/>
              <w:left w:val="nil"/>
              <w:bottom w:val="single" w:sz="4" w:space="0" w:color="auto"/>
              <w:right w:val="single" w:sz="4" w:space="0" w:color="auto"/>
            </w:tcBorders>
            <w:shd w:val="clear" w:color="auto" w:fill="auto"/>
            <w:noWrap/>
            <w:vAlign w:val="bottom"/>
            <w:hideMark/>
          </w:tcPr>
          <w:p w14:paraId="5128D38B" w14:textId="77777777" w:rsidR="00AD26B8" w:rsidRPr="00AD26B8" w:rsidRDefault="00AD26B8" w:rsidP="00AD26B8">
            <w:pPr>
              <w:spacing w:after="0"/>
              <w:jc w:val="right"/>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27.96</w:t>
            </w:r>
          </w:p>
        </w:tc>
        <w:tc>
          <w:tcPr>
            <w:tcW w:w="1060" w:type="dxa"/>
            <w:tcBorders>
              <w:top w:val="nil"/>
              <w:left w:val="nil"/>
              <w:bottom w:val="single" w:sz="4" w:space="0" w:color="auto"/>
              <w:right w:val="single" w:sz="4" w:space="0" w:color="auto"/>
            </w:tcBorders>
            <w:shd w:val="clear" w:color="auto" w:fill="auto"/>
            <w:noWrap/>
            <w:vAlign w:val="bottom"/>
            <w:hideMark/>
          </w:tcPr>
          <w:p w14:paraId="264864EC" w14:textId="77777777" w:rsidR="00AD26B8" w:rsidRPr="00AD26B8" w:rsidRDefault="00AD26B8" w:rsidP="00AD26B8">
            <w:pPr>
              <w:spacing w:after="0"/>
              <w:jc w:val="right"/>
              <w:rPr>
                <w:rFonts w:ascii="Calibri" w:eastAsia="Times New Roman" w:hAnsi="Calibri" w:cs="Times New Roman"/>
                <w:color w:val="000000"/>
                <w:sz w:val="22"/>
                <w:szCs w:val="22"/>
              </w:rPr>
            </w:pPr>
            <w:r w:rsidRPr="00AD26B8">
              <w:rPr>
                <w:rFonts w:ascii="Calibri" w:eastAsia="Times New Roman" w:hAnsi="Calibri" w:cs="Times New Roman"/>
                <w:color w:val="000000"/>
                <w:sz w:val="22"/>
                <w:szCs w:val="22"/>
              </w:rPr>
              <w:t>28.65</w:t>
            </w:r>
          </w:p>
        </w:tc>
      </w:tr>
    </w:tbl>
    <w:p w14:paraId="44BF59B3" w14:textId="77777777" w:rsidR="00AD26B8" w:rsidRDefault="00AD26B8" w:rsidP="00C24E26">
      <w:pPr>
        <w:ind w:right="720"/>
        <w:rPr>
          <w:bCs/>
        </w:rPr>
      </w:pPr>
    </w:p>
    <w:p w14:paraId="7113A826" w14:textId="42F1494A" w:rsidR="000B35C8" w:rsidRDefault="00AD26B8" w:rsidP="00C24E26">
      <w:pPr>
        <w:ind w:right="720"/>
        <w:rPr>
          <w:b/>
          <w:bCs/>
        </w:rPr>
      </w:pPr>
      <w:r>
        <w:rPr>
          <w:b/>
          <w:bCs/>
        </w:rPr>
        <w:t xml:space="preserve">Conclusions: </w:t>
      </w:r>
    </w:p>
    <w:p w14:paraId="72F77421" w14:textId="34F305AE" w:rsidR="00B324A7" w:rsidRDefault="00A27501" w:rsidP="00A27501">
      <w:pPr>
        <w:ind w:right="720" w:firstLine="720"/>
        <w:rPr>
          <w:bCs/>
        </w:rPr>
      </w:pPr>
      <w:r>
        <w:rPr>
          <w:bCs/>
        </w:rPr>
        <w:t>Results</w:t>
      </w:r>
      <w:r w:rsidR="00AD26B8">
        <w:rPr>
          <w:bCs/>
        </w:rPr>
        <w:t xml:space="preserve"> indica</w:t>
      </w:r>
      <w:r w:rsidR="00B324A7">
        <w:rPr>
          <w:bCs/>
        </w:rPr>
        <w:t xml:space="preserve">te that GROW Centers attracted </w:t>
      </w:r>
      <w:r w:rsidR="006930E6">
        <w:rPr>
          <w:bCs/>
        </w:rPr>
        <w:t xml:space="preserve">a </w:t>
      </w:r>
      <w:r w:rsidR="005D2A9C">
        <w:rPr>
          <w:bCs/>
        </w:rPr>
        <w:t>notable</w:t>
      </w:r>
      <w:r w:rsidR="00AD26B8">
        <w:rPr>
          <w:bCs/>
        </w:rPr>
        <w:t xml:space="preserve"> local population</w:t>
      </w:r>
      <w:r w:rsidR="005D2A9C">
        <w:rPr>
          <w:bCs/>
        </w:rPr>
        <w:t xml:space="preserve"> of participants that also included more distant travelers</w:t>
      </w:r>
      <w:r w:rsidR="006219EB">
        <w:rPr>
          <w:bCs/>
        </w:rPr>
        <w:t xml:space="preserve"> (Figure 1)</w:t>
      </w:r>
      <w:r>
        <w:rPr>
          <w:bCs/>
        </w:rPr>
        <w:t>. T</w:t>
      </w:r>
      <w:r w:rsidR="00B324A7">
        <w:rPr>
          <w:bCs/>
        </w:rPr>
        <w:t>his suggest</w:t>
      </w:r>
      <w:r w:rsidR="006930E6">
        <w:rPr>
          <w:bCs/>
        </w:rPr>
        <w:t>s</w:t>
      </w:r>
      <w:r w:rsidR="00B324A7">
        <w:rPr>
          <w:bCs/>
        </w:rPr>
        <w:t xml:space="preserve"> </w:t>
      </w:r>
      <w:r w:rsidR="00742AD2">
        <w:rPr>
          <w:bCs/>
        </w:rPr>
        <w:t xml:space="preserve">that GROW Centers </w:t>
      </w:r>
      <w:r w:rsidR="006930E6">
        <w:rPr>
          <w:bCs/>
        </w:rPr>
        <w:t xml:space="preserve">in different locales are effective at reaching more local </w:t>
      </w:r>
      <w:proofErr w:type="spellStart"/>
      <w:r w:rsidR="006930E6">
        <w:rPr>
          <w:bCs/>
        </w:rPr>
        <w:t>greeners</w:t>
      </w:r>
      <w:proofErr w:type="spellEnd"/>
      <w:r w:rsidR="00742AD2">
        <w:rPr>
          <w:bCs/>
        </w:rPr>
        <w:t>. Additionally</w:t>
      </w:r>
      <w:r>
        <w:rPr>
          <w:bCs/>
        </w:rPr>
        <w:t xml:space="preserve">, most residents </w:t>
      </w:r>
      <w:r w:rsidR="005D2A9C">
        <w:rPr>
          <w:bCs/>
        </w:rPr>
        <w:t>using</w:t>
      </w:r>
      <w:r>
        <w:rPr>
          <w:bCs/>
        </w:rPr>
        <w:t xml:space="preserve"> GROW Center resources </w:t>
      </w:r>
      <w:r w:rsidR="005D2A9C">
        <w:rPr>
          <w:bCs/>
        </w:rPr>
        <w:t>come</w:t>
      </w:r>
      <w:r>
        <w:rPr>
          <w:bCs/>
        </w:rPr>
        <w:t xml:space="preserve"> from areas </w:t>
      </w:r>
      <w:r w:rsidR="00742AD2">
        <w:rPr>
          <w:bCs/>
        </w:rPr>
        <w:t>of</w:t>
      </w:r>
      <w:r>
        <w:rPr>
          <w:bCs/>
        </w:rPr>
        <w:t xml:space="preserve"> lower income, less trees, more vacant </w:t>
      </w:r>
      <w:r w:rsidR="00742AD2">
        <w:rPr>
          <w:bCs/>
        </w:rPr>
        <w:t>properties</w:t>
      </w:r>
      <w:r>
        <w:rPr>
          <w:bCs/>
        </w:rPr>
        <w:t xml:space="preserve"> and more community open spaces. This is </w:t>
      </w:r>
      <w:r w:rsidR="00742AD2">
        <w:rPr>
          <w:bCs/>
        </w:rPr>
        <w:t>reassuring for GROW Center objectives.</w:t>
      </w:r>
      <w:r>
        <w:rPr>
          <w:bCs/>
        </w:rPr>
        <w:t xml:space="preserve"> </w:t>
      </w:r>
      <w:r w:rsidR="00742AD2">
        <w:rPr>
          <w:bCs/>
        </w:rPr>
        <w:t>Resources</w:t>
      </w:r>
      <w:r>
        <w:rPr>
          <w:bCs/>
        </w:rPr>
        <w:t xml:space="preserve"> provided through GROW Centers are targeted towards community greening </w:t>
      </w:r>
      <w:r w:rsidR="00742AD2">
        <w:rPr>
          <w:bCs/>
        </w:rPr>
        <w:t>activities</w:t>
      </w:r>
      <w:r>
        <w:rPr>
          <w:bCs/>
        </w:rPr>
        <w:t xml:space="preserve"> that promote vacant lot revitalization</w:t>
      </w:r>
      <w:r w:rsidR="00F97DFD">
        <w:rPr>
          <w:bCs/>
        </w:rPr>
        <w:t xml:space="preserve">, </w:t>
      </w:r>
      <w:r w:rsidR="00B324A7">
        <w:rPr>
          <w:bCs/>
        </w:rPr>
        <w:t>maintenance of</w:t>
      </w:r>
      <w:r w:rsidR="00F97DFD">
        <w:rPr>
          <w:bCs/>
        </w:rPr>
        <w:t xml:space="preserve"> </w:t>
      </w:r>
      <w:proofErr w:type="spellStart"/>
      <w:r w:rsidR="00F97DFD">
        <w:rPr>
          <w:bCs/>
        </w:rPr>
        <w:t>greenspaces</w:t>
      </w:r>
      <w:proofErr w:type="spellEnd"/>
      <w:r>
        <w:rPr>
          <w:bCs/>
        </w:rPr>
        <w:t xml:space="preserve"> and </w:t>
      </w:r>
      <w:r w:rsidR="00742AD2">
        <w:rPr>
          <w:bCs/>
        </w:rPr>
        <w:t>to increase</w:t>
      </w:r>
      <w:r>
        <w:rPr>
          <w:bCs/>
        </w:rPr>
        <w:t xml:space="preserve"> tree canopy.</w:t>
      </w:r>
      <w:r w:rsidR="00742AD2">
        <w:rPr>
          <w:bCs/>
        </w:rPr>
        <w:t xml:space="preserve"> </w:t>
      </w:r>
    </w:p>
    <w:p w14:paraId="3D957D67" w14:textId="567DB2DB" w:rsidR="00AD26B8" w:rsidRDefault="00742AD2" w:rsidP="00A27501">
      <w:pPr>
        <w:ind w:right="720" w:firstLine="720"/>
        <w:rPr>
          <w:bCs/>
          <w:noProof/>
        </w:rPr>
      </w:pPr>
      <w:r>
        <w:rPr>
          <w:bCs/>
        </w:rPr>
        <w:lastRenderedPageBreak/>
        <w:t>Furthermore, by providing materials for free and low cost, residents with little disposable income are able to access materials.</w:t>
      </w:r>
      <w:r w:rsidR="00B324A7">
        <w:rPr>
          <w:bCs/>
        </w:rPr>
        <w:t xml:space="preserve"> Looking at Figure 2, areas of high participant density occur in East and West Baltimore, historically underserved neighborhoods with high numbers of vacancies and lower income. Therefore, it appear</w:t>
      </w:r>
      <w:r w:rsidR="00D3084D">
        <w:rPr>
          <w:bCs/>
        </w:rPr>
        <w:t>s</w:t>
      </w:r>
      <w:r w:rsidR="00B324A7">
        <w:rPr>
          <w:bCs/>
        </w:rPr>
        <w:t xml:space="preserve"> that GROW Centers </w:t>
      </w:r>
      <w:r w:rsidR="00397274">
        <w:rPr>
          <w:bCs/>
        </w:rPr>
        <w:t>can</w:t>
      </w:r>
      <w:r w:rsidR="00D3084D">
        <w:rPr>
          <w:bCs/>
        </w:rPr>
        <w:t xml:space="preserve"> </w:t>
      </w:r>
      <w:r w:rsidR="00397274">
        <w:rPr>
          <w:bCs/>
        </w:rPr>
        <w:t>provide</w:t>
      </w:r>
      <w:r w:rsidR="00B324A7">
        <w:rPr>
          <w:bCs/>
        </w:rPr>
        <w:t xml:space="preserve"> resources for community greening related efforts in areas that </w:t>
      </w:r>
      <w:r w:rsidR="00F64480">
        <w:rPr>
          <w:bCs/>
        </w:rPr>
        <w:t>can benefit most.</w:t>
      </w:r>
      <w:bookmarkStart w:id="0" w:name="_GoBack"/>
      <w:bookmarkEnd w:id="0"/>
    </w:p>
    <w:p w14:paraId="657FFE48" w14:textId="667EAEFB" w:rsidR="00F97DFD" w:rsidRPr="00AD26B8" w:rsidRDefault="005704CD" w:rsidP="00F97DFD">
      <w:pPr>
        <w:ind w:right="720"/>
        <w:rPr>
          <w:b/>
          <w:bCs/>
        </w:rPr>
      </w:pPr>
      <w:r w:rsidRPr="005704CD">
        <w:rPr>
          <w:b/>
          <w:bCs/>
          <w:u w:val="single"/>
        </w:rPr>
        <w:lastRenderedPageBreak/>
        <w:t>Figure 1</w:t>
      </w:r>
      <w:r>
        <w:rPr>
          <w:bCs/>
          <w:noProof/>
        </w:rPr>
        <w:drawing>
          <wp:inline distT="0" distB="0" distL="0" distR="0" wp14:anchorId="2375AAA2" wp14:editId="750961E8">
            <wp:extent cx="5934075" cy="7686675"/>
            <wp:effectExtent l="0" t="0" r="0" b="0"/>
            <wp:docPr id="5" name="Picture 5" descr="Macintosh HD:Users:tjleggz:Library:Containers:com.apple.mail:Data:Library:Mail Downloads:20D03C61-4914-4CB3-BADA-85ED0C7CFC6F:ParticipantsByPopu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jleggz:Library:Containers:com.apple.mail:Data:Library:Mail Downloads:20D03C61-4914-4CB3-BADA-85ED0C7CFC6F:ParticipantsByPopup.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r w:rsidR="00770A14" w:rsidRPr="005704CD">
        <w:rPr>
          <w:b/>
          <w:bCs/>
          <w:u w:val="single"/>
        </w:rPr>
        <w:lastRenderedPageBreak/>
        <w:t>Figure 2</w:t>
      </w:r>
      <w:r w:rsidR="00F97DFD">
        <w:rPr>
          <w:bCs/>
          <w:noProof/>
        </w:rPr>
        <w:drawing>
          <wp:inline distT="0" distB="0" distL="0" distR="0" wp14:anchorId="2A21A93A" wp14:editId="6865F0A8">
            <wp:extent cx="5934075" cy="7686675"/>
            <wp:effectExtent l="0" t="0" r="0" b="9525"/>
            <wp:docPr id="3" name="Picture 3" descr="Macintosh HD:Users:tjleggz:Library:Containers:com.apple.mail:Data:Library:Mail Downloads:656C2D6D-EE79-4549-83FB-54A2D6F8C89D:HighLowComparis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jleggz:Library:Containers:com.apple.mail:Data:Library:Mail Downloads:656C2D6D-EE79-4549-83FB-54A2D6F8C89D:HighLowComparison.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p>
    <w:sectPr w:rsidR="00F97DFD" w:rsidRPr="00AD26B8" w:rsidSect="00B24B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0E3"/>
    <w:rsid w:val="000B35C8"/>
    <w:rsid w:val="000F394B"/>
    <w:rsid w:val="001704E7"/>
    <w:rsid w:val="001C00E3"/>
    <w:rsid w:val="002046B3"/>
    <w:rsid w:val="002170B3"/>
    <w:rsid w:val="002D7D68"/>
    <w:rsid w:val="00320528"/>
    <w:rsid w:val="00343218"/>
    <w:rsid w:val="00397274"/>
    <w:rsid w:val="0043279A"/>
    <w:rsid w:val="004E39A8"/>
    <w:rsid w:val="005673DD"/>
    <w:rsid w:val="005704CD"/>
    <w:rsid w:val="005A35E3"/>
    <w:rsid w:val="005D2A9C"/>
    <w:rsid w:val="006219EB"/>
    <w:rsid w:val="006930E6"/>
    <w:rsid w:val="006B48BF"/>
    <w:rsid w:val="006F5723"/>
    <w:rsid w:val="00742AD2"/>
    <w:rsid w:val="00770A14"/>
    <w:rsid w:val="0080354F"/>
    <w:rsid w:val="00810D2D"/>
    <w:rsid w:val="008823DA"/>
    <w:rsid w:val="00886C36"/>
    <w:rsid w:val="0089323C"/>
    <w:rsid w:val="00910A45"/>
    <w:rsid w:val="00957C18"/>
    <w:rsid w:val="00976D80"/>
    <w:rsid w:val="009F319E"/>
    <w:rsid w:val="00A27501"/>
    <w:rsid w:val="00A278F0"/>
    <w:rsid w:val="00AC290D"/>
    <w:rsid w:val="00AD26B8"/>
    <w:rsid w:val="00AE5A4B"/>
    <w:rsid w:val="00AF1302"/>
    <w:rsid w:val="00B24B5F"/>
    <w:rsid w:val="00B324A7"/>
    <w:rsid w:val="00C034CE"/>
    <w:rsid w:val="00C24E26"/>
    <w:rsid w:val="00C62F51"/>
    <w:rsid w:val="00CA6B8F"/>
    <w:rsid w:val="00CC32CF"/>
    <w:rsid w:val="00D3084D"/>
    <w:rsid w:val="00D35EBE"/>
    <w:rsid w:val="00E05BAB"/>
    <w:rsid w:val="00E53D11"/>
    <w:rsid w:val="00F100DF"/>
    <w:rsid w:val="00F22E08"/>
    <w:rsid w:val="00F64480"/>
    <w:rsid w:val="00F821A3"/>
    <w:rsid w:val="00F97DFD"/>
    <w:rsid w:val="00FB0E8E"/>
    <w:rsid w:val="00FE39C9"/>
    <w:rsid w:val="00FF326A"/>
    <w:rsid w:val="00FF7E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7892F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00E3"/>
    <w:pPr>
      <w:spacing w:after="200"/>
    </w:pPr>
    <w:rPr>
      <w:rFonts w:eastAsia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279A"/>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3279A"/>
    <w:rPr>
      <w:rFonts w:ascii="Lucida Grande" w:eastAsiaTheme="minorHAnsi"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00E3"/>
    <w:pPr>
      <w:spacing w:after="200"/>
    </w:pPr>
    <w:rPr>
      <w:rFonts w:eastAsia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279A"/>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3279A"/>
    <w:rPr>
      <w:rFonts w:ascii="Lucida Grande" w:eastAsiaTheme="minorHAnsi"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128105">
      <w:bodyDiv w:val="1"/>
      <w:marLeft w:val="0"/>
      <w:marRight w:val="0"/>
      <w:marTop w:val="0"/>
      <w:marBottom w:val="0"/>
      <w:divBdr>
        <w:top w:val="none" w:sz="0" w:space="0" w:color="auto"/>
        <w:left w:val="none" w:sz="0" w:space="0" w:color="auto"/>
        <w:bottom w:val="none" w:sz="0" w:space="0" w:color="auto"/>
        <w:right w:val="none" w:sz="0" w:space="0" w:color="auto"/>
      </w:divBdr>
    </w:div>
    <w:div w:id="682786723">
      <w:bodyDiv w:val="1"/>
      <w:marLeft w:val="0"/>
      <w:marRight w:val="0"/>
      <w:marTop w:val="0"/>
      <w:marBottom w:val="0"/>
      <w:divBdr>
        <w:top w:val="none" w:sz="0" w:space="0" w:color="auto"/>
        <w:left w:val="none" w:sz="0" w:space="0" w:color="auto"/>
        <w:bottom w:val="none" w:sz="0" w:space="0" w:color="auto"/>
        <w:right w:val="none" w:sz="0" w:space="0" w:color="auto"/>
      </w:divBdr>
    </w:div>
    <w:div w:id="857936400">
      <w:bodyDiv w:val="1"/>
      <w:marLeft w:val="0"/>
      <w:marRight w:val="0"/>
      <w:marTop w:val="0"/>
      <w:marBottom w:val="0"/>
      <w:divBdr>
        <w:top w:val="none" w:sz="0" w:space="0" w:color="auto"/>
        <w:left w:val="none" w:sz="0" w:space="0" w:color="auto"/>
        <w:bottom w:val="none" w:sz="0" w:space="0" w:color="auto"/>
        <w:right w:val="none" w:sz="0" w:space="0" w:color="auto"/>
      </w:divBdr>
    </w:div>
    <w:div w:id="909385583">
      <w:bodyDiv w:val="1"/>
      <w:marLeft w:val="0"/>
      <w:marRight w:val="0"/>
      <w:marTop w:val="0"/>
      <w:marBottom w:val="0"/>
      <w:divBdr>
        <w:top w:val="none" w:sz="0" w:space="0" w:color="auto"/>
        <w:left w:val="none" w:sz="0" w:space="0" w:color="auto"/>
        <w:bottom w:val="none" w:sz="0" w:space="0" w:color="auto"/>
        <w:right w:val="none" w:sz="0" w:space="0" w:color="auto"/>
      </w:divBdr>
    </w:div>
    <w:div w:id="1062101030">
      <w:bodyDiv w:val="1"/>
      <w:marLeft w:val="0"/>
      <w:marRight w:val="0"/>
      <w:marTop w:val="0"/>
      <w:marBottom w:val="0"/>
      <w:divBdr>
        <w:top w:val="none" w:sz="0" w:space="0" w:color="auto"/>
        <w:left w:val="none" w:sz="0" w:space="0" w:color="auto"/>
        <w:bottom w:val="none" w:sz="0" w:space="0" w:color="auto"/>
        <w:right w:val="none" w:sz="0" w:space="0" w:color="auto"/>
      </w:divBdr>
    </w:div>
    <w:div w:id="1102609918">
      <w:bodyDiv w:val="1"/>
      <w:marLeft w:val="0"/>
      <w:marRight w:val="0"/>
      <w:marTop w:val="0"/>
      <w:marBottom w:val="0"/>
      <w:divBdr>
        <w:top w:val="none" w:sz="0" w:space="0" w:color="auto"/>
        <w:left w:val="none" w:sz="0" w:space="0" w:color="auto"/>
        <w:bottom w:val="none" w:sz="0" w:space="0" w:color="auto"/>
        <w:right w:val="none" w:sz="0" w:space="0" w:color="auto"/>
      </w:divBdr>
    </w:div>
    <w:div w:id="1383796526">
      <w:bodyDiv w:val="1"/>
      <w:marLeft w:val="0"/>
      <w:marRight w:val="0"/>
      <w:marTop w:val="0"/>
      <w:marBottom w:val="0"/>
      <w:divBdr>
        <w:top w:val="none" w:sz="0" w:space="0" w:color="auto"/>
        <w:left w:val="none" w:sz="0" w:space="0" w:color="auto"/>
        <w:bottom w:val="none" w:sz="0" w:space="0" w:color="auto"/>
        <w:right w:val="none" w:sz="0" w:space="0" w:color="auto"/>
      </w:divBdr>
    </w:div>
    <w:div w:id="1561595353">
      <w:bodyDiv w:val="1"/>
      <w:marLeft w:val="0"/>
      <w:marRight w:val="0"/>
      <w:marTop w:val="0"/>
      <w:marBottom w:val="0"/>
      <w:divBdr>
        <w:top w:val="none" w:sz="0" w:space="0" w:color="auto"/>
        <w:left w:val="none" w:sz="0" w:space="0" w:color="auto"/>
        <w:bottom w:val="none" w:sz="0" w:space="0" w:color="auto"/>
        <w:right w:val="none" w:sz="0" w:space="0" w:color="auto"/>
      </w:divBdr>
    </w:div>
    <w:div w:id="1761638833">
      <w:bodyDiv w:val="1"/>
      <w:marLeft w:val="0"/>
      <w:marRight w:val="0"/>
      <w:marTop w:val="0"/>
      <w:marBottom w:val="0"/>
      <w:divBdr>
        <w:top w:val="none" w:sz="0" w:space="0" w:color="auto"/>
        <w:left w:val="none" w:sz="0" w:space="0" w:color="auto"/>
        <w:bottom w:val="none" w:sz="0" w:space="0" w:color="auto"/>
        <w:right w:val="none" w:sz="0" w:space="0" w:color="auto"/>
      </w:divBdr>
    </w:div>
    <w:div w:id="19032554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1209</Words>
  <Characters>6893</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Lageman</dc:creator>
  <cp:keywords/>
  <dc:description/>
  <cp:lastModifiedBy>Travis Lageman</cp:lastModifiedBy>
  <cp:revision>3</cp:revision>
  <dcterms:created xsi:type="dcterms:W3CDTF">2018-05-24T19:58:00Z</dcterms:created>
  <dcterms:modified xsi:type="dcterms:W3CDTF">2018-12-05T14:42:00Z</dcterms:modified>
</cp:coreProperties>
</file>