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color w:val="1D4ED8"/>
          <w:spacing w:val="60"/>
          <w:sz w:val="15"/>
          <w:szCs w:val="15"/>
        </w:rPr>
        <w:t xml:space="preserve">MERCHANCORE · DOCUMENTO 03</w:t>
      </w:r>
    </w:p>
    <w:p>
      <w:pPr>
        <w:spacing w:after="60"/>
      </w:pPr>
      <w:r>
        <w:rPr>
          <w:rFonts w:ascii="Calibri" w:cs="Calibri" w:eastAsia="Calibri" w:hAnsi="Calibri"/>
          <w:b/>
          <w:bCs/>
          <w:color w:val="0F172A"/>
          <w:sz w:val="46"/>
          <w:szCs w:val="46"/>
        </w:rPr>
        <w:t xml:space="preserve">MerchanOPS</w:t>
      </w:r>
    </w:p>
    <w:p>
      <w:pPr>
        <w:spacing w:after="200"/>
      </w:pPr>
      <w:r>
        <w:rPr>
          <w:rFonts w:ascii="Calibri" w:cs="Calibri" w:eastAsia="Calibri" w:hAnsi="Calibri"/>
          <w:color w:val="64748B"/>
          <w:sz w:val="26"/>
          <w:szCs w:val="26"/>
        </w:rPr>
        <w:t xml:space="preserve">Dentro de MerchanCore: dónde acaba una aplicación y empieza la otra</w:t>
      </w:r>
    </w:p>
    <w:p>
      <w:pPr>
        <w:pBdr>
          <w:top w:val="single" w:color="CBD5E1" w:sz="6" w:space="8"/>
        </w:pBdr>
        <w:spacing w:after="360" w:before="60"/>
      </w:pPr>
      <w:r>
        <w:rPr>
          <w:rFonts w:ascii="Calibri" w:cs="Calibri" w:eastAsia="Calibri" w:hAnsi="Calibri"/>
          <w:color w:val="64748B"/>
          <w:sz w:val="17"/>
          <w:szCs w:val="17"/>
        </w:rPr>
        <w:t xml:space="preserve">Versión 1.0 · 4 de agosto de 2026 · Documento de uso interno</w:t>
      </w:r>
    </w:p>
    <w:p>
      <w:pPr>
        <w:pStyle w:val="Heading1"/>
        <w:pBdr>
          <w:bottom w:val="single" w:color="CBD5E1" w:sz="6" w:space="6"/>
        </w:pBdr>
        <w:spacing w:after="160" w:before="400"/>
      </w:pPr>
      <w:r>
        <w:rPr>
          <w:rFonts w:ascii="Calibri" w:cs="Calibri" w:eastAsia="Calibri" w:hAnsi="Calibri"/>
          <w:b/>
          <w:bCs/>
          <w:color w:val="0F172A"/>
          <w:sz w:val="27"/>
          <w:szCs w:val="27"/>
        </w:rPr>
        <w:t xml:space="preserve">1. Qué es MerchanCore</w:t>
      </w:r>
    </w:p>
    <w:p>
      <w:pPr>
        <w:spacing w:after="130" w:line="276"/>
        <w:jc w:val="both"/>
      </w:pPr>
      <w:r>
        <w:rPr>
          <w:rFonts w:ascii="Calibri" w:cs="Calibri" w:eastAsia="Calibri" w:hAnsi="Calibri"/>
          <w:color w:val="1F2937"/>
          <w:sz w:val="21"/>
          <w:szCs w:val="21"/>
        </w:rPr>
        <w:t xml:space="preserve">MerchanCore no es una aplicación que se abra: es </w:t>
      </w:r>
      <w:r>
        <w:rPr>
          <w:rFonts w:ascii="Calibri" w:cs="Calibri" w:eastAsia="Calibri" w:hAnsi="Calibri"/>
          <w:b/>
          <w:bCs/>
          <w:color w:val="1F2937"/>
          <w:sz w:val="21"/>
          <w:szCs w:val="21"/>
        </w:rPr>
        <w:t xml:space="preserve">el entorno</w:t>
      </w:r>
      <w:r>
        <w:rPr>
          <w:rFonts w:ascii="Calibri" w:cs="Calibri" w:eastAsia="Calibri" w:hAnsi="Calibri"/>
          <w:color w:val="1F2937"/>
          <w:sz w:val="21"/>
          <w:szCs w:val="21"/>
        </w:rPr>
        <w:t xml:space="preserve">. Hoy lo forman dos aplicaciones que funcionan sobre una única base de datos y un único censo de usuarios.</w:t>
      </w:r>
    </w:p>
    <w:p>
      <w:pPr>
        <w:spacing w:after="130" w:line="276"/>
        <w:jc w:val="both"/>
      </w:pPr>
      <w:r>
        <w:rPr>
          <w:rFonts w:ascii="Calibri" w:cs="Calibri" w:eastAsia="Calibri" w:hAnsi="Calibri"/>
          <w:color w:val="1F2937"/>
          <w:sz w:val="21"/>
          <w:szCs w:val="21"/>
        </w:rPr>
        <w:t xml:space="preserve">Esa decisión —una sola base, no dos que se sincronizan— es la que explica casi todo lo demás. No hay exportaciones, ni ficheros que viajen de una aplicación a otra, ni un desfase entre lo que ve la oficina y lo que ve el almacén. Cuando alguien cambia algo en una, la otra lo ve al momento porque están mirando el mismo dato.</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Aplicación</w:t>
            </w:r>
          </w:p>
        </w:tc>
        <w:tc>
          <w:tcPr>
            <w:tcW w:type="dxa" w:w="36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Responde a</w:t>
            </w:r>
          </w:p>
        </w:tc>
        <w:tc>
          <w:tcPr>
            <w:tcW w:type="dxa" w:w="36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Quién la usa</w:t>
            </w:r>
          </w:p>
        </w:tc>
      </w:tr>
      <w:tr>
        <w:trPr>
          <w:cantSplit/>
        </w:trPr>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MerchanOPS</w:t>
            </w:r>
          </w:p>
        </w:tc>
        <w:tc>
          <w:tcPr>
            <w:tcW w:type="dxa" w:w="3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Quién hace qué trabajo, dónde, cuándo y por cuánto.</w:t>
            </w:r>
          </w:p>
        </w:tc>
        <w:tc>
          <w:tcPr>
            <w:tcW w:type="dxa" w:w="36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Administración, gestores de zona y RR.HH.</w:t>
            </w:r>
          </w:p>
        </w:tc>
      </w:tr>
      <w:tr>
        <w:trPr>
          <w:cantSplit/>
        </w:trPr>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MerchanLOGS</w:t>
            </w:r>
          </w:p>
        </w:tc>
        <w:tc>
          <w:tcPr>
            <w:tcW w:type="dxa" w:w="3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Qué material hay, dónde está, cómo se prepara y cuándo sale.</w:t>
            </w:r>
          </w:p>
        </w:tc>
        <w:tc>
          <w:tcPr>
            <w:tcW w:type="dxa" w:w="36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El equipo de almacén.</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2. El reparto de responsabilidades</w:t>
      </w:r>
    </w:p>
    <w:p>
      <w:pPr>
        <w:spacing w:after="130" w:line="276"/>
        <w:jc w:val="both"/>
      </w:pPr>
      <w:r>
        <w:rPr>
          <w:rFonts w:ascii="Calibri" w:cs="Calibri" w:eastAsia="Calibri" w:hAnsi="Calibri"/>
          <w:color w:val="1F2937"/>
          <w:sz w:val="21"/>
          <w:szCs w:val="21"/>
        </w:rPr>
        <w:t xml:space="preserve">La frontera es sencilla de recordar: </w:t>
      </w:r>
      <w:r>
        <w:rPr>
          <w:rFonts w:ascii="Calibri" w:cs="Calibri" w:eastAsia="Calibri" w:hAnsi="Calibri"/>
          <w:b/>
          <w:bCs/>
          <w:color w:val="1F2937"/>
          <w:sz w:val="21"/>
          <w:szCs w:val="21"/>
        </w:rPr>
        <w:t xml:space="preserve">MerchanOPS pide, MerchanLOGS resuelve, MerchanOPS consulta</w:t>
      </w:r>
      <w:r>
        <w:rPr>
          <w:rFonts w:ascii="Calibri" w:cs="Calibri" w:eastAsia="Calibri" w:hAnsi="Calibri"/>
          <w:color w:val="1F2937"/>
          <w:sz w:val="21"/>
          <w:szCs w:val="21"/>
        </w:rPr>
        <w:t xml:space="preserve">. Dentro de MerchanOPS existe un módulo de Logística, pero es una ventana de lectura: sirve para ver en qué estado va el material sin salir de la herramienta, no para operar el almacén.</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9"/>
        <w:gridCol w:w="2600"/>
        <w:gridCol w:w="2619"/>
      </w:tblGrid>
      <w:tr>
        <w:trPr>
          <w:cantSplit/>
          <w:tblHeader/>
        </w:trPr>
        <w:tc>
          <w:tcPr>
            <w:tcW w:type="dxa" w:w="4419"/>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Decisión u operación</w:t>
            </w:r>
          </w:p>
        </w:tc>
        <w:tc>
          <w:tcPr>
            <w:tcW w:type="dxa" w:w="26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center"/>
            </w:pPr>
            <w:r>
              <w:rPr>
                <w:rFonts w:ascii="Calibri" w:cs="Calibri" w:eastAsia="Calibri" w:hAnsi="Calibri"/>
                <w:b/>
                <w:bCs/>
                <w:color w:val="FFFFFF"/>
                <w:sz w:val="18"/>
                <w:szCs w:val="18"/>
              </w:rPr>
              <w:t xml:space="preserve">MerchanOPS</w:t>
            </w:r>
          </w:p>
        </w:tc>
        <w:tc>
          <w:tcPr>
            <w:tcW w:type="dxa" w:w="2619"/>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center"/>
            </w:pPr>
            <w:r>
              <w:rPr>
                <w:rFonts w:ascii="Calibri" w:cs="Calibri" w:eastAsia="Calibri" w:hAnsi="Calibri"/>
                <w:b/>
                <w:bCs/>
                <w:color w:val="FFFFFF"/>
                <w:sz w:val="18"/>
                <w:szCs w:val="18"/>
              </w:rPr>
              <w:t xml:space="preserve">MerchanLOGS</w:t>
            </w:r>
          </w:p>
        </w:tc>
      </w:tr>
      <w:tr>
        <w:trPr>
          <w:cantSplit/>
        </w:trPr>
        <w:tc>
          <w:tcPr>
            <w:tcW w:type="dxa" w:w="44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Dar de alta un cliente, un trabajador o una campaña</w:t>
            </w:r>
          </w:p>
        </w:tc>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c>
          <w:tcPr>
            <w:tcW w:type="dxa" w:w="26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r>
      <w:tr>
        <w:trPr>
          <w:cantSplit/>
        </w:trPr>
        <w:tc>
          <w:tcPr>
            <w:tcW w:type="dxa" w:w="44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Asignar el trabajo y fijar los importes</w:t>
            </w:r>
          </w:p>
        </w:tc>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c>
          <w:tcPr>
            <w:tcW w:type="dxa" w:w="26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r>
      <w:tr>
        <w:trPr>
          <w:cantSplit/>
        </w:trPr>
        <w:tc>
          <w:tcPr>
            <w:tcW w:type="dxa" w:w="44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Pedir el material que hace falta</w:t>
            </w:r>
          </w:p>
        </w:tc>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c>
          <w:tcPr>
            <w:tcW w:type="dxa" w:w="26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r>
      <w:tr>
        <w:trPr>
          <w:cantSplit/>
        </w:trPr>
        <w:tc>
          <w:tcPr>
            <w:tcW w:type="dxa" w:w="44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Dar entrada a la mercancía que llega</w:t>
            </w:r>
          </w:p>
        </w:tc>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c>
          <w:tcPr>
            <w:tcW w:type="dxa" w:w="26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r>
      <w:tr>
        <w:trPr>
          <w:cantSplit/>
        </w:trPr>
        <w:tc>
          <w:tcPr>
            <w:tcW w:type="dxa" w:w="44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Controlar el stock y las reservas</w:t>
            </w:r>
          </w:p>
        </w:tc>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c>
          <w:tcPr>
            <w:tcW w:type="dxa" w:w="26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r>
      <w:tr>
        <w:trPr>
          <w:cantSplit/>
        </w:trPr>
        <w:tc>
          <w:tcPr>
            <w:tcW w:type="dxa" w:w="44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Preparar el picking y generar el envío</w:t>
            </w:r>
          </w:p>
        </w:tc>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c>
          <w:tcPr>
            <w:tcW w:type="dxa" w:w="26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r>
      <w:tr>
        <w:trPr>
          <w:cantSplit/>
        </w:trPr>
        <w:tc>
          <w:tcPr>
            <w:tcW w:type="dxa" w:w="44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Abrir y resolver una incidencia logística</w:t>
            </w:r>
          </w:p>
        </w:tc>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c>
          <w:tcPr>
            <w:tcW w:type="dxa" w:w="26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r>
      <w:tr>
        <w:trPr>
          <w:cantSplit/>
        </w:trPr>
        <w:tc>
          <w:tcPr>
            <w:tcW w:type="dxa" w:w="44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Consultar en qué estado va el material</w:t>
            </w:r>
          </w:p>
        </w:tc>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 (lectura)</w:t>
            </w:r>
          </w:p>
        </w:tc>
        <w:tc>
          <w:tcPr>
            <w:tcW w:type="dxa" w:w="26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r>
      <w:tr>
        <w:trPr>
          <w:cantSplit/>
        </w:trPr>
        <w:tc>
          <w:tcPr>
            <w:tcW w:type="dxa" w:w="44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Aprobar pagos y llevar el registro económico</w:t>
            </w:r>
          </w:p>
        </w:tc>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c>
          <w:tcPr>
            <w:tcW w:type="dxa" w:w="2619"/>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r>
      <w:tr>
        <w:trPr>
          <w:cantSplit/>
        </w:trPr>
        <w:tc>
          <w:tcPr>
            <w:tcW w:type="dxa" w:w="44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Crear usuarios y asignar roles</w:t>
            </w:r>
          </w:p>
        </w:tc>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Sí</w:t>
            </w:r>
          </w:p>
        </w:tc>
        <w:tc>
          <w:tcPr>
            <w:tcW w:type="dxa" w:w="2619"/>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center"/>
            </w:pPr>
            <w:r>
              <w:rPr>
                <w:rFonts w:ascii="Calibri" w:cs="Calibri" w:eastAsia="Calibri" w:hAnsi="Calibri"/>
                <w:b w:val="false"/>
                <w:bCs w:val="false"/>
                <w:color w:val="1F2937"/>
                <w:sz w:val="19"/>
                <w:szCs w:val="19"/>
              </w:rPr>
              <w:t xml:space="preserve">No</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3. Lo que comparten las dos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Se comparte</w:t>
            </w:r>
          </w:p>
        </w:tc>
        <w:tc>
          <w:tcPr>
            <w:tcW w:type="dxa" w:w="70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Qué significa en la práctica</w:t>
            </w:r>
          </w:p>
        </w:tc>
      </w:tr>
      <w:tr>
        <w:trPr>
          <w:cantSplit/>
        </w:trPr>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La base de datos</w:t>
            </w:r>
          </w:p>
        </w:tc>
        <w:tc>
          <w:tcPr>
            <w:tcW w:type="dxa" w:w="7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Una sola. No hay copias, ni importaciones nocturnas, ni ventanas de desfase entre aplicaciones.</w:t>
            </w:r>
          </w:p>
        </w:tc>
      </w:tr>
      <w:tr>
        <w:trPr>
          <w:cantSplit/>
        </w:trPr>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El censo de usuarios</w:t>
            </w:r>
          </w:p>
        </w:tc>
        <w:tc>
          <w:tcPr>
            <w:tcW w:type="dxa" w:w="7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Las mismas personas y las mismas credenciales. Un usuario de almacén se crea desde MerchanOPS, en «Usuarios y permisos», con el rol Almacén, y con ese mismo usuario entra en MerchanLOGS.</w:t>
            </w:r>
          </w:p>
        </w:tc>
      </w:tr>
      <w:tr>
        <w:trPr>
          <w:cantSplit/>
        </w:trPr>
        <w:tc>
          <w:tcPr>
            <w:tcW w:type="dxa" w:w="2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El modelo de permisos</w:t>
            </w:r>
          </w:p>
        </w:tc>
        <w:tc>
          <w:tcPr>
            <w:tcW w:type="dxa" w:w="7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Las reglas las aplica la base de datos, no cada aplicación por su cuenta. Ninguna de las dos tiene una llave maestra que se salte los permisos: las dos entran con la identidad del usuario que ha iniciado sesión.</w:t>
            </w:r>
          </w:p>
        </w:tc>
      </w:tr>
      <w:tr>
        <w:trPr>
          <w:cantSplit/>
        </w:trPr>
        <w:tc>
          <w:tcPr>
            <w:tcW w:type="dxa" w:w="2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Los catálogos comunes</w:t>
            </w:r>
          </w:p>
        </w:tc>
        <w:tc>
          <w:tcPr>
            <w:tcW w:type="dxa" w:w="7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Clientes, trabajadores y campañas tienen un único dueño: MerchanOPS. MerchanLOGS los lee, nunca los modifica.</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D4ED8" w:sz="18"/>
              <w:bottom w:val="none" w:color="FFFFFF" w:sz="0"/>
              <w:right w:val="none" w:color="FFFFFF" w:sz="0"/>
            </w:tcBorders>
            <w:shd w:fill="F1F5F9" w:color="auto" w:val="clear"/>
            <w:tcMar>
              <w:top w:type="dxa" w:w="160"/>
              <w:left w:type="dxa" w:w="200"/>
              <w:bottom w:type="dxa" w:w="160"/>
              <w:right w:type="dxa" w:w="200"/>
            </w:tcMar>
          </w:tcPr>
          <w:p>
            <w:pPr>
              <w:spacing w:after="80"/>
            </w:pPr>
            <w:r>
              <w:rPr>
                <w:rFonts w:ascii="Calibri" w:cs="Calibri" w:eastAsia="Calibri" w:hAnsi="Calibri"/>
                <w:b/>
                <w:bCs/>
                <w:color w:val="0F172A"/>
                <w:sz w:val="20"/>
                <w:szCs w:val="20"/>
              </w:rPr>
              <w:t xml:space="preserve">La consecuencia práctica más importante</w:t>
            </w:r>
          </w:p>
          <w:p>
            <w:pPr>
              <w:spacing w:after="0" w:line="270"/>
              <w:jc w:val="both"/>
            </w:pPr>
            <w:r>
              <w:rPr>
                <w:rFonts w:ascii="Calibri" w:cs="Calibri" w:eastAsia="Calibri" w:hAnsi="Calibri"/>
                <w:color w:val="1F2937"/>
                <w:sz w:val="19"/>
                <w:szCs w:val="19"/>
              </w:rPr>
              <w:t xml:space="preserve">Como el permiso vive en la base de datos y no en la pantalla, </w:t>
            </w:r>
            <w:r>
              <w:rPr>
                <w:rFonts w:ascii="Calibri" w:cs="Calibri" w:eastAsia="Calibri" w:hAnsi="Calibri"/>
                <w:b/>
                <w:bCs/>
                <w:color w:val="1F2937"/>
                <w:sz w:val="19"/>
                <w:szCs w:val="19"/>
              </w:rPr>
              <w:t xml:space="preserve">el ámbito de cada persona se respeta esté donde esté</w:t>
            </w:r>
            <w:r>
              <w:rPr>
                <w:rFonts w:ascii="Calibri" w:cs="Calibri" w:eastAsia="Calibri" w:hAnsi="Calibri"/>
                <w:color w:val="1F2937"/>
                <w:sz w:val="19"/>
                <w:szCs w:val="19"/>
              </w:rPr>
              <w:t xml:space="preserve">. Un usuario de almacén ve en MerchanLOGS lo que le corresponde por su rol, ni más ni menos, sin que haya que replicar la configuración en dos sitios.</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4. El puente: cómo viaja una petición de material</w:t>
      </w:r>
    </w:p>
    <w:p>
      <w:pPr>
        <w:spacing w:after="260" w:line="276"/>
        <w:jc w:val="both"/>
      </w:pPr>
      <w:r>
        <w:rPr>
          <w:rFonts w:ascii="Calibri" w:cs="Calibri" w:eastAsia="Calibri" w:hAnsi="Calibri"/>
          <w:color w:val="1F2937"/>
          <w:sz w:val="21"/>
          <w:szCs w:val="21"/>
        </w:rPr>
        <w:t xml:space="preserve">Este es el circuito que une las dos aplicaciones. Se recorre entero varias veces al día y conviene que todo el mundo lo tenga en la cabeza.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gridSpan w:val="1"/>
            <w:tcBorders>
              <w:top w:val="single" w:color="1D4ED8" w:sz="6"/>
              <w:left w:val="single" w:color="1D4ED8" w:sz="6"/>
              <w:bottom w:val="single" w:color="1D4ED8" w:sz="6"/>
              <w:right w:val="single" w:color="1D4ED8" w:sz="6"/>
            </w:tcBorders>
            <w:shd w:fill="FFFFFF"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Servicios</w:t>
            </w:r>
          </w:p>
        </w:tc>
        <w:tc>
          <w:tcPr>
            <w:tcW w:type="dxa" w:w="3213"/>
            <w:gridSpan w:val="1"/>
            <w:tcBorders>
              <w:top w:val="single" w:color="1D4ED8" w:sz="6"/>
              <w:left w:val="single" w:color="1D4ED8" w:sz="6"/>
              <w:bottom w:val="single" w:color="1D4ED8" w:sz="6"/>
              <w:right w:val="single" w:color="1D4ED8" w:sz="6"/>
            </w:tcBorders>
            <w:shd w:fill="FFFFFF"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Grandes Campañas</w:t>
            </w:r>
          </w:p>
        </w:tc>
        <w:tc>
          <w:tcPr>
            <w:tcW w:type="dxa" w:w="3213"/>
            <w:gridSpan w:val="1"/>
            <w:tcBorders>
              <w:top w:val="single" w:color="1D4ED8" w:sz="6"/>
              <w:left w:val="single" w:color="1D4ED8" w:sz="6"/>
              <w:bottom w:val="single" w:color="1D4ED8" w:sz="6"/>
              <w:right w:val="single" w:color="1D4ED8" w:sz="6"/>
            </w:tcBorders>
            <w:shd w:fill="FFFFFF"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ISDIN · Vinilos</w:t>
            </w:r>
          </w:p>
        </w:tc>
      </w:tr>
      <w:tr>
        <w:tc>
          <w:tcPr>
            <w:tcW w:type="dxa" w:w="3212"/>
            <w:gridSpan w:val="1"/>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c>
          <w:tcPr>
            <w:tcW w:type="dxa" w:w="3213"/>
            <w:gridSpan w:val="1"/>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c>
          <w:tcPr>
            <w:tcW w:type="dxa" w:w="3213"/>
            <w:gridSpan w:val="1"/>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r>
      <w:tr>
        <w:tc>
          <w:tcPr>
            <w:tcW w:type="dxa" w:w="9638"/>
            <w:gridSpan w:val="3"/>
            <w:tcBorders>
              <w:top w:val="single" w:color="CBD5E1" w:sz="6"/>
              <w:left w:val="single" w:color="CBD5E1" w:sz="6"/>
              <w:bottom w:val="single" w:color="CBD5E1" w:sz="6"/>
              <w:right w:val="single" w:color="CBD5E1" w:sz="6"/>
            </w:tcBorders>
            <w:shd w:fill="F1F5F9"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Necesidad de material</w:t>
            </w:r>
          </w:p>
        </w:tc>
      </w:tr>
      <w:tr>
        <w:tc>
          <w:tcPr>
            <w:tcW w:type="dxa" w:w="9638"/>
            <w:gridSpan w:val="3"/>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r>
      <w:tr>
        <w:tc>
          <w:tcPr>
            <w:tcW w:type="dxa" w:w="9638"/>
            <w:gridSpan w:val="3"/>
            <w:tcBorders>
              <w:top w:val="single" w:color="CBD5E1" w:sz="6"/>
              <w:left w:val="single" w:color="CBD5E1" w:sz="6"/>
              <w:bottom w:val="single" w:color="CBD5E1" w:sz="6"/>
              <w:right w:val="single" w:color="CBD5E1" w:sz="6"/>
            </w:tcBorders>
            <w:shd w:fill="F1F5F9"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Petición de material · código trazable</w:t>
            </w:r>
          </w:p>
        </w:tc>
      </w:tr>
      <w:tr>
        <w:tc>
          <w:tcPr>
            <w:tcW w:type="dxa" w:w="9638"/>
            <w:gridSpan w:val="3"/>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r>
      <w:tr>
        <w:tc>
          <w:tcPr>
            <w:tcW w:type="dxa" w:w="9638"/>
            <w:gridSpan w:val="3"/>
            <w:tcBorders>
              <w:top w:val="single" w:color="0F172A" w:sz="6"/>
              <w:left w:val="single" w:color="0F172A" w:sz="6"/>
              <w:bottom w:val="single" w:color="0F172A" w:sz="6"/>
              <w:right w:val="single" w:color="0F172A" w:sz="6"/>
            </w:tcBorders>
            <w:shd w:fill="0F172A" w:color="auto" w:val="clear"/>
            <w:tcMar>
              <w:top w:type="dxa" w:w="130"/>
              <w:left w:type="dxa" w:w="120"/>
              <w:bottom w:type="dxa" w:w="130"/>
              <w:right w:type="dxa" w:w="120"/>
            </w:tcMar>
          </w:tcPr>
          <w:p>
            <w:pPr>
              <w:spacing w:after="0" w:line="250"/>
              <w:jc w:val="center"/>
            </w:pPr>
            <w:r>
              <w:rPr>
                <w:rFonts w:ascii="Calibri" w:cs="Calibri" w:eastAsia="Calibri" w:hAnsi="Calibri"/>
                <w:b/>
                <w:bCs/>
                <w:color w:val="FFFFFF"/>
                <w:sz w:val="19"/>
                <w:szCs w:val="19"/>
              </w:rPr>
              <w:t xml:space="preserve">MERCHANLOGS · revisión → reserva → picking → envío → entrega</w:t>
            </w:r>
          </w:p>
        </w:tc>
      </w:tr>
      <w:tr>
        <w:tc>
          <w:tcPr>
            <w:tcW w:type="dxa" w:w="9638"/>
            <w:gridSpan w:val="3"/>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center"/>
            </w:pPr>
            <w:r>
              <w:rPr>
                <w:rFonts w:ascii="Calibri" w:cs="Calibri" w:eastAsia="Calibri" w:hAnsi="Calibri"/>
                <w:color w:val="1D4ED8"/>
                <w:sz w:val="16"/>
                <w:szCs w:val="16"/>
              </w:rPr>
              <w:t xml:space="preserve">▼</w:t>
            </w:r>
          </w:p>
        </w:tc>
      </w:tr>
      <w:tr>
        <w:tc>
          <w:tcPr>
            <w:tcW w:type="dxa" w:w="9638"/>
            <w:gridSpan w:val="3"/>
            <w:tcBorders>
              <w:top w:val="single" w:color="1D4ED8" w:sz="6"/>
              <w:left w:val="single" w:color="1D4ED8" w:sz="6"/>
              <w:bottom w:val="single" w:color="1D4ED8" w:sz="6"/>
              <w:right w:val="single" w:color="1D4ED8" w:sz="6"/>
            </w:tcBorders>
            <w:shd w:fill="FFFFFF" w:color="auto" w:val="clear"/>
            <w:tcMar>
              <w:top w:type="dxa" w:w="130"/>
              <w:left w:type="dxa" w:w="120"/>
              <w:bottom w:type="dxa" w:w="130"/>
              <w:right w:type="dxa" w:w="120"/>
            </w:tcMar>
          </w:tcPr>
          <w:p>
            <w:pPr>
              <w:spacing w:after="0" w:line="250"/>
              <w:jc w:val="center"/>
            </w:pPr>
            <w:r>
              <w:rPr>
                <w:rFonts w:ascii="Calibri" w:cs="Calibri" w:eastAsia="Calibri" w:hAnsi="Calibri"/>
                <w:b/>
                <w:bCs/>
                <w:color w:val="0F172A"/>
                <w:sz w:val="19"/>
                <w:szCs w:val="19"/>
              </w:rPr>
              <w:t xml:space="preserve">Estado de vuelta en la ficha de origen · MerchanOPS</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cantSplit/>
          <w:tblHeader/>
        </w:trPr>
        <w:tc>
          <w:tcPr>
            <w:tcW w:type="dxa" w:w="7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Nº</w:t>
            </w:r>
          </w:p>
        </w:tc>
        <w:tc>
          <w:tcPr>
            <w:tcW w:type="dxa" w:w="24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Paso</w:t>
            </w:r>
          </w:p>
        </w:tc>
        <w:tc>
          <w:tcPr>
            <w:tcW w:type="dxa" w:w="65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Qué ocurre</w:t>
            </w:r>
          </w:p>
        </w:tc>
      </w:tr>
      <w:tr>
        <w:trPr>
          <w:cantSplit/>
        </w:trPr>
        <w:tc>
          <w:tcPr>
            <w:tcW w:type="dxa" w:w="7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1</w:t>
            </w:r>
          </w:p>
        </w:tc>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Origen</w:t>
            </w:r>
          </w:p>
        </w:tc>
        <w:tc>
          <w:tcPr>
            <w:tcW w:type="dxa" w:w="65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Alguien en MerchanOPS pide material desde un servicio, desde un punto de gran campaña o desde un vinilo de ISDIN.</w:t>
            </w:r>
          </w:p>
        </w:tc>
      </w:tr>
      <w:tr>
        <w:trPr>
          <w:cantSplit/>
        </w:trPr>
        <w:tc>
          <w:tcPr>
            <w:tcW w:type="dxa" w:w="7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2</w:t>
            </w:r>
          </w:p>
        </w:tc>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Necesidad</w:t>
            </w:r>
          </w:p>
        </w:tc>
        <w:tc>
          <w:tcPr>
            <w:tcW w:type="dxa" w:w="65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Se crea una necesidad de material que guarda de dónde viene. Ese vínculo es lo que permite devolver el estado a la ficha correcta más adelante.</w:t>
            </w:r>
          </w:p>
        </w:tc>
      </w:tr>
      <w:tr>
        <w:trPr>
          <w:cantSplit/>
        </w:trPr>
        <w:tc>
          <w:tcPr>
            <w:tcW w:type="dxa" w:w="7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3</w:t>
            </w:r>
          </w:p>
        </w:tc>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Petición</w:t>
            </w:r>
          </w:p>
        </w:tc>
        <w:tc>
          <w:tcPr>
            <w:tcW w:type="dxa" w:w="65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Las necesidades se agrupan en una petición con un código trazable, que es el que se cita por teléfono o por correo.</w:t>
            </w:r>
          </w:p>
        </w:tc>
      </w:tr>
      <w:tr>
        <w:trPr>
          <w:cantSplit/>
        </w:trPr>
        <w:tc>
          <w:tcPr>
            <w:tcW w:type="dxa" w:w="7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4</w:t>
            </w:r>
          </w:p>
        </w:tc>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Almacén</w:t>
            </w:r>
          </w:p>
        </w:tc>
        <w:tc>
          <w:tcPr>
            <w:tcW w:type="dxa" w:w="65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revisa la petición, la acepta (entera o en parte), reserva el material, prepara el picking y genera el envío.</w:t>
            </w:r>
          </w:p>
        </w:tc>
      </w:tr>
      <w:tr>
        <w:trPr>
          <w:cantSplit/>
        </w:trPr>
        <w:tc>
          <w:tcPr>
            <w:tcW w:type="dxa" w:w="7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5</w:t>
            </w:r>
          </w:p>
        </w:tc>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Vuelta</w:t>
            </w:r>
          </w:p>
        </w:tc>
        <w:tc>
          <w:tcPr>
            <w:tcW w:type="dxa" w:w="65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El estado vuelve solo a la ficha de origen en MerchanOPS. Nadie copia nada a mano.</w:t>
            </w:r>
          </w:p>
        </w:tc>
      </w:tr>
      <w:tr>
        <w:trPr>
          <w:cantSplit/>
        </w:trPr>
        <w:tc>
          <w:tcPr>
            <w:tcW w:type="dxa" w:w="7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6</w:t>
            </w:r>
          </w:p>
        </w:tc>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Cierre</w:t>
            </w:r>
          </w:p>
        </w:tc>
        <w:tc>
          <w:tcPr>
            <w:tcW w:type="dxa" w:w="65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Al marcar el punto o el servicio como completado en MerchanOPS, su necesidad se cierra automáticamente.</w:t>
            </w:r>
          </w:p>
        </w:tc>
      </w:tr>
    </w:tbl>
    <w:p>
      <w:pPr>
        <w:pStyle w:val="Heading2"/>
        <w:spacing w:after="90" w:before="260"/>
      </w:pPr>
      <w:r>
        <w:rPr>
          <w:rFonts w:ascii="Calibri" w:cs="Calibri" w:eastAsia="Calibri" w:hAnsi="Calibri"/>
          <w:b/>
          <w:bCs/>
          <w:color w:val="1D4ED8"/>
          <w:sz w:val="22"/>
          <w:szCs w:val="22"/>
        </w:rPr>
        <w:t xml:space="preserve">El código de petición</w:t>
      </w:r>
    </w:p>
    <w:p>
      <w:pPr>
        <w:spacing w:after="130" w:line="276"/>
        <w:jc w:val="both"/>
      </w:pPr>
      <w:r>
        <w:rPr>
          <w:rFonts w:ascii="Calibri" w:cs="Calibri" w:eastAsia="Calibri" w:hAnsi="Calibri"/>
          <w:color w:val="1F2937"/>
          <w:sz w:val="21"/>
          <w:szCs w:val="21"/>
        </w:rPr>
        <w:t xml:space="preserve">El código dice de un vistazo de dónde viene la petición, de qué día es y cuál es del día. Es corto a propósito, para poder decirlo por teléfono, y </w:t>
      </w:r>
      <w:r>
        <w:rPr>
          <w:rFonts w:ascii="Calibri" w:cs="Calibri" w:eastAsia="Calibri" w:hAnsi="Calibri"/>
          <w:b/>
          <w:bCs/>
          <w:color w:val="1F2937"/>
          <w:sz w:val="21"/>
          <w:szCs w:val="21"/>
        </w:rPr>
        <w:t xml:space="preserve">nunca se reutiliza</w:t>
      </w:r>
      <w:r>
        <w:rPr>
          <w:rFonts w:ascii="Calibri" w:cs="Calibri" w:eastAsia="Calibri" w:hAnsi="Calibri"/>
          <w:color w:val="1F2937"/>
          <w:sz w:val="21"/>
          <w:szCs w:val="21"/>
        </w:rPr>
        <w:t xml:space="preserve">: aunque se borre una petición, ese código no vuelve a salir.</w:t>
      </w:r>
    </w:p>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Formato</w:t>
            </w:r>
          </w:p>
        </w:tc>
        <w:tc>
          <w:tcPr>
            <w:tcW w:type="dxa" w:w="24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Ejemplo</w:t>
            </w:r>
          </w:p>
        </w:tc>
        <w:tc>
          <w:tcPr>
            <w:tcW w:type="dxa" w:w="48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Origen</w:t>
            </w:r>
          </w:p>
        </w:tc>
      </w:tr>
      <w:tr>
        <w:trPr>
          <w:cantSplit/>
        </w:trPr>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GC-AAMMDD-NNN</w:t>
            </w:r>
          </w:p>
        </w:tc>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GC-260730-001</w:t>
            </w:r>
          </w:p>
        </w:tc>
        <w:tc>
          <w:tcPr>
            <w:tcW w:type="dxa" w:w="48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Gran campaña</w:t>
            </w:r>
          </w:p>
        </w:tc>
      </w:tr>
      <w:tr>
        <w:trPr>
          <w:cantSplit/>
        </w:trPr>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SRV-AAMMDD-NNN</w:t>
            </w:r>
          </w:p>
        </w:tc>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SRV-260730-002</w:t>
            </w:r>
          </w:p>
        </w:tc>
        <w:tc>
          <w:tcPr>
            <w:tcW w:type="dxa" w:w="48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Punto de servicio</w:t>
            </w:r>
          </w:p>
        </w:tc>
      </w:tr>
      <w:tr>
        <w:trPr>
          <w:cantSplit/>
        </w:trPr>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ISD-AAMMDD-NNN</w:t>
            </w:r>
          </w:p>
        </w:tc>
        <w:tc>
          <w:tcPr>
            <w:tcW w:type="dxa" w:w="24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ISD-260730-003</w:t>
            </w:r>
          </w:p>
        </w:tc>
        <w:tc>
          <w:tcPr>
            <w:tcW w:type="dxa" w:w="48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Vinilo de ISDIN</w:t>
            </w:r>
          </w:p>
        </w:tc>
      </w:tr>
      <w:tr>
        <w:trPr>
          <w:cantSplit/>
        </w:trPr>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LOG-AAMMDD-NNN</w:t>
            </w:r>
          </w:p>
        </w:tc>
        <w:tc>
          <w:tcPr>
            <w:tcW w:type="dxa" w:w="24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LOG-260730-004</w:t>
            </w:r>
          </w:p>
        </w:tc>
        <w:tc>
          <w:tcPr>
            <w:tcW w:type="dxa" w:w="48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Origen no identificado (respaldo)</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5. Las tres vías de entrada</w:t>
      </w:r>
    </w:p>
    <w:p>
      <w:pPr>
        <w:spacing w:after="200" w:line="276"/>
        <w:jc w:val="both"/>
      </w:pPr>
      <w:r>
        <w:rPr>
          <w:rFonts w:ascii="Calibri" w:cs="Calibri" w:eastAsia="Calibri" w:hAnsi="Calibri"/>
          <w:color w:val="1F2937"/>
          <w:sz w:val="21"/>
          <w:szCs w:val="21"/>
        </w:rPr>
        <w:t xml:space="preserve">No todas las peticiones se hacen igual, porque no todos los trabajos se planifican igual.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38"/>
      </w:tblGrid>
      <w:tr>
        <w:trPr>
          <w:cantSplit/>
          <w:tblHeader/>
        </w:trPr>
        <w:tc>
          <w:tcPr>
            <w:tcW w:type="dxa" w:w="22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Origen</w:t>
            </w:r>
          </w:p>
        </w:tc>
        <w:tc>
          <w:tcPr>
            <w:tcW w:type="dxa" w:w="46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Cómo se pide</w:t>
            </w:r>
          </w:p>
        </w:tc>
        <w:tc>
          <w:tcPr>
            <w:tcW w:type="dxa" w:w="28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Código</w:t>
            </w:r>
          </w:p>
        </w:tc>
      </w:tr>
      <w:tr>
        <w:trPr>
          <w:cantSplit/>
        </w:trPr>
        <w:tc>
          <w:tcPr>
            <w:tcW w:type="dxa" w:w="22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Servicios</w:t>
            </w:r>
          </w:p>
        </w:tc>
        <w:tc>
          <w:tcPr>
            <w:tcW w:type="dxa" w:w="4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Botón «Solicitar material» en la ficha del servicio. Pulsarlo dos veces no duplica la petición.</w:t>
            </w:r>
          </w:p>
        </w:tc>
        <w:tc>
          <w:tcPr>
            <w:tcW w:type="dxa" w:w="28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SRV</w:t>
            </w:r>
          </w:p>
        </w:tc>
      </w:tr>
      <w:tr>
        <w:trPr>
          <w:cantSplit/>
        </w:trPr>
        <w:tc>
          <w:tcPr>
            <w:tcW w:type="dxa" w:w="22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Grandes Campañas</w:t>
            </w:r>
          </w:p>
        </w:tc>
        <w:tc>
          <w:tcPr>
            <w:tcW w:type="dxa" w:w="4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Botón por punto en el panel expandido, o botón masivo «Solicitar material (N sin petición)». El masivo respeta el ámbito del gestor: solo alcanza sus puntos.</w:t>
            </w:r>
          </w:p>
        </w:tc>
        <w:tc>
          <w:tcPr>
            <w:tcW w:type="dxa" w:w="28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GC</w:t>
            </w:r>
          </w:p>
        </w:tc>
      </w:tr>
      <w:tr>
        <w:trPr>
          <w:cantSplit/>
        </w:trPr>
        <w:tc>
          <w:tcPr>
            <w:tcW w:type="dxa" w:w="22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bCs/>
                <w:color w:val="1F2937"/>
                <w:sz w:val="19"/>
                <w:szCs w:val="19"/>
              </w:rPr>
              <w:t xml:space="preserve">ISDIN</w:t>
            </w:r>
          </w:p>
        </w:tc>
        <w:tc>
          <w:tcPr>
            <w:tcW w:type="dxa" w:w="4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Sincronización automática por vinilo, sin que nadie tenga que pulsar nada.</w:t>
            </w:r>
          </w:p>
        </w:tc>
        <w:tc>
          <w:tcPr>
            <w:tcW w:type="dxa" w:w="28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ISD</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6. El retorno de estado</w:t>
      </w:r>
    </w:p>
    <w:p>
      <w:pPr>
        <w:spacing w:after="130" w:line="276"/>
        <w:jc w:val="both"/>
      </w:pPr>
      <w:r>
        <w:rPr>
          <w:rFonts w:ascii="Calibri" w:cs="Calibri" w:eastAsia="Calibri" w:hAnsi="Calibri"/>
          <w:color w:val="1F2937"/>
          <w:sz w:val="21"/>
          <w:szCs w:val="21"/>
        </w:rPr>
        <w:t xml:space="preserve">La vuelta es la mitad del puente que más se nota cuando falla, porque es la que evita la llamada de «¿ha salido ya mi material?». MerchanLOGS actualiza el estado en la ficha de origen </w:t>
      </w:r>
      <w:r>
        <w:rPr>
          <w:rFonts w:ascii="Calibri" w:cs="Calibri" w:eastAsia="Calibri" w:hAnsi="Calibri"/>
          <w:b/>
          <w:bCs/>
          <w:color w:val="1F2937"/>
          <w:sz w:val="21"/>
          <w:szCs w:val="21"/>
        </w:rPr>
        <w:t xml:space="preserve">en el momento</w:t>
      </w:r>
      <w:r>
        <w:rPr>
          <w:rFonts w:ascii="Calibri" w:cs="Calibri" w:eastAsia="Calibri" w:hAnsi="Calibri"/>
          <w:color w:val="1F2937"/>
          <w:sz w:val="21"/>
          <w:szCs w:val="21"/>
        </w:rPr>
        <w:t xml:space="preserve"> en que cambia la petición, se crea un picking o se genera un envío.</w:t>
      </w:r>
    </w:p>
    <w:p>
      <w:pPr>
        <w:spacing w:after="130" w:line="276"/>
        <w:jc w:val="both"/>
      </w:pPr>
      <w:r>
        <w:rPr>
          <w:rFonts w:ascii="Calibri" w:cs="Calibri" w:eastAsia="Calibri" w:hAnsi="Calibri"/>
          <w:color w:val="1F2937"/>
          <w:sz w:val="21"/>
          <w:szCs w:val="21"/>
        </w:rPr>
        <w:t xml:space="preserve">Tres reglas protegen esa escritura:</w:t>
      </w:r>
    </w:p>
    <w:p>
      <w:pPr>
        <w:pStyle w:val="ListParagraph"/>
        <w:numPr>
          <w:ilvl w:val="0"/>
          <w:numId w:val="2"/>
        </w:numPr>
        <w:spacing w:after="70" w:line="276"/>
        <w:jc w:val="both"/>
      </w:pPr>
      <w:r>
        <w:rPr>
          <w:rFonts w:ascii="Calibri" w:cs="Calibri" w:eastAsia="Calibri" w:hAnsi="Calibri"/>
          <w:b/>
          <w:bCs/>
          <w:color w:val="1F2937"/>
          <w:sz w:val="21"/>
          <w:szCs w:val="21"/>
        </w:rPr>
        <w:t xml:space="preserve">MerchanLOGS nunca toca datos maestros.</w:t>
      </w:r>
      <w:r>
        <w:rPr>
          <w:rFonts w:ascii="Calibri" w:cs="Calibri" w:eastAsia="Calibri" w:hAnsi="Calibri"/>
          <w:color w:val="1F2937"/>
          <w:sz w:val="21"/>
          <w:szCs w:val="21"/>
        </w:rPr>
        <w:t xml:space="preserve"> Ni clientes, ni campañas, ni servicios, ni usuarios. Solo escribe las columnas de estado logístico de una lista cerrada, y hay pruebas automáticas que fijan esa lista.</w:t>
      </w:r>
    </w:p>
    <w:p>
      <w:pPr>
        <w:pStyle w:val="ListParagraph"/>
        <w:numPr>
          <w:ilvl w:val="0"/>
          <w:numId w:val="2"/>
        </w:numPr>
        <w:spacing w:after="70" w:line="276"/>
        <w:jc w:val="both"/>
      </w:pPr>
      <w:r>
        <w:rPr>
          <w:rFonts w:ascii="Calibri" w:cs="Calibri" w:eastAsia="Calibri" w:hAnsi="Calibri"/>
          <w:b/>
          <w:bCs/>
          <w:color w:val="1F2937"/>
          <w:sz w:val="21"/>
          <w:szCs w:val="21"/>
        </w:rPr>
        <w:t xml:space="preserve">Una necesidad ya consumida o cancelada no se reabre nunca.</w:t>
      </w:r>
      <w:r>
        <w:rPr>
          <w:rFonts w:ascii="Calibri" w:cs="Calibri" w:eastAsia="Calibri" w:hAnsi="Calibri"/>
          <w:color w:val="1F2937"/>
          <w:sz w:val="21"/>
          <w:szCs w:val="21"/>
        </w:rPr>
        <w:t xml:space="preserve"> El pasado no se reescribe por un mensaje que llega tarde.</w:t>
      </w:r>
    </w:p>
    <w:p>
      <w:pPr>
        <w:pStyle w:val="ListParagraph"/>
        <w:numPr>
          <w:ilvl w:val="0"/>
          <w:numId w:val="2"/>
        </w:numPr>
        <w:spacing w:after="70" w:line="276"/>
        <w:jc w:val="both"/>
      </w:pPr>
      <w:r>
        <w:rPr>
          <w:rFonts w:ascii="Calibri" w:cs="Calibri" w:eastAsia="Calibri" w:hAnsi="Calibri"/>
          <w:b/>
          <w:bCs/>
          <w:color w:val="1F2937"/>
          <w:sz w:val="21"/>
          <w:szCs w:val="21"/>
        </w:rPr>
        <w:t xml:space="preserve">Si la vuelta falla, el almacén no se detiene.</w:t>
      </w:r>
      <w:r>
        <w:rPr>
          <w:rFonts w:ascii="Calibri" w:cs="Calibri" w:eastAsia="Calibri" w:hAnsi="Calibri"/>
          <w:color w:val="1F2937"/>
          <w:sz w:val="21"/>
          <w:szCs w:val="21"/>
        </w:rPr>
        <w:t xml:space="preserve"> La operación de MerchanLOGS continúa y MerchanOPS corrige el desfase en su siguiente pasada. Las dos escrituras dejan el mismo resultado, así que no se pisan entre sí.</w:t>
      </w:r>
    </w:p>
    <w:p>
      <w:pPr>
        <w:pStyle w:val="Heading1"/>
        <w:pBdr>
          <w:bottom w:val="single" w:color="CBD5E1" w:sz="6" w:space="6"/>
        </w:pBdr>
        <w:spacing w:after="160" w:before="400"/>
      </w:pPr>
      <w:r>
        <w:rPr>
          <w:rFonts w:ascii="Calibri" w:cs="Calibri" w:eastAsia="Calibri" w:hAnsi="Calibri"/>
          <w:b/>
          <w:bCs/>
          <w:color w:val="0F172A"/>
          <w:sz w:val="27"/>
          <w:szCs w:val="27"/>
        </w:rPr>
        <w:t xml:space="preserve">7. La cola de eventos: por qué nada se pierde</w:t>
      </w:r>
    </w:p>
    <w:p>
      <w:pPr>
        <w:spacing w:after="130" w:line="276"/>
        <w:jc w:val="both"/>
      </w:pPr>
      <w:r>
        <w:rPr>
          <w:rFonts w:ascii="Calibri" w:cs="Calibri" w:eastAsia="Calibri" w:hAnsi="Calibri"/>
          <w:color w:val="1F2937"/>
          <w:sz w:val="21"/>
          <w:szCs w:val="21"/>
        </w:rPr>
        <w:t xml:space="preserve">Detrás del puente hay una cola de eventos que es la que da la garantía de entrega. Funciona con cuatro reglas:</w:t>
      </w:r>
    </w:p>
    <w:p>
      <w:pPr>
        <w:pStyle w:val="ListParagraph"/>
        <w:numPr>
          <w:ilvl w:val="0"/>
          <w:numId w:val="2"/>
        </w:numPr>
        <w:spacing w:after="70" w:line="276"/>
        <w:jc w:val="both"/>
      </w:pPr>
      <w:r>
        <w:rPr>
          <w:rFonts w:ascii="Calibri" w:cs="Calibri" w:eastAsia="Calibri" w:hAnsi="Calibri"/>
          <w:color w:val="1F2937"/>
          <w:sz w:val="21"/>
          <w:szCs w:val="21"/>
        </w:rPr>
        <w:t xml:space="preserve">El evento se publica </w:t>
      </w:r>
      <w:r>
        <w:rPr>
          <w:rFonts w:ascii="Calibri" w:cs="Calibri" w:eastAsia="Calibri" w:hAnsi="Calibri"/>
          <w:b/>
          <w:bCs/>
          <w:color w:val="1F2937"/>
          <w:sz w:val="21"/>
          <w:szCs w:val="21"/>
        </w:rPr>
        <w:t xml:space="preserve">en la misma operación</w:t>
      </w:r>
      <w:r>
        <w:rPr>
          <w:rFonts w:ascii="Calibri" w:cs="Calibri" w:eastAsia="Calibri" w:hAnsi="Calibri"/>
          <w:color w:val="1F2937"/>
          <w:sz w:val="21"/>
          <w:szCs w:val="21"/>
        </w:rPr>
        <w:t xml:space="preserve"> que el cambio que lo provoca. No puede existir uno sin el otro: o se guardan los dos, o no se guarda ninguno.</w:t>
      </w:r>
    </w:p>
    <w:p>
      <w:pPr>
        <w:pStyle w:val="ListParagraph"/>
        <w:numPr>
          <w:ilvl w:val="0"/>
          <w:numId w:val="2"/>
        </w:numPr>
        <w:spacing w:after="70" w:line="276"/>
        <w:jc w:val="both"/>
      </w:pPr>
      <w:r>
        <w:rPr>
          <w:rFonts w:ascii="Calibri" w:cs="Calibri" w:eastAsia="Calibri" w:hAnsi="Calibri"/>
          <w:color w:val="1F2937"/>
          <w:sz w:val="21"/>
          <w:szCs w:val="21"/>
        </w:rPr>
        <w:t xml:space="preserve">Si la entrega falla, se </w:t>
      </w:r>
      <w:r>
        <w:rPr>
          <w:rFonts w:ascii="Calibri" w:cs="Calibri" w:eastAsia="Calibri" w:hAnsi="Calibri"/>
          <w:b/>
          <w:bCs/>
          <w:color w:val="1F2937"/>
          <w:sz w:val="21"/>
          <w:szCs w:val="21"/>
        </w:rPr>
        <w:t xml:space="preserve">reintenta</w:t>
      </w:r>
      <w:r>
        <w:rPr>
          <w:rFonts w:ascii="Calibri" w:cs="Calibri" w:eastAsia="Calibri" w:hAnsi="Calibri"/>
          <w:color w:val="1F2937"/>
          <w:sz w:val="21"/>
          <w:szCs w:val="21"/>
        </w:rPr>
        <w:t xml:space="preserve">. Y si agota los intentos, el evento queda apartado en lugar de desaparecer.</w:t>
      </w:r>
    </w:p>
    <w:p>
      <w:pPr>
        <w:pStyle w:val="ListParagraph"/>
        <w:numPr>
          <w:ilvl w:val="0"/>
          <w:numId w:val="2"/>
        </w:numPr>
        <w:spacing w:after="70" w:line="276"/>
        <w:jc w:val="both"/>
      </w:pPr>
      <w:r>
        <w:rPr>
          <w:rFonts w:ascii="Calibri" w:cs="Calibri" w:eastAsia="Calibri" w:hAnsi="Calibri"/>
          <w:color w:val="1F2937"/>
          <w:sz w:val="21"/>
          <w:szCs w:val="21"/>
        </w:rPr>
        <w:t xml:space="preserve">Un evento repetido </w:t>
      </w:r>
      <w:r>
        <w:rPr>
          <w:rFonts w:ascii="Calibri" w:cs="Calibri" w:eastAsia="Calibri" w:hAnsi="Calibri"/>
          <w:b/>
          <w:bCs/>
          <w:color w:val="1F2937"/>
          <w:sz w:val="21"/>
          <w:szCs w:val="21"/>
        </w:rPr>
        <w:t xml:space="preserve">se reconoce como duplicado</w:t>
      </w:r>
      <w:r>
        <w:rPr>
          <w:rFonts w:ascii="Calibri" w:cs="Calibri" w:eastAsia="Calibri" w:hAnsi="Calibri"/>
          <w:color w:val="1F2937"/>
          <w:sz w:val="21"/>
          <w:szCs w:val="21"/>
        </w:rPr>
        <w:t xml:space="preserve"> y no vuelve a crear la misma petición, reserva o picking.</w:t>
      </w:r>
    </w:p>
    <w:p>
      <w:pPr>
        <w:pStyle w:val="ListParagraph"/>
        <w:numPr>
          <w:ilvl w:val="0"/>
          <w:numId w:val="2"/>
        </w:numPr>
        <w:spacing w:after="70" w:line="276"/>
        <w:jc w:val="both"/>
      </w:pPr>
      <w:r>
        <w:rPr>
          <w:rFonts w:ascii="Calibri" w:cs="Calibri" w:eastAsia="Calibri" w:hAnsi="Calibri"/>
          <w:color w:val="1F2937"/>
          <w:sz w:val="21"/>
          <w:szCs w:val="21"/>
        </w:rPr>
        <w:t xml:space="preserve">La cola admite </w:t>
      </w:r>
      <w:r>
        <w:rPr>
          <w:rFonts w:ascii="Calibri" w:cs="Calibri" w:eastAsia="Calibri" w:hAnsi="Calibri"/>
          <w:b/>
          <w:bCs/>
          <w:color w:val="1F2937"/>
          <w:sz w:val="21"/>
          <w:szCs w:val="21"/>
        </w:rPr>
        <w:t xml:space="preserve">varios destinatarios</w:t>
      </w:r>
      <w:r>
        <w:rPr>
          <w:rFonts w:ascii="Calibri" w:cs="Calibri" w:eastAsia="Calibri" w:hAnsi="Calibri"/>
          <w:color w:val="1F2937"/>
          <w:sz w:val="21"/>
          <w:szCs w:val="21"/>
        </w:rPr>
        <w:t xml:space="preserve">: un evento no se da por cerrado hasta que todos lo han procesado, de modo que sumar un consumidor nuevo no le roba los mensajes a los que ya estaban.</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D4ED8" w:sz="18"/>
              <w:bottom w:val="none" w:color="FFFFFF" w:sz="0"/>
              <w:right w:val="none" w:color="FFFFFF" w:sz="0"/>
            </w:tcBorders>
            <w:shd w:fill="F1F5F9" w:color="auto" w:val="clear"/>
            <w:tcMar>
              <w:top w:type="dxa" w:w="160"/>
              <w:left w:type="dxa" w:w="200"/>
              <w:bottom w:type="dxa" w:w="160"/>
              <w:right w:type="dxa" w:w="200"/>
            </w:tcMar>
          </w:tcPr>
          <w:p>
            <w:pPr>
              <w:spacing w:after="80"/>
            </w:pPr>
            <w:r>
              <w:rPr>
                <w:rFonts w:ascii="Calibri" w:cs="Calibri" w:eastAsia="Calibri" w:hAnsi="Calibri"/>
                <w:b/>
                <w:bCs/>
                <w:color w:val="0F172A"/>
                <w:sz w:val="20"/>
                <w:szCs w:val="20"/>
              </w:rPr>
              <w:t xml:space="preserve">Dónde se mira esto en el día a día</w:t>
            </w:r>
          </w:p>
          <w:p>
            <w:pPr>
              <w:spacing w:after="0" w:line="270"/>
              <w:jc w:val="both"/>
            </w:pPr>
            <w:r>
              <w:rPr>
                <w:rFonts w:ascii="Calibri" w:cs="Calibri" w:eastAsia="Calibri" w:hAnsi="Calibri"/>
                <w:color w:val="1F2937"/>
                <w:sz w:val="19"/>
                <w:szCs w:val="19"/>
              </w:rPr>
              <w:t xml:space="preserve">En </w:t>
            </w:r>
            <w:r>
              <w:rPr>
                <w:rFonts w:ascii="Calibri" w:cs="Calibri" w:eastAsia="Calibri" w:hAnsi="Calibri"/>
                <w:b/>
                <w:bCs/>
                <w:color w:val="1F2937"/>
                <w:sz w:val="19"/>
                <w:szCs w:val="19"/>
              </w:rPr>
              <w:t xml:space="preserve">Configuración → Avisos del sistema</w:t>
            </w:r>
            <w:r>
              <w:rPr>
                <w:rFonts w:ascii="Calibri" w:cs="Calibri" w:eastAsia="Calibri" w:hAnsi="Calibri"/>
                <w:color w:val="1F2937"/>
                <w:sz w:val="19"/>
                <w:szCs w:val="19"/>
              </w:rPr>
              <w:t xml:space="preserve">, dentro de MerchanOPS. Ahí aparece todo lo que ha quedado en error o apartado, con opción de reintentarlo. Es una pantalla de administración y merece una revisión periódica: es donde un problema de integración se ve </w:t>
            </w:r>
            <w:r>
              <w:rPr>
                <w:rFonts w:ascii="Calibri" w:cs="Calibri" w:eastAsia="Calibri" w:hAnsi="Calibri"/>
                <w:b/>
                <w:bCs/>
                <w:color w:val="1F2937"/>
                <w:sz w:val="19"/>
                <w:szCs w:val="19"/>
              </w:rPr>
              <w:t xml:space="preserve">antes</w:t>
            </w:r>
            <w:r>
              <w:rPr>
                <w:rFonts w:ascii="Calibri" w:cs="Calibri" w:eastAsia="Calibri" w:hAnsi="Calibri"/>
                <w:color w:val="1F2937"/>
                <w:sz w:val="19"/>
                <w:szCs w:val="19"/>
              </w:rPr>
              <w:t xml:space="preserve"> de que lo note nadie más.</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8. Dónde se hace cada cosa</w:t>
      </w:r>
    </w:p>
    <w:p>
      <w:pPr>
        <w:spacing w:after="200" w:line="276"/>
        <w:jc w:val="both"/>
      </w:pPr>
      <w:r>
        <w:rPr>
          <w:rFonts w:ascii="Calibri" w:cs="Calibri" w:eastAsia="Calibri" w:hAnsi="Calibri"/>
          <w:color w:val="1F2937"/>
          <w:sz w:val="21"/>
          <w:szCs w:val="21"/>
        </w:rPr>
        <w:t xml:space="preserve">Resumen de consulta rápida para cuando la duda es simplemente «¿esto dónde se hace?».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Si necesitas…</w:t>
            </w:r>
          </w:p>
        </w:tc>
        <w:tc>
          <w:tcPr>
            <w:tcW w:type="dxa" w:w="4038"/>
            <w:tcBorders>
              <w:top w:val="single" w:color="0F172A" w:sz="2"/>
              <w:left w:val="single" w:color="0F172A" w:sz="2"/>
              <w:bottom w:val="single" w:color="0F172A" w:sz="2"/>
              <w:right w:val="single" w:color="0F172A" w:sz="2"/>
            </w:tcBorders>
            <w:shd w:fill="0F172A" w:color="auto" w:val="clear"/>
            <w:tcMar>
              <w:top w:type="dxa" w:w="90"/>
              <w:left w:type="dxa" w:w="130"/>
              <w:bottom w:type="dxa" w:w="90"/>
              <w:right w:type="dxa" w:w="130"/>
            </w:tcMar>
          </w:tcPr>
          <w:p>
            <w:pPr>
              <w:spacing w:after="0" w:line="250"/>
              <w:jc w:val="left"/>
            </w:pPr>
            <w:r>
              <w:rPr>
                <w:rFonts w:ascii="Calibri" w:cs="Calibri" w:eastAsia="Calibri" w:hAnsi="Calibri"/>
                <w:b/>
                <w:bCs/>
                <w:color w:val="FFFFFF"/>
                <w:sz w:val="18"/>
                <w:szCs w:val="18"/>
              </w:rPr>
              <w:t xml:space="preserve">Ve a</w:t>
            </w:r>
          </w:p>
        </w:tc>
      </w:tr>
      <w:tr>
        <w:trPr>
          <w:cantSplit/>
        </w:trPr>
        <w:tc>
          <w:tcPr>
            <w:tcW w:type="dxa" w:w="5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Pedir material para un servicio, un punto o un vinilo</w:t>
            </w:r>
          </w:p>
        </w:tc>
        <w:tc>
          <w:tcPr>
            <w:tcW w:type="dxa" w:w="4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MerchanOPS · desde la ficha de origen</w:t>
            </w:r>
          </w:p>
        </w:tc>
      </w:tr>
      <w:tr>
        <w:trPr>
          <w:cantSplit/>
        </w:trPr>
        <w:tc>
          <w:tcPr>
            <w:tcW w:type="dxa" w:w="5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Saber si el material ha salido y cuándo llega</w:t>
            </w:r>
          </w:p>
        </w:tc>
        <w:tc>
          <w:tcPr>
            <w:tcW w:type="dxa" w:w="4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MerchanOPS · la propia ficha o el módulo de Logística</w:t>
            </w:r>
          </w:p>
        </w:tc>
      </w:tr>
      <w:tr>
        <w:trPr>
          <w:cantSplit/>
        </w:trPr>
        <w:tc>
          <w:tcPr>
            <w:tcW w:type="dxa" w:w="5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Encontrar una petición por su código</w:t>
            </w:r>
          </w:p>
        </w:tc>
        <w:tc>
          <w:tcPr>
            <w:tcW w:type="dxa" w:w="4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MerchanOPS · Logística → Solicitudes, o MerchanLOGS → Peticiones</w:t>
            </w:r>
          </w:p>
        </w:tc>
      </w:tr>
      <w:tr>
        <w:trPr>
          <w:cantSplit/>
        </w:trPr>
        <w:tc>
          <w:tcPr>
            <w:tcW w:type="dxa" w:w="5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Dar entrada a una mercancía que acaba de llegar</w:t>
            </w:r>
          </w:p>
        </w:tc>
        <w:tc>
          <w:tcPr>
            <w:tcW w:type="dxa" w:w="4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 Entradas de almacén</w:t>
            </w:r>
          </w:p>
        </w:tc>
      </w:tr>
      <w:tr>
        <w:trPr>
          <w:cantSplit/>
        </w:trPr>
        <w:tc>
          <w:tcPr>
            <w:tcW w:type="dxa" w:w="5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Consultar o corregir el stock</w:t>
            </w:r>
          </w:p>
        </w:tc>
        <w:tc>
          <w:tcPr>
            <w:tcW w:type="dxa" w:w="4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 Stock</w:t>
            </w:r>
          </w:p>
        </w:tc>
      </w:tr>
      <w:tr>
        <w:trPr>
          <w:cantSplit/>
        </w:trPr>
        <w:tc>
          <w:tcPr>
            <w:tcW w:type="dxa" w:w="5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Preparar un picking o generar un envío</w:t>
            </w:r>
          </w:p>
        </w:tc>
        <w:tc>
          <w:tcPr>
            <w:tcW w:type="dxa" w:w="4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 Picking y Salidas</w:t>
            </w:r>
          </w:p>
        </w:tc>
      </w:tr>
      <w:tr>
        <w:trPr>
          <w:cantSplit/>
        </w:trPr>
        <w:tc>
          <w:tcPr>
            <w:tcW w:type="dxa" w:w="5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Abrir una incidencia de material</w:t>
            </w:r>
          </w:p>
        </w:tc>
        <w:tc>
          <w:tcPr>
            <w:tcW w:type="dxa" w:w="4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 Incidencias logísticas</w:t>
            </w:r>
          </w:p>
        </w:tc>
      </w:tr>
      <w:tr>
        <w:trPr>
          <w:cantSplit/>
        </w:trPr>
        <w:tc>
          <w:tcPr>
            <w:tcW w:type="dxa" w:w="5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Dar de alta un material nuevo en el catálogo</w:t>
            </w:r>
          </w:p>
        </w:tc>
        <w:tc>
          <w:tcPr>
            <w:tcW w:type="dxa" w:w="4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MerchanLOGS · Materiales</w:t>
            </w:r>
          </w:p>
        </w:tc>
      </w:tr>
      <w:tr>
        <w:trPr>
          <w:cantSplit/>
        </w:trPr>
        <w:tc>
          <w:tcPr>
            <w:tcW w:type="dxa" w:w="5600"/>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Crear un usuario para alguien de almacén</w:t>
            </w:r>
          </w:p>
        </w:tc>
        <w:tc>
          <w:tcPr>
            <w:tcW w:type="dxa" w:w="4038"/>
            <w:tcBorders>
              <w:top w:val="single" w:color="E2E8F0" w:sz="2"/>
              <w:left w:val="single" w:color="E2E8F0" w:sz="2"/>
              <w:bottom w:val="single" w:color="E2E8F0" w:sz="2"/>
              <w:right w:val="single" w:color="E2E8F0" w:sz="2"/>
            </w:tcBorders>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MerchanOPS · Usuarios y permisos, con rol Almacén</w:t>
            </w:r>
          </w:p>
        </w:tc>
      </w:tr>
      <w:tr>
        <w:trPr>
          <w:cantSplit/>
        </w:trPr>
        <w:tc>
          <w:tcPr>
            <w:tcW w:type="dxa" w:w="5600"/>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Revisar eventos de integración fallidos</w:t>
            </w:r>
          </w:p>
        </w:tc>
        <w:tc>
          <w:tcPr>
            <w:tcW w:type="dxa" w:w="4038"/>
            <w:tcBorders>
              <w:top w:val="single" w:color="E2E8F0" w:sz="2"/>
              <w:left w:val="single" w:color="E2E8F0" w:sz="2"/>
              <w:bottom w:val="single" w:color="E2E8F0" w:sz="2"/>
              <w:right w:val="single" w:color="E2E8F0" w:sz="2"/>
            </w:tcBorders>
            <w:shd w:fill="F8FAFC" w:color="auto" w:val="clear"/>
            <w:tcMar>
              <w:top w:type="dxa" w:w="90"/>
              <w:left w:type="dxa" w:w="130"/>
              <w:bottom w:type="dxa" w:w="90"/>
              <w:right w:type="dxa" w:w="130"/>
            </w:tcMar>
          </w:tcPr>
          <w:p>
            <w:pPr>
              <w:spacing w:after="0" w:line="250"/>
              <w:jc w:val="left"/>
            </w:pPr>
            <w:r>
              <w:rPr>
                <w:rFonts w:ascii="Calibri" w:cs="Calibri" w:eastAsia="Calibri" w:hAnsi="Calibri"/>
                <w:b w:val="false"/>
                <w:bCs w:val="false"/>
                <w:color w:val="1F2937"/>
                <w:sz w:val="19"/>
                <w:szCs w:val="19"/>
              </w:rPr>
              <w:t xml:space="preserve">MerchanOPS · Configuración → Avisos del sistema</w:t>
            </w:r>
          </w:p>
        </w:tc>
      </w:tr>
    </w:tbl>
    <w:p>
      <w:pPr>
        <w:pStyle w:val="Heading1"/>
        <w:pBdr>
          <w:bottom w:val="single" w:color="CBD5E1" w:sz="6" w:space="6"/>
        </w:pBdr>
        <w:spacing w:after="160" w:before="400"/>
      </w:pPr>
      <w:r>
        <w:rPr>
          <w:rFonts w:ascii="Calibri" w:cs="Calibri" w:eastAsia="Calibri" w:hAnsi="Calibri"/>
          <w:b/>
          <w:bCs/>
          <w:color w:val="0F172A"/>
          <w:sz w:val="27"/>
          <w:szCs w:val="27"/>
        </w:rPr>
        <w:t xml:space="preserve">9. Reglas de convivencia</w:t>
      </w:r>
    </w:p>
    <w:p>
      <w:pPr>
        <w:spacing w:after="130" w:line="276"/>
        <w:jc w:val="both"/>
      </w:pPr>
      <w:r>
        <w:rPr>
          <w:rFonts w:ascii="Calibri" w:cs="Calibri" w:eastAsia="Calibri" w:hAnsi="Calibri"/>
          <w:color w:val="1F2937"/>
          <w:sz w:val="21"/>
          <w:szCs w:val="21"/>
        </w:rPr>
        <w:t xml:space="preserve">Cinco principios que ordenan la relación entre las dos aplicaciones. Sirven también como criterio cuando haya que decidir dónde encaja algo nuevo.</w:t>
      </w:r>
    </w:p>
    <w:p>
      <w:pPr>
        <w:pStyle w:val="ListParagraph"/>
        <w:numPr>
          <w:ilvl w:val="0"/>
          <w:numId w:val="2"/>
        </w:numPr>
        <w:spacing w:after="70" w:line="276"/>
        <w:jc w:val="both"/>
      </w:pPr>
      <w:r>
        <w:rPr>
          <w:rFonts w:ascii="Calibri" w:cs="Calibri" w:eastAsia="Calibri" w:hAnsi="Calibri"/>
          <w:b/>
          <w:bCs/>
          <w:color w:val="1F2937"/>
          <w:sz w:val="21"/>
          <w:szCs w:val="21"/>
        </w:rPr>
        <w:t xml:space="preserve">Cada dato tiene un solo dueño.</w:t>
      </w:r>
      <w:r>
        <w:rPr>
          <w:rFonts w:ascii="Calibri" w:cs="Calibri" w:eastAsia="Calibri" w:hAnsi="Calibri"/>
          <w:color w:val="1F2937"/>
          <w:sz w:val="21"/>
          <w:szCs w:val="21"/>
        </w:rPr>
        <w:t xml:space="preserve"> El que lo crea es el que lo modifica; el otro lo lee.</w:t>
      </w:r>
    </w:p>
    <w:p>
      <w:pPr>
        <w:pStyle w:val="ListParagraph"/>
        <w:numPr>
          <w:ilvl w:val="0"/>
          <w:numId w:val="2"/>
        </w:numPr>
        <w:spacing w:after="70" w:line="276"/>
        <w:jc w:val="both"/>
      </w:pPr>
      <w:r>
        <w:rPr>
          <w:rFonts w:ascii="Calibri" w:cs="Calibri" w:eastAsia="Calibri" w:hAnsi="Calibri"/>
          <w:b/>
          <w:bCs/>
          <w:color w:val="1F2937"/>
          <w:sz w:val="21"/>
          <w:szCs w:val="21"/>
        </w:rPr>
        <w:t xml:space="preserve">MerchanOPS pide, no opera el almacén.</w:t>
      </w:r>
      <w:r>
        <w:rPr>
          <w:rFonts w:ascii="Calibri" w:cs="Calibri" w:eastAsia="Calibri" w:hAnsi="Calibri"/>
          <w:color w:val="1F2937"/>
          <w:sz w:val="21"/>
          <w:szCs w:val="21"/>
        </w:rPr>
        <w:t xml:space="preserve"> Si algo se puede hacer en las dos, se hace en MerchanLOGS.</w:t>
      </w:r>
    </w:p>
    <w:p>
      <w:pPr>
        <w:pStyle w:val="ListParagraph"/>
        <w:numPr>
          <w:ilvl w:val="0"/>
          <w:numId w:val="2"/>
        </w:numPr>
        <w:spacing w:after="70" w:line="276"/>
        <w:jc w:val="both"/>
      </w:pPr>
      <w:r>
        <w:rPr>
          <w:rFonts w:ascii="Calibri" w:cs="Calibri" w:eastAsia="Calibri" w:hAnsi="Calibri"/>
          <w:b/>
          <w:bCs/>
          <w:color w:val="1F2937"/>
          <w:sz w:val="21"/>
          <w:szCs w:val="21"/>
        </w:rPr>
        <w:t xml:space="preserve">MerchanLOGS no toca datos de negocio.</w:t>
      </w:r>
      <w:r>
        <w:rPr>
          <w:rFonts w:ascii="Calibri" w:cs="Calibri" w:eastAsia="Calibri" w:hAnsi="Calibri"/>
          <w:color w:val="1F2937"/>
          <w:sz w:val="21"/>
          <w:szCs w:val="21"/>
        </w:rPr>
        <w:t xml:space="preserve"> Devuelve estado logístico y nada más.</w:t>
      </w:r>
    </w:p>
    <w:p>
      <w:pPr>
        <w:pStyle w:val="ListParagraph"/>
        <w:numPr>
          <w:ilvl w:val="0"/>
          <w:numId w:val="2"/>
        </w:numPr>
        <w:spacing w:after="70" w:line="276"/>
        <w:jc w:val="both"/>
      </w:pPr>
      <w:r>
        <w:rPr>
          <w:rFonts w:ascii="Calibri" w:cs="Calibri" w:eastAsia="Calibri" w:hAnsi="Calibri"/>
          <w:b/>
          <w:bCs/>
          <w:color w:val="1F2937"/>
          <w:sz w:val="21"/>
          <w:szCs w:val="21"/>
        </w:rPr>
        <w:t xml:space="preserve">Los códigos no se reutilizan.</w:t>
      </w:r>
      <w:r>
        <w:rPr>
          <w:rFonts w:ascii="Calibri" w:cs="Calibri" w:eastAsia="Calibri" w:hAnsi="Calibri"/>
          <w:color w:val="1F2937"/>
          <w:sz w:val="21"/>
          <w:szCs w:val="21"/>
        </w:rPr>
        <w:t xml:space="preserve"> Un código de petición identifica una sola petición para siempre, aunque esa petición se borre.</w:t>
      </w:r>
    </w:p>
    <w:p>
      <w:pPr>
        <w:pStyle w:val="ListParagraph"/>
        <w:numPr>
          <w:ilvl w:val="0"/>
          <w:numId w:val="2"/>
        </w:numPr>
        <w:spacing w:after="70" w:line="276"/>
        <w:jc w:val="both"/>
      </w:pPr>
      <w:r>
        <w:rPr>
          <w:rFonts w:ascii="Calibri" w:cs="Calibri" w:eastAsia="Calibri" w:hAnsi="Calibri"/>
          <w:b/>
          <w:bCs/>
          <w:color w:val="1F2937"/>
          <w:sz w:val="21"/>
          <w:szCs w:val="21"/>
        </w:rPr>
        <w:t xml:space="preserve">Nada se borra en silencio.</w:t>
      </w:r>
      <w:r>
        <w:rPr>
          <w:rFonts w:ascii="Calibri" w:cs="Calibri" w:eastAsia="Calibri" w:hAnsi="Calibri"/>
          <w:color w:val="1F2937"/>
          <w:sz w:val="21"/>
          <w:szCs w:val="21"/>
        </w:rPr>
        <w:t xml:space="preserve"> Se cancela, se anula o se aparta, siempre dejando el motivo.</w:t>
      </w:r>
    </w:p>
    <w:p>
      <w:pPr>
        <w:pStyle w:val="Heading1"/>
        <w:pBdr>
          <w:bottom w:val="single" w:color="CBD5E1" w:sz="6" w:space="6"/>
        </w:pBdr>
        <w:spacing w:after="160" w:before="400"/>
      </w:pPr>
      <w:r>
        <w:rPr>
          <w:rFonts w:ascii="Calibri" w:cs="Calibri" w:eastAsia="Calibri" w:hAnsi="Calibri"/>
          <w:b/>
          <w:bCs/>
          <w:color w:val="0F172A"/>
          <w:sz w:val="27"/>
          <w:szCs w:val="27"/>
        </w:rPr>
        <w:t xml:space="preserve">10. Qué queda por cerrar del encaje</w:t>
      </w:r>
    </w:p>
    <w:p>
      <w:pPr>
        <w:spacing w:after="130" w:line="276"/>
        <w:jc w:val="both"/>
      </w:pPr>
      <w:r>
        <w:rPr>
          <w:rFonts w:ascii="Calibri" w:cs="Calibri" w:eastAsia="Calibri" w:hAnsi="Calibri"/>
          <w:color w:val="1F2937"/>
          <w:sz w:val="21"/>
          <w:szCs w:val="21"/>
        </w:rPr>
        <w:t xml:space="preserve">El puente funciona a diario, pero la integración no está terminada. Tres frentes abiertos, por orden de relevancia:</w:t>
      </w:r>
    </w:p>
    <w:p>
      <w:pPr>
        <w:pStyle w:val="ListParagraph"/>
        <w:numPr>
          <w:ilvl w:val="0"/>
          <w:numId w:val="2"/>
        </w:numPr>
        <w:spacing w:after="70" w:line="276"/>
        <w:jc w:val="both"/>
      </w:pPr>
      <w:r>
        <w:rPr>
          <w:rFonts w:ascii="Calibri" w:cs="Calibri" w:eastAsia="Calibri" w:hAnsi="Calibri"/>
          <w:b/>
          <w:bCs/>
          <w:color w:val="1F2937"/>
          <w:sz w:val="21"/>
          <w:szCs w:val="21"/>
        </w:rPr>
        <w:t xml:space="preserve">El retorno de estado va hoy por escritura directa, no por la cola de eventos.</w:t>
      </w:r>
      <w:r>
        <w:rPr>
          <w:rFonts w:ascii="Calibri" w:cs="Calibri" w:eastAsia="Calibri" w:hAnsi="Calibri"/>
          <w:color w:val="1F2937"/>
          <w:sz w:val="21"/>
          <w:szCs w:val="21"/>
        </w:rPr>
        <w:t xml:space="preserve"> Funciona y está protegido, pero la cola es el camino más robusto y ya está preparada para que MerchanLOGS se sume como destinatario. Es la evolución natural del puente.</w:t>
      </w:r>
    </w:p>
    <w:p>
      <w:pPr>
        <w:pStyle w:val="ListParagraph"/>
        <w:numPr>
          <w:ilvl w:val="0"/>
          <w:numId w:val="2"/>
        </w:numPr>
        <w:spacing w:after="70" w:line="276"/>
        <w:jc w:val="both"/>
      </w:pPr>
      <w:r>
        <w:rPr>
          <w:rFonts w:ascii="Calibri" w:cs="Calibri" w:eastAsia="Calibri" w:hAnsi="Calibri"/>
          <w:b/>
          <w:bCs/>
          <w:color w:val="1F2937"/>
          <w:sz w:val="21"/>
          <w:szCs w:val="21"/>
        </w:rPr>
        <w:t xml:space="preserve">Queda una limpieza de referencias antiguas</w:t>
      </w:r>
      <w:r>
        <w:rPr>
          <w:rFonts w:ascii="Calibri" w:cs="Calibri" w:eastAsia="Calibri" w:hAnsi="Calibri"/>
          <w:color w:val="1F2937"/>
          <w:sz w:val="21"/>
          <w:szCs w:val="21"/>
        </w:rPr>
        <w:t xml:space="preserve"> entre vinilos de ISDIN y peticiones, anterior a este trabajo. Está documentada como deuda conocida y no bloquea la operación, porque el retorno de estado contempla las dos formas de enlazar.</w:t>
      </w:r>
    </w:p>
    <w:p>
      <w:pPr>
        <w:pStyle w:val="ListParagraph"/>
        <w:numPr>
          <w:ilvl w:val="0"/>
          <w:numId w:val="2"/>
        </w:numPr>
        <w:spacing w:after="70" w:line="276"/>
        <w:jc w:val="both"/>
      </w:pPr>
      <w:r>
        <w:rPr>
          <w:rFonts w:ascii="Calibri" w:cs="Calibri" w:eastAsia="Calibri" w:hAnsi="Calibri"/>
          <w:b/>
          <w:bCs/>
          <w:color w:val="1F2937"/>
          <w:sz w:val="21"/>
          <w:szCs w:val="21"/>
        </w:rPr>
        <w:t xml:space="preserve">El alcance de lectura del almacén se puede afinar más.</w:t>
      </w:r>
      <w:r>
        <w:rPr>
          <w:rFonts w:ascii="Calibri" w:cs="Calibri" w:eastAsia="Calibri" w:hAnsi="Calibri"/>
          <w:color w:val="1F2937"/>
          <w:sz w:val="21"/>
          <w:szCs w:val="21"/>
        </w:rPr>
        <w:t xml:space="preserve"> Hoy el equipo de almacén ve lo que ha pasado por logística, que es lo que necesita; queda margen para acotarlo con más precisión a medida que crezca el uso.</w:t>
      </w:r>
    </w:p>
    <w:p>
      <w:pPr>
        <w:spacing w:after="120"/>
      </w:pPr>
    </w:p>
    <w:p>
      <w:pPr>
        <w:spacing w:after="130" w:line="276"/>
        <w:jc w:val="both"/>
      </w:pPr>
      <w:r>
        <w:rPr>
          <w:rFonts w:ascii="Calibri" w:cs="Calibri" w:eastAsia="Calibri" w:hAnsi="Calibri"/>
          <w:color w:val="1F2937"/>
          <w:sz w:val="21"/>
          <w:szCs w:val="21"/>
        </w:rPr>
        <w:t xml:space="preserve">Ninguno de los tres impide operar. Se documentan aquí para que el encaje se decida a la vista de lo que falta, y no por omisión. Cuando alguno se cierre —sobre todo el primero—, este documento es el que hay que actualizar.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638"/>
      </w:tabs>
      <w:spacing w:before="120"/>
    </w:pPr>
    <w:r>
      <w:rPr>
        <w:rFonts w:ascii="Calibri" w:cs="Calibri" w:eastAsia="Calibri" w:hAnsi="Calibri"/>
        <w:color w:val="64748B"/>
        <w:sz w:val="15"/>
        <w:szCs w:val="15"/>
      </w:rPr>
      <w:t xml:space="preserve">Uso interno</w:t>
    </w:r>
    <w:r>
      <w:rPr>
        <w:sz w:val="15"/>
        <w:szCs w:val="15"/>
      </w:rPr>
      <w:t xml:space="preserve">	</w:t>
    </w:r>
    <w:r>
      <w:rPr>
        <w:rFonts w:ascii="Calibri" w:cs="Calibri" w:eastAsia="Calibri" w:hAnsi="Calibri"/>
        <w:color w:val="64748B"/>
        <w:sz w:val="15"/>
        <w:szCs w:val="15"/>
      </w:rPr>
      <w:t xml:space="preserve">Página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de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spacing w:after="120"/>
      <w:jc w:val="right"/>
    </w:pPr>
    <w:r>
      <w:rPr>
        <w:rFonts w:ascii="Calibri" w:cs="Calibri" w:eastAsia="Calibri" w:hAnsi="Calibri"/>
        <w:color w:val="64748B"/>
        <w:sz w:val="15"/>
        <w:szCs w:val="15"/>
      </w:rPr>
      <w:t xml:space="preserve">MerchanCore · 03 · MerchanOPS dentro de MerchanCore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D4ED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MerchanOPS dentro de MerchanCore</dc:title>
  <dc:creator>MerchanOPS</dc:creator>
  <dc:description>MerchanCore · 03 · MerchanOPS dentro de MerchanCore</dc:description>
  <cp:lastModifiedBy>Un-named</cp:lastModifiedBy>
  <cp:revision>1</cp:revision>
  <dcterms:created xsi:type="dcterms:W3CDTF">2026-08-04T09:53:00.714Z</dcterms:created>
  <dcterms:modified xsi:type="dcterms:W3CDTF">2026-08-04T09:53:00.714Z</dcterms:modified>
</cp:coreProperties>
</file>

<file path=docProps/custom.xml><?xml version="1.0" encoding="utf-8"?>
<Properties xmlns="http://schemas.openxmlformats.org/officeDocument/2006/custom-properties" xmlns:vt="http://schemas.openxmlformats.org/officeDocument/2006/docPropsVTypes"/>
</file>