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/>
      </w:pPr>
      <w:r>
        <w:rPr>
          <w:rFonts w:ascii="Calibri" w:cs="Calibri" w:eastAsia="Calibri" w:hAnsi="Calibri"/>
          <w:b/>
          <w:bCs/>
          <w:color w:val="1D4ED8"/>
          <w:spacing w:val="60"/>
          <w:sz w:val="15"/>
          <w:szCs w:val="15"/>
        </w:rPr>
        <w:t xml:space="preserve">MERCHANCORE · DOCUMENTO 01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72A"/>
          <w:sz w:val="46"/>
          <w:szCs w:val="46"/>
        </w:rPr>
        <w:t xml:space="preserve">MerchanOPS</w:t>
      </w:r>
    </w:p>
    <w:p>
      <w:pPr>
        <w:spacing w:after="200"/>
      </w:pPr>
      <w:r>
        <w:rPr>
          <w:rFonts w:ascii="Calibri" w:cs="Calibri" w:eastAsia="Calibri" w:hAnsi="Calibri"/>
          <w:color w:val="64748B"/>
          <w:sz w:val="26"/>
          <w:szCs w:val="26"/>
        </w:rPr>
        <w:t xml:space="preserve">Ficha de proyecto</w:t>
      </w:r>
    </w:p>
    <w:p>
      <w:pPr>
        <w:pBdr>
          <w:top w:val="single" w:color="CBD5E1" w:sz="6" w:space="8"/>
        </w:pBdr>
        <w:spacing w:after="360" w:before="60"/>
      </w:pPr>
      <w:r>
        <w:rPr>
          <w:rFonts w:ascii="Calibri" w:cs="Calibri" w:eastAsia="Calibri" w:hAnsi="Calibri"/>
          <w:color w:val="64748B"/>
          <w:sz w:val="17"/>
          <w:szCs w:val="17"/>
        </w:rPr>
        <w:t xml:space="preserve">Versión 1.0 · 4 de agosto de 2026 · Documento de uso interno</w:t>
      </w:r>
    </w:p>
    <w:p>
      <w:pPr>
        <w:pStyle w:val="Heading1"/>
        <w:pBdr>
          <w:bottom w:val="single" w:color="CBD5E1" w:sz="6" w:space="6"/>
        </w:pBdr>
        <w:spacing w:after="160" w:before="400"/>
      </w:pPr>
      <w:r>
        <w:rPr>
          <w:rFonts w:ascii="Calibri" w:cs="Calibri" w:eastAsia="Calibri" w:hAnsi="Calibri"/>
          <w:b/>
          <w:bCs/>
          <w:color w:val="0F172A"/>
          <w:sz w:val="27"/>
          <w:szCs w:val="27"/>
        </w:rPr>
        <w:t xml:space="preserve">1. Qué es MerchanOPS</w:t>
      </w:r>
    </w:p>
    <w:p>
      <w:pPr>
        <w:spacing w:after="13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MerchanOPS es la aplicación web con la que planificamos, ejecutamos, controlamos y liquidamos los servicios de trade marketing. Reúne en una sola herramienta lo que antes vivía repartido entre hojas de cálculo, correos y mensajes: el catálogo de clientes y trabajadores, los servicios y sus puntos de venta, las grandes campañas, la campaña de vinilos de ISDIN, la petición de material al almacén, las altas laborales y los accesos a centro, y el registro económico que cierra el circuito.</w:t>
      </w:r>
    </w:p>
    <w:p>
      <w:pPr>
        <w:spacing w:after="13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Es una de las dos aplicaciones del entorno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MerchanCore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 MerchanOPS es la oficina: quién hace qué, dónde, cuándo y por cuánto.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MerchanLOGS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es el almacén: qué material entra, se prepara y sale. Las dos comparten la misma base de datos y el mismo censo de usuarios.</w:t>
      </w:r>
    </w:p>
    <w:p>
      <w:pPr>
        <w:pStyle w:val="Heading1"/>
        <w:pBdr>
          <w:bottom w:val="single" w:color="CBD5E1" w:sz="6" w:space="6"/>
        </w:pBdr>
        <w:spacing w:after="160" w:before="400"/>
      </w:pPr>
      <w:r>
        <w:rPr>
          <w:rFonts w:ascii="Calibri" w:cs="Calibri" w:eastAsia="Calibri" w:hAnsi="Calibri"/>
          <w:b/>
          <w:bCs/>
          <w:color w:val="0F172A"/>
          <w:sz w:val="27"/>
          <w:szCs w:val="27"/>
        </w:rPr>
        <w:t xml:space="preserve">2. El problema que resuelve</w:t>
      </w:r>
    </w:p>
    <w:p>
      <w:pPr>
        <w:pStyle w:val="ListParagraph"/>
        <w:numPr>
          <w:ilvl w:val="0"/>
          <w:numId w:val="2"/>
        </w:numPr>
        <w:spacing w:after="7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El trabajo se reparte entre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doce provincias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y varios gestores, y no había una visión única del estado real de cada servicio.</w:t>
      </w:r>
    </w:p>
    <w:p>
      <w:pPr>
        <w:pStyle w:val="ListParagraph"/>
        <w:numPr>
          <w:ilvl w:val="0"/>
          <w:numId w:val="2"/>
        </w:numPr>
        <w:spacing w:after="7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Los importes se calculaban a mano y en varios sitios a la vez, con riesgo de pagar de más, de menos o dos veces.</w:t>
      </w:r>
    </w:p>
    <w:p>
      <w:pPr>
        <w:pStyle w:val="ListParagraph"/>
        <w:numPr>
          <w:ilvl w:val="0"/>
          <w:numId w:val="2"/>
        </w:numPr>
        <w:spacing w:after="7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El material se pedía al almacén por correo, sin código de petición ni estado de vuelta.</w:t>
      </w:r>
    </w:p>
    <w:p>
      <w:pPr>
        <w:pStyle w:val="ListParagraph"/>
        <w:numPr>
          <w:ilvl w:val="0"/>
          <w:numId w:val="2"/>
        </w:numPr>
        <w:spacing w:after="7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Las altas laborales y los accesos a centro se pedían por WhatsApp: se duplicaban y se pedían fuera de plazo.</w:t>
      </w:r>
    </w:p>
    <w:p>
      <w:pPr>
        <w:pStyle w:val="ListParagraph"/>
        <w:numPr>
          <w:ilvl w:val="0"/>
          <w:numId w:val="2"/>
        </w:numPr>
        <w:spacing w:after="7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La facturación al cliente se reconstruía a posteriori desde ficheros sueltos, sin un libro que la respaldara.</w:t>
      </w:r>
    </w:p>
    <w:p>
      <w:pPr>
        <w:pStyle w:val="Heading1"/>
        <w:pBdr>
          <w:bottom w:val="single" w:color="CBD5E1" w:sz="6" w:space="6"/>
        </w:pBdr>
        <w:spacing w:after="160" w:before="400"/>
      </w:pPr>
      <w:r>
        <w:rPr>
          <w:rFonts w:ascii="Calibri" w:cs="Calibri" w:eastAsia="Calibri" w:hAnsi="Calibri"/>
          <w:b/>
          <w:bCs/>
          <w:color w:val="0F172A"/>
          <w:sz w:val="27"/>
          <w:szCs w:val="27"/>
        </w:rPr>
        <w:t xml:space="preserve">3. A quién sirve</w:t>
      </w:r>
    </w:p>
    <w:p>
      <w:pPr>
        <w:spacing w:after="20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Cuatro perfiles usan la aplicación. Ninguno de ellos es el trabajador de calle ni el cliente: no existen accesos externos.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238"/>
        <w:gridCol w:w="3500"/>
      </w:tblGrid>
      <w:tr>
        <w:trPr>
          <w:tblHeader/>
        </w:trPr>
        <w:tc>
          <w:tcPr>
            <w:tcW w:type="dxa" w:w="1900"/>
            <w:tcBorders>
              <w:top w:val="single" w:color="0F172A" w:sz="2"/>
              <w:left w:val="single" w:color="0F172A" w:sz="2"/>
              <w:bottom w:val="single" w:color="0F172A" w:sz="2"/>
              <w:right w:val="single" w:color="0F172A" w:sz="2"/>
            </w:tcBorders>
            <w:shd w:fill="0F172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Perfil</w:t>
            </w:r>
          </w:p>
        </w:tc>
        <w:tc>
          <w:tcPr>
            <w:tcW w:type="dxa" w:w="4238"/>
            <w:tcBorders>
              <w:top w:val="single" w:color="0F172A" w:sz="2"/>
              <w:left w:val="single" w:color="0F172A" w:sz="2"/>
              <w:bottom w:val="single" w:color="0F172A" w:sz="2"/>
              <w:right w:val="single" w:color="0F172A" w:sz="2"/>
            </w:tcBorders>
            <w:shd w:fill="0F172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Qué hace en MerchanOPS</w:t>
            </w:r>
          </w:p>
        </w:tc>
        <w:tc>
          <w:tcPr>
            <w:tcW w:type="dxa" w:w="3500"/>
            <w:tcBorders>
              <w:top w:val="single" w:color="0F172A" w:sz="2"/>
              <w:left w:val="single" w:color="0F172A" w:sz="2"/>
              <w:bottom w:val="single" w:color="0F172A" w:sz="2"/>
              <w:right w:val="single" w:color="0F172A" w:sz="2"/>
            </w:tcBorders>
            <w:shd w:fill="0F172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Ámbito</w:t>
            </w:r>
          </w:p>
        </w:tc>
      </w:tr>
      <w:tr>
        <w:tc>
          <w:tcPr>
            <w:tcW w:type="dxa" w:w="19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42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Visión y control completos: campañas, clientes, usuarios, facturación, cierre económico y avisos del sistema.</w:t>
            </w:r>
          </w:p>
        </w:tc>
        <w:tc>
          <w:tcPr>
            <w:tcW w:type="dxa" w:w="3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Todas las provincias</w:t>
            </w:r>
          </w:p>
        </w:tc>
      </w:tr>
      <w:tr>
        <w:tc>
          <w:tcPr>
            <w:tcW w:type="dxa" w:w="19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Gestor de zona</w:t>
            </w:r>
          </w:p>
        </w:tc>
        <w:tc>
          <w:tcPr>
            <w:tcW w:type="dxa" w:w="42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Opera su territorio: servicios, puntos, asignación de trabajadores, incidencias y aprobación de los pagos de su zona.</w:t>
            </w:r>
          </w:p>
        </w:tc>
        <w:tc>
          <w:tcPr>
            <w:tcW w:type="dxa" w:w="3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Las provincias que tenga asignadas</w:t>
            </w:r>
          </w:p>
        </w:tc>
      </w:tr>
      <w:tr>
        <w:tc>
          <w:tcPr>
            <w:tcW w:type="dxa" w:w="19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RR.HH.</w:t>
            </w:r>
          </w:p>
        </w:tc>
        <w:tc>
          <w:tcPr>
            <w:tcW w:type="dxa" w:w="42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Tramita las altas laborales y los accesos a centro, y mantiene el catálogo de cadenas.</w:t>
            </w:r>
          </w:p>
        </w:tc>
        <w:tc>
          <w:tcPr>
            <w:tcW w:type="dxa" w:w="3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Nacional, sin provincias</w:t>
            </w:r>
          </w:p>
        </w:tc>
      </w:tr>
      <w:tr>
        <w:tc>
          <w:tcPr>
            <w:tcW w:type="dxa" w:w="19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Almacén</w:t>
            </w:r>
          </w:p>
        </w:tc>
        <w:tc>
          <w:tcPr>
            <w:tcW w:type="dxa" w:w="42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Perfil del picking móvil de MerchanLOGS. No opera dentro de MerchanOPS.</w:t>
            </w:r>
          </w:p>
        </w:tc>
        <w:tc>
          <w:tcPr>
            <w:tcW w:type="dxa" w:w="3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Sin ámbito en MerchanOPS</w:t>
            </w:r>
          </w:p>
        </w:tc>
      </w:tr>
    </w:tbl>
    <w:p>
      <w:pPr>
        <w:spacing w:after="200" w:before="60"/>
        <w:jc w:val="both"/>
      </w:pPr>
      <w:r>
        <w:rPr>
          <w:rFonts w:ascii="Calibri" w:cs="Calibri" w:eastAsia="Calibri" w:hAnsi="Calibri"/>
          <w:i/>
          <w:iCs/>
          <w:color w:val="64748B"/>
          <w:sz w:val="18"/>
          <w:szCs w:val="18"/>
        </w:rPr>
        <w:t xml:space="preserve">El detalle completo —qué abre cada permiso y qué ve cada rol pantalla por pantalla— está en el Documento 04, «Modelo de roles y permisos».</w:t>
      </w:r>
    </w:p>
    <w:p>
      <w:pPr>
        <w:pStyle w:val="Heading1"/>
        <w:pBdr>
          <w:bottom w:val="single" w:color="CBD5E1" w:sz="6" w:space="6"/>
        </w:pBdr>
        <w:spacing w:after="160" w:before="400"/>
      </w:pPr>
      <w:r>
        <w:rPr>
          <w:rFonts w:ascii="Calibri" w:cs="Calibri" w:eastAsia="Calibri" w:hAnsi="Calibri"/>
          <w:b/>
          <w:bCs/>
          <w:color w:val="0F172A"/>
          <w:sz w:val="27"/>
          <w:szCs w:val="27"/>
        </w:rPr>
        <w:t xml:space="preserve">4. Qué incluye</w:t>
      </w:r>
    </w:p>
    <w:p>
      <w:pPr>
        <w:spacing w:after="20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Veinte pantallas agrupadas en seis bloques. El Documento 02, «Mapa funcional», las describe una a una.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0F172A" w:sz="2"/>
              <w:left w:val="single" w:color="0F172A" w:sz="2"/>
              <w:bottom w:val="single" w:color="0F172A" w:sz="2"/>
              <w:right w:val="single" w:color="0F172A" w:sz="2"/>
            </w:tcBorders>
            <w:shd w:fill="0F172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Bloque</w:t>
            </w:r>
          </w:p>
        </w:tc>
        <w:tc>
          <w:tcPr>
            <w:tcW w:type="dxa" w:w="7438"/>
            <w:tcBorders>
              <w:top w:val="single" w:color="0F172A" w:sz="2"/>
              <w:left w:val="single" w:color="0F172A" w:sz="2"/>
              <w:bottom w:val="single" w:color="0F172A" w:sz="2"/>
              <w:right w:val="single" w:color="0F172A" w:sz="2"/>
            </w:tcBorders>
            <w:shd w:fill="0F172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Pantallas</w:t>
            </w:r>
          </w:p>
        </w:tc>
      </w:tr>
      <w:tr>
        <w:tc>
          <w:tcPr>
            <w:tcW w:type="dxa" w:w="22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Gestión</w:t>
            </w:r>
          </w:p>
        </w:tc>
        <w:tc>
          <w:tcPr>
            <w:tcW w:type="dxa" w:w="74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Panel · Servicios · Calendario · Pagos · Aprobación de pagos · Grandes Campañas · Mi zona</w:t>
            </w:r>
          </w:p>
        </w:tc>
      </w:tr>
      <w:tr>
        <w:tc>
          <w:tcPr>
            <w:tcW w:type="dxa" w:w="22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ISDIN</w:t>
            </w:r>
          </w:p>
        </w:tc>
        <w:tc>
          <w:tcPr>
            <w:tcW w:type="dxa" w:w="74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Vinilos · Llamadas · Dashboard KPIs · Facturación</w:t>
            </w:r>
          </w:p>
        </w:tc>
      </w:tr>
      <w:tr>
        <w:tc>
          <w:tcPr>
            <w:tcW w:type="dxa" w:w="22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Operativa</w:t>
            </w:r>
          </w:p>
        </w:tc>
        <w:tc>
          <w:tcPr>
            <w:tcW w:type="dxa" w:w="74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Logística (consulta) · Historial económico</w:t>
            </w:r>
          </w:p>
        </w:tc>
      </w:tr>
      <w:tr>
        <w:tc>
          <w:tcPr>
            <w:tcW w:type="dxa" w:w="22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RR.HH.</w:t>
            </w:r>
          </w:p>
        </w:tc>
        <w:tc>
          <w:tcPr>
            <w:tcW w:type="dxa" w:w="74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Altas laborales · Accesos a centro · Cadenas y centros</w:t>
            </w:r>
          </w:p>
        </w:tc>
      </w:tr>
      <w:tr>
        <w:tc>
          <w:tcPr>
            <w:tcW w:type="dxa" w:w="22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Catálogos</w:t>
            </w:r>
          </w:p>
        </w:tc>
        <w:tc>
          <w:tcPr>
            <w:tcW w:type="dxa" w:w="74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Clientes · Trabajadores</w:t>
            </w:r>
          </w:p>
        </w:tc>
      </w:tr>
      <w:tr>
        <w:tc>
          <w:tcPr>
            <w:tcW w:type="dxa" w:w="22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Configuración</w:t>
            </w:r>
          </w:p>
        </w:tc>
        <w:tc>
          <w:tcPr>
            <w:tcW w:type="dxa" w:w="74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Usuarios y permisos · Sincronización · Avisos del sistema</w:t>
            </w:r>
          </w:p>
        </w:tc>
      </w:tr>
    </w:tbl>
    <w:p>
      <w:pPr>
        <w:pStyle w:val="Heading1"/>
        <w:pBdr>
          <w:bottom w:val="single" w:color="CBD5E1" w:sz="6" w:space="6"/>
        </w:pBdr>
        <w:spacing w:after="160" w:before="400"/>
      </w:pPr>
      <w:r>
        <w:rPr>
          <w:rFonts w:ascii="Calibri" w:cs="Calibri" w:eastAsia="Calibri" w:hAnsi="Calibri"/>
          <w:b/>
          <w:bCs/>
          <w:color w:val="0F172A"/>
          <w:sz w:val="27"/>
          <w:szCs w:val="27"/>
        </w:rPr>
        <w:t xml:space="preserve">5. Cómo encaja en MerchanCore</w:t>
      </w:r>
    </w:p>
    <w:p>
      <w:pPr>
        <w:spacing w:after="13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MerchanOPS no trabaja solo. El circuito completo atraviesa tres sistemas: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838"/>
      </w:tblGrid>
      <w:tr>
        <w:trPr>
          <w:tblHeader/>
        </w:trPr>
        <w:tc>
          <w:tcPr>
            <w:tcW w:type="dxa" w:w="2200"/>
            <w:tcBorders>
              <w:top w:val="single" w:color="0F172A" w:sz="2"/>
              <w:left w:val="single" w:color="0F172A" w:sz="2"/>
              <w:bottom w:val="single" w:color="0F172A" w:sz="2"/>
              <w:right w:val="single" w:color="0F172A" w:sz="2"/>
            </w:tcBorders>
            <w:shd w:fill="0F172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Sistema</w:t>
            </w:r>
          </w:p>
        </w:tc>
        <w:tc>
          <w:tcPr>
            <w:tcW w:type="dxa" w:w="3600"/>
            <w:tcBorders>
              <w:top w:val="single" w:color="0F172A" w:sz="2"/>
              <w:left w:val="single" w:color="0F172A" w:sz="2"/>
              <w:bottom w:val="single" w:color="0F172A" w:sz="2"/>
              <w:right w:val="single" w:color="0F172A" w:sz="2"/>
            </w:tcBorders>
            <w:shd w:fill="0F172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Qué aporta</w:t>
            </w:r>
          </w:p>
        </w:tc>
        <w:tc>
          <w:tcPr>
            <w:tcW w:type="dxa" w:w="3838"/>
            <w:tcBorders>
              <w:top w:val="single" w:color="0F172A" w:sz="2"/>
              <w:left w:val="single" w:color="0F172A" w:sz="2"/>
              <w:bottom w:val="single" w:color="0F172A" w:sz="2"/>
              <w:right w:val="single" w:color="0F172A" w:sz="2"/>
            </w:tcBorders>
            <w:shd w:fill="0F172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Cómo se conecta</w:t>
            </w:r>
          </w:p>
        </w:tc>
      </w:tr>
      <w:tr>
        <w:tc>
          <w:tcPr>
            <w:tcW w:type="dxa" w:w="22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MerchanOPS</w:t>
            </w:r>
          </w:p>
        </w:tc>
        <w:tc>
          <w:tcPr>
            <w:tcW w:type="dxa" w:w="36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Planificación, ejecución, control económico y RR.HH.</w:t>
            </w:r>
          </w:p>
        </w:tc>
        <w:tc>
          <w:tcPr>
            <w:tcW w:type="dxa" w:w="38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2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MerchanLOGS</w:t>
            </w:r>
          </w:p>
        </w:tc>
        <w:tc>
          <w:tcPr>
            <w:tcW w:type="dxa" w:w="36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Entradas de almacén, stock, picking, envíos e incidencias logísticas.</w:t>
            </w:r>
          </w:p>
        </w:tc>
        <w:tc>
          <w:tcPr>
            <w:tcW w:type="dxa" w:w="38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Misma base de datos. OPS genera necesidades de material que se agrupan en peticiones; LOGS las prepara y devuelve el estado en espejo.</w:t>
            </w:r>
          </w:p>
        </w:tc>
      </w:tr>
      <w:tr>
        <w:tc>
          <w:tcPr>
            <w:tcW w:type="dxa" w:w="22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A3</w:t>
            </w:r>
          </w:p>
        </w:tc>
        <w:tc>
          <w:tcPr>
            <w:tcW w:type="dxa" w:w="36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Sistema laboral y de nóminas (externo).</w:t>
            </w:r>
          </w:p>
        </w:tc>
        <w:tc>
          <w:tcPr>
            <w:tcW w:type="dxa" w:w="38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Las altas laborales tramitadas en RR.HH. salen hacia A3 por una cola de integración con reintentos.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D4ED8" w:sz="18"/>
              <w:bottom w:val="none" w:color="FFFFFF" w:sz="0"/>
              <w:right w:val="none" w:color="FFFFFF" w:sz="0"/>
            </w:tcBorders>
            <w:shd w:fill="F1F5F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La regla que ordena la relación con el almacén</w:t>
            </w:r>
          </w:p>
          <w:p>
            <w:pPr>
              <w:spacing w:after="0" w:line="270"/>
              <w:jc w:val="both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En MerchanOPS la Logística es </w:t>
            </w: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de consulta</w:t>
            </w: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. Servicios, Grandes Campañas e ISDIN piden el material; el almacén se opera en MerchanLOGS, y el estado vuelve solo a MerchanOPS. Cada sección enlaza a su equivalente para no duplicar la operación en dos sitios.</w:t>
            </w:r>
          </w:p>
        </w:tc>
      </w:tr>
    </w:tbl>
    <w:p>
      <w:pPr>
        <w:pStyle w:val="Heading1"/>
        <w:pBdr>
          <w:bottom w:val="single" w:color="CBD5E1" w:sz="6" w:space="6"/>
        </w:pBdr>
        <w:spacing w:after="160" w:before="400"/>
      </w:pPr>
      <w:r>
        <w:rPr>
          <w:rFonts w:ascii="Calibri" w:cs="Calibri" w:eastAsia="Calibri" w:hAnsi="Calibri"/>
          <w:b/>
          <w:bCs/>
          <w:color w:val="0F172A"/>
          <w:sz w:val="27"/>
          <w:szCs w:val="27"/>
        </w:rPr>
        <w:t xml:space="preserve">6. Ficha técnica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0F172A" w:sz="2"/>
              <w:left w:val="single" w:color="0F172A" w:sz="2"/>
              <w:bottom w:val="single" w:color="0F172A" w:sz="2"/>
              <w:right w:val="single" w:color="0F172A" w:sz="2"/>
            </w:tcBorders>
            <w:shd w:fill="0F172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Concepto</w:t>
            </w:r>
          </w:p>
        </w:tc>
        <w:tc>
          <w:tcPr>
            <w:tcW w:type="dxa" w:w="7038"/>
            <w:tcBorders>
              <w:top w:val="single" w:color="0F172A" w:sz="2"/>
              <w:left w:val="single" w:color="0F172A" w:sz="2"/>
              <w:bottom w:val="single" w:color="0F172A" w:sz="2"/>
              <w:right w:val="single" w:color="0F172A" w:sz="2"/>
            </w:tcBorders>
            <w:shd w:fill="0F172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Detalle</w:t>
            </w:r>
          </w:p>
        </w:tc>
      </w:tr>
      <w:tr>
        <w:tc>
          <w:tcPr>
            <w:tcW w:type="dxa" w:w="26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Tipo de aplicación</w:t>
            </w:r>
          </w:p>
        </w:tc>
        <w:tc>
          <w:tcPr>
            <w:tcW w:type="dxa" w:w="70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Aplicación web. Se usa desde el navegador, sin instalación.</w:t>
            </w:r>
          </w:p>
        </w:tc>
      </w:tr>
      <w:tr>
        <w:tc>
          <w:tcPr>
            <w:tcW w:type="dxa" w:w="26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Tecnología</w:t>
            </w:r>
          </w:p>
        </w:tc>
        <w:tc>
          <w:tcPr>
            <w:tcW w:type="dxa" w:w="70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Next.js 14 · React 18 · TypeScript · Tailwind CSS</w:t>
            </w:r>
          </w:p>
        </w:tc>
      </w:tr>
      <w:tr>
        <w:tc>
          <w:tcPr>
            <w:tcW w:type="dxa" w:w="26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Base de datos</w:t>
            </w:r>
          </w:p>
        </w:tc>
        <w:tc>
          <w:tcPr>
            <w:tcW w:type="dxa" w:w="70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Supabase (PostgreSQL 17)</w:t>
            </w:r>
          </w:p>
        </w:tc>
      </w:tr>
      <w:tr>
        <w:tc>
          <w:tcPr>
            <w:tcW w:type="dxa" w:w="26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Alojamiento</w:t>
            </w:r>
          </w:p>
        </w:tc>
        <w:tc>
          <w:tcPr>
            <w:tcW w:type="dxa" w:w="70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Vercel</w:t>
            </w:r>
          </w:p>
        </w:tc>
      </w:tr>
      <w:tr>
        <w:tc>
          <w:tcPr>
            <w:tcW w:type="dxa" w:w="26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Acceso</w:t>
            </w:r>
          </w:p>
        </w:tc>
        <w:tc>
          <w:tcPr>
            <w:tcW w:type="dxa" w:w="70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Usuario y contraseña propios. La contraseña se verifica en el servidor y su huella nunca sale de la base de datos. Hay bloqueo temporal por intentos fallidos.</w:t>
            </w:r>
          </w:p>
        </w:tc>
      </w:tr>
      <w:tr>
        <w:tc>
          <w:tcPr>
            <w:tcW w:type="dxa" w:w="26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Seguridad de los datos</w:t>
            </w:r>
          </w:p>
        </w:tc>
        <w:tc>
          <w:tcPr>
            <w:tcW w:type="dxa" w:w="70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Row Level Security activa en las 48 tablas: el permiso no depende solo de la pantalla, también lo aplica la base de datos. Un visitante sin sesión no tiene acceso a nada.</w:t>
            </w:r>
          </w:p>
        </w:tc>
      </w:tr>
      <w:tr>
        <w:tc>
          <w:tcPr>
            <w:tcW w:type="dxa" w:w="26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Control de calidad</w:t>
            </w:r>
          </w:p>
        </w:tc>
        <w:tc>
          <w:tcPr>
            <w:tcW w:type="dxa" w:w="70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17 baterías de pruebas automatizadas, centradas en el cálculo de pagos, la importación de campañas y las reglas de RR.HH.</w:t>
            </w:r>
          </w:p>
        </w:tc>
      </w:tr>
      <w:tr>
        <w:tc>
          <w:tcPr>
            <w:tcW w:type="dxa" w:w="26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Entrada de datos</w:t>
            </w:r>
          </w:p>
        </w:tc>
        <w:tc>
          <w:tcPr>
            <w:tcW w:type="dxa" w:w="70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Formularios en pantalla e importación de Excel (.xlsx) y CSV</w:t>
            </w:r>
          </w:p>
        </w:tc>
      </w:tr>
      <w:tr>
        <w:tc>
          <w:tcPr>
            <w:tcW w:type="dxa" w:w="26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Salida de datos</w:t>
            </w:r>
          </w:p>
        </w:tc>
        <w:tc>
          <w:tcPr>
            <w:tcW w:type="dxa" w:w="70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Exportación a CSV en listados, pagos, facturación y KPIs</w:t>
            </w:r>
          </w:p>
        </w:tc>
      </w:tr>
      <w:tr>
        <w:tc>
          <w:tcPr>
            <w:tcW w:type="dxa" w:w="26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Idioma</w:t>
            </w:r>
          </w:p>
        </w:tc>
        <w:tc>
          <w:tcPr>
            <w:tcW w:type="dxa" w:w="70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Español</w:t>
            </w:r>
          </w:p>
        </w:tc>
      </w:tr>
    </w:tbl>
    <w:p>
      <w:pPr>
        <w:pStyle w:val="Heading1"/>
        <w:pBdr>
          <w:bottom w:val="single" w:color="CBD5E1" w:sz="6" w:space="6"/>
        </w:pBdr>
        <w:spacing w:after="160" w:before="400"/>
      </w:pPr>
      <w:r>
        <w:rPr>
          <w:rFonts w:ascii="Calibri" w:cs="Calibri" w:eastAsia="Calibri" w:hAnsi="Calibri"/>
          <w:b/>
          <w:bCs/>
          <w:color w:val="0F172A"/>
          <w:sz w:val="27"/>
          <w:szCs w:val="27"/>
        </w:rPr>
        <w:t xml:space="preserve">7. Estado actual</w:t>
      </w:r>
    </w:p>
    <w:p>
      <w:pPr>
        <w:spacing w:after="13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A fecha de este documento, MerchanOPS está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en producción y en uso diario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 Los seis bloques funcionales están entregados; el último en incorporarse ha sido el módulo de RR.HH.</w:t>
      </w:r>
    </w:p>
    <w:p>
      <w:pPr>
        <w:spacing w:after="13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El 29 de julio de 2026 se completó una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auditoría técnica independiente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sobre el repositorio y la base de datos en vivo, con un plan de remediación por olas. Los hallazgos críticos y altos están cerrados; queda deuda de calidad identificada y priorizada, recogida en el plan de remediación.</w:t>
      </w:r>
    </w:p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0F172A" w:sz="2"/>
              <w:left w:val="single" w:color="0F172A" w:sz="2"/>
              <w:bottom w:val="single" w:color="0F172A" w:sz="2"/>
              <w:right w:val="single" w:color="0F172A" w:sz="2"/>
            </w:tcBorders>
            <w:shd w:fill="0F172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Volumetría (a 29/07/2026)</w:t>
            </w:r>
          </w:p>
        </w:tc>
        <w:tc>
          <w:tcPr>
            <w:tcW w:type="dxa" w:w="4819"/>
            <w:tcBorders>
              <w:top w:val="single" w:color="0F172A" w:sz="2"/>
              <w:left w:val="single" w:color="0F172A" w:sz="2"/>
              <w:bottom w:val="single" w:color="0F172A" w:sz="2"/>
              <w:right w:val="single" w:color="0F172A" w:sz="2"/>
            </w:tcBorders>
            <w:shd w:fill="0F172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</w:tr>
      <w:tr>
        <w:tc>
          <w:tcPr>
            <w:tcW w:type="dxa" w:w="4819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Provincias operativas</w:t>
            </w:r>
          </w:p>
        </w:tc>
        <w:tc>
          <w:tcPr>
            <w:tcW w:type="dxa" w:w="4819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12</w:t>
            </w:r>
          </w:p>
        </w:tc>
      </w:tr>
      <w:tr>
        <w:tc>
          <w:tcPr>
            <w:tcW w:type="dxa" w:w="4819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Grandes campañas registradas</w:t>
            </w:r>
          </w:p>
        </w:tc>
        <w:tc>
          <w:tcPr>
            <w:tcW w:type="dxa" w:w="4819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4819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Puntos de venta de campaña</w:t>
            </w:r>
          </w:p>
        </w:tc>
        <w:tc>
          <w:tcPr>
            <w:tcW w:type="dxa" w:w="4819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1.012</w:t>
            </w:r>
          </w:p>
        </w:tc>
      </w:tr>
      <w:tr>
        <w:tc>
          <w:tcPr>
            <w:tcW w:type="dxa" w:w="4819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Vinilos de la campaña ISDIN</w:t>
            </w:r>
          </w:p>
        </w:tc>
        <w:tc>
          <w:tcPr>
            <w:tcW w:type="dxa" w:w="4819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475</w:t>
            </w:r>
          </w:p>
        </w:tc>
      </w:tr>
      <w:tr>
        <w:tc>
          <w:tcPr>
            <w:tcW w:type="dxa" w:w="4819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Usuarios internos</w:t>
            </w:r>
          </w:p>
        </w:tc>
        <w:tc>
          <w:tcPr>
            <w:tcW w:type="dxa" w:w="4819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8</w:t>
            </w:r>
          </w:p>
        </w:tc>
      </w:tr>
    </w:tbl>
    <w:p>
      <w:pPr>
        <w:spacing w:after="200" w:before="60"/>
        <w:jc w:val="both"/>
      </w:pPr>
      <w:r>
        <w:rPr>
          <w:rFonts w:ascii="Calibri" w:cs="Calibri" w:eastAsia="Calibri" w:hAnsi="Calibri"/>
          <w:i/>
          <w:iCs/>
          <w:color w:val="64748B"/>
          <w:sz w:val="18"/>
          <w:szCs w:val="18"/>
        </w:rPr>
        <w:t xml:space="preserve">Cifras tomadas de la auditoría técnica del 29 de julio de 2026. Conviene revisarlas al actualizar esta ficha.</w:t>
      </w:r>
    </w:p>
    <w:p>
      <w:pPr>
        <w:pStyle w:val="Heading1"/>
        <w:pBdr>
          <w:bottom w:val="single" w:color="CBD5E1" w:sz="6" w:space="6"/>
        </w:pBdr>
        <w:spacing w:after="160" w:before="400"/>
      </w:pPr>
      <w:r>
        <w:rPr>
          <w:rFonts w:ascii="Calibri" w:cs="Calibri" w:eastAsia="Calibri" w:hAnsi="Calibri"/>
          <w:b/>
          <w:bCs/>
          <w:color w:val="0F172A"/>
          <w:sz w:val="27"/>
          <w:szCs w:val="27"/>
        </w:rPr>
        <w:t xml:space="preserve">8. Gobierno del documento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0F172A" w:sz="2"/>
              <w:left w:val="single" w:color="0F172A" w:sz="2"/>
              <w:bottom w:val="single" w:color="0F172A" w:sz="2"/>
              <w:right w:val="single" w:color="0F172A" w:sz="2"/>
            </w:tcBorders>
            <w:shd w:fill="0F172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7038"/>
            <w:tcBorders>
              <w:top w:val="single" w:color="0F172A" w:sz="2"/>
              <w:left w:val="single" w:color="0F172A" w:sz="2"/>
              <w:bottom w:val="single" w:color="0F172A" w:sz="2"/>
              <w:right w:val="single" w:color="0F172A" w:sz="2"/>
            </w:tcBorders>
            <w:shd w:fill="0F172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26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Responsable de proyecto</w:t>
            </w:r>
          </w:p>
        </w:tc>
        <w:tc>
          <w:tcPr>
            <w:tcW w:type="dxa" w:w="70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[Completar]</w:t>
            </w:r>
          </w:p>
        </w:tc>
      </w:tr>
      <w:tr>
        <w:tc>
          <w:tcPr>
            <w:tcW w:type="dxa" w:w="26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Responsable técnico</w:t>
            </w:r>
          </w:p>
        </w:tc>
        <w:tc>
          <w:tcPr>
            <w:tcW w:type="dxa" w:w="70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[Completar]</w:t>
            </w:r>
          </w:p>
        </w:tc>
      </w:tr>
      <w:tr>
        <w:tc>
          <w:tcPr>
            <w:tcW w:type="dxa" w:w="26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Fecha de inicio del proyecto</w:t>
            </w:r>
          </w:p>
        </w:tc>
        <w:tc>
          <w:tcPr>
            <w:tcW w:type="dxa" w:w="70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[Completar]</w:t>
            </w:r>
          </w:p>
        </w:tc>
      </w:tr>
      <w:tr>
        <w:tc>
          <w:tcPr>
            <w:tcW w:type="dxa" w:w="26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Versión de esta ficha</w:t>
            </w:r>
          </w:p>
        </w:tc>
        <w:tc>
          <w:tcPr>
            <w:tcW w:type="dxa" w:w="70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1.0 — 4 de agosto de 2026</w:t>
            </w:r>
          </w:p>
        </w:tc>
      </w:tr>
      <w:tr>
        <w:tc>
          <w:tcPr>
            <w:tcW w:type="dxa" w:w="26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Próxima revisión prevista</w:t>
            </w:r>
          </w:p>
        </w:tc>
        <w:tc>
          <w:tcPr>
            <w:tcW w:type="dxa" w:w="70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[Completar]</w:t>
            </w:r>
          </w:p>
        </w:tc>
      </w:tr>
      <w:tr>
        <w:tc>
          <w:tcPr>
            <w:tcW w:type="dxa" w:w="26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Documentos relacionados</w:t>
            </w:r>
          </w:p>
        </w:tc>
        <w:tc>
          <w:tcPr>
            <w:tcW w:type="dxa" w:w="70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Presentación del proyecto · Retroplanning · Doc. 02 Mapa funcional · Doc. 04 Modelo de roles y permisos</w:t>
            </w:r>
          </w:p>
        </w:tc>
      </w:tr>
    </w:tbl>
    <w:p>
      <w:pPr>
        <w:spacing w:after="240"/>
      </w:pPr>
    </w:p>
    <w:p>
      <w:pPr>
        <w:spacing w:after="200" w:before="60"/>
        <w:jc w:val="both"/>
      </w:pPr>
      <w:r>
        <w:rPr>
          <w:rFonts w:ascii="Calibri" w:cs="Calibri" w:eastAsia="Calibri" w:hAnsi="Calibri"/>
          <w:i/>
          <w:iCs/>
          <w:color w:val="64748B"/>
          <w:sz w:val="18"/>
          <w:szCs w:val="18"/>
        </w:rPr>
        <w:t xml:space="preserve">Los campos marcados como [Completar] dependen de información que no está en el sistema y debe rellenar el equipo.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 w:space="6"/>
      </w:pBdr>
      <w:tabs>
        <w:tab w:val="right" w:pos="9638"/>
      </w:tabs>
      <w:spacing w:before="120"/>
    </w:pPr>
    <w:r>
      <w:rPr>
        <w:rFonts w:ascii="Calibri" w:cs="Calibri" w:eastAsia="Calibri" w:hAnsi="Calibri"/>
        <w:color w:val="64748B"/>
        <w:sz w:val="15"/>
        <w:szCs w:val="15"/>
      </w:rPr>
      <w:t xml:space="preserve">Uso interno</w:t>
    </w:r>
    <w:r>
      <w:rPr>
        <w:sz w:val="15"/>
        <w:szCs w:val="15"/>
      </w:rPr>
      <w:t xml:space="preserve">	</w:t>
    </w:r>
    <w:r>
      <w:rPr>
        <w:rFonts w:ascii="Calibri" w:cs="Calibri" w:eastAsia="Calibri" w:hAnsi="Calibri"/>
        <w:color w:val="64748B"/>
        <w:sz w:val="15"/>
        <w:szCs w:val="15"/>
      </w:rPr>
      <w:t xml:space="preserve">Página </w:t>
    </w:r>
    <w:r>
      <w:rPr>
        <w:rFonts w:ascii="Calibri" w:cs="Calibri" w:eastAsia="Calibri" w:hAnsi="Calibri"/>
        <w:color w:val="64748B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4748B"/>
        <w:sz w:val="15"/>
        <w:szCs w:val="15"/>
      </w:rPr>
      <w:t xml:space="preserve"> de </w:t>
    </w:r>
    <w:r>
      <w:rPr>
        <w:rFonts w:ascii="Calibri" w:cs="Calibri" w:eastAsia="Calibri" w:hAnsi="Calibri"/>
        <w:color w:val="64748B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4" w:space="6"/>
      </w:pBdr>
      <w:spacing w:after="120"/>
      <w:jc w:val="right"/>
    </w:pPr>
    <w:r>
      <w:rPr>
        <w:rFonts w:ascii="Calibri" w:cs="Calibri" w:eastAsia="Calibri" w:hAnsi="Calibri"/>
        <w:color w:val="64748B"/>
        <w:sz w:val="15"/>
        <w:szCs w:val="15"/>
      </w:rPr>
      <w:t xml:space="preserve">MerchanCore · 01 · Ficha de proyecto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color w:val="1D4ED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 · Ficha de proyecto</dc:title>
  <dc:creator>MerchanOPS</dc:creator>
  <dc:description>MerchanCore · 01 · Ficha de proyecto</dc:description>
  <cp:lastModifiedBy>Un-named</cp:lastModifiedBy>
  <cp:revision>1</cp:revision>
  <dcterms:created xsi:type="dcterms:W3CDTF">2026-08-04T09:24:58.118Z</dcterms:created>
  <dcterms:modified xsi:type="dcterms:W3CDTF">2026-08-04T09:24:58.118Z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