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Calibri" w:cs="Calibri" w:eastAsia="Calibri" w:hAnsi="Calibri"/>
          <w:b/>
          <w:bCs/>
          <w:color w:val="1D4ED8"/>
          <w:spacing w:val="60"/>
          <w:sz w:val="15"/>
          <w:szCs w:val="15"/>
        </w:rPr>
        <w:t xml:space="preserve">MERCHANCORE · DOCUMENTO 02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46"/>
          <w:szCs w:val="46"/>
        </w:rPr>
        <w:t xml:space="preserve">MerchanOPS</w:t>
      </w:r>
    </w:p>
    <w:p>
      <w:pPr>
        <w:spacing w:after="200"/>
      </w:pPr>
      <w:r>
        <w:rPr>
          <w:rFonts w:ascii="Calibri" w:cs="Calibri" w:eastAsia="Calibri" w:hAnsi="Calibri"/>
          <w:color w:val="64748B"/>
          <w:sz w:val="26"/>
          <w:szCs w:val="26"/>
        </w:rPr>
        <w:t xml:space="preserve">Mapa funcional: los módulos, uno a uno</w:t>
      </w:r>
    </w:p>
    <w:p>
      <w:pPr>
        <w:pBdr>
          <w:top w:val="single" w:color="CBD5E1" w:sz="6" w:space="8"/>
        </w:pBdr>
        <w:spacing w:after="360" w:before="60"/>
      </w:pPr>
      <w:r>
        <w:rPr>
          <w:rFonts w:ascii="Calibri" w:cs="Calibri" w:eastAsia="Calibri" w:hAnsi="Calibri"/>
          <w:color w:val="64748B"/>
          <w:sz w:val="17"/>
          <w:szCs w:val="17"/>
        </w:rPr>
        <w:t xml:space="preserve">Versión 1.0 · 4 de agosto de 2026 · Documento de uso interno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Cómo leer este documento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MerchanOPS tiene veinte pantallas agrupadas en seis bloques, tal y como aparecen en el menú lateral de la aplicación. Este documento recorre cada una y responde siempre a lo mismo: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qué hace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quién la usa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y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con qué se conecta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Los accesos que aquí se indican son un resumen. El modelo completo de roles, permisos y ámbito provincial está en el Documento 04.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Vista de conjunto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600"/>
        <w:gridCol w:w="3038"/>
      </w:tblGrid>
      <w:tr>
        <w:trPr>
          <w:tblHeader/>
        </w:trPr>
        <w:tc>
          <w:tcPr>
            <w:tcW w:type="dxa" w:w="15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tcW w:type="dxa" w:w="25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Pantalla</w:t>
            </w:r>
          </w:p>
        </w:tc>
        <w:tc>
          <w:tcPr>
            <w:tcW w:type="dxa" w:w="26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type="dxa" w:w="3038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 quién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Principal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Panel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 y gestores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Gestión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Servicios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/?tab=servicios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 y gestores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Gestión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Calendario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/?tab=calendario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 y gestores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Gestión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Pagos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/?tab=pagos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 y gestores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Gestión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Aprobación de pagos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/pagos/obligaciones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 y gestores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Gestión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Grandes Campañas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/grandes-campanas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 y gestores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Gestión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Mi zona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/grandes-campanas/mi-zona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Gestores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ISDIN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Vinilos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/grandes-campanas/isdin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 y gestores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ISDIN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Llamadas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…/isdin/llamadas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 y gestores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ISDIN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Dashboard KPIs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…/isdin/dashboard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 y gestores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ISDIN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Facturación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…/isdin/facturacion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Solo administración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Operativa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Logística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/logistica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 y gestores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Operativa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Historial económico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/historial-economico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 y gestores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RR.HH.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Altas laborales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/rrhh/altas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RR.HH., administración y gestores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RR.HH.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Accesos a centro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/rrhh/accesos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RR.HH., administración y gestores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RR.HH.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Cadenas y centros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/rrhh/cadenas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RR.HH. y administración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Catálogos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Clientes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/?tab=clientes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Solo administración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Catálogos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Trabajadores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/?tab=trabajadores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 y gestores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Config.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Usuarios y permisos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/?tab=usuarios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Solo administración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Config.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Sincronización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/configuracion/sincronizacion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Solo administración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Config.</w:t>
            </w:r>
          </w:p>
        </w:tc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Avisos del sistema</w:t>
            </w:r>
          </w:p>
        </w:tc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/configuracion/avisos</w:t>
            </w:r>
          </w:p>
        </w:tc>
        <w:tc>
          <w:tcPr>
            <w:tcW w:type="dxa" w:w="3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Solo administración</w:t>
            </w:r>
          </w:p>
        </w:tc>
      </w:tr>
    </w:tbl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1. Principal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Panel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Es la pantalla de entrada y el resumen del estado de la operación: servicios activos, servicios fuera de plazo, incidencias abiertas de servicio y de punto, carga por trabajador e importes pendientes.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No es solo lectura: desde el propio Panel se resuelve una incidencia o se cambia el estado de un servicio o de un punto sin tener que entrar en la ficha.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Administración y gestores. Lo que se ve ya viene filtrado por las provincias del usuario, así que cada gestor lee su propio panel. El perfil de RR.HH. tiene una pantalla de inicio propia y no ve este Panel.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Servicios y Trabajadores.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2. Gestión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Servicios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/?tab=servicios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Es el núcleo de la aplicación. 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servicio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es un trabajo contratado por un cliente, con su CECO, su campaña, su provincia, su trabajador asignado, fecha de inicio y fecha límite, y un tipo de pago: por puntos, por horas o mixto. De cada servicio cuelgan sus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puntos de venta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cada uno con dirección, importe y estado propio.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servicio recorre diez estados, desde «Pendiente asignar» hasta «Pagado», pasando por asignación, envío de información, material, ejecución, reporte, validación e incidencia. Cada punto recorre otros siete, desde «Pendiente» hasta «Finalizado», incluyendo «Incidencia», «Pospuesto» y «Pendiente recepción post-incidencia». Esa doble máquina de estados es la que permite saber en cualquier momento qué está parado y por qué.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Desde aquí se solicita también el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material al almacén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con un evento que no se duplica aunque se pulse dos veces.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Administración y gestores con permiso Servicios. Un gestor solo ve y crea servicios en sus provincias.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Clientes y Trabajadores (de dónde salen los datos), Logística (petición de material y estado de vuelta) y Pagos (lo validado alimenta la liquidación).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Calendario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/?tab=calendario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Vista temporal de los servicios organizada por trabajador, con un color configurable por servicio para distinguir clientes o campañas de un vistazo. Sirve para ver solapes y huecos antes de asignar.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Administración y gestores con permiso Calendario.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Servicios y Trabajadores.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Pagos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/?tab=pagos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Calcula lo que corresponde pagar en un periodo. Toma los servicios validados y reparte el importe por trabajador, separando lo que viene de puntos y lo que viene de horas. Tiene filtros por fechas, trabajador y cliente, un gráfico de pagos por trabajador y exportación a CSV.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Es la vista de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cálculo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La decisión de pagar se toma en la pantalla siguiente.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Administración y gestores con permiso Pagos, cada uno sobre su ámbito.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Servicios, Trabajadores e Historial económico.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Aprobación de pagos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/pagos/obligaciones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Convierte el cálculo en una decisión con rastro. Cada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obligación de pago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recorre tres estados —calculado, revisado y cerrado— con «anulado» como única salida.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Dos reglas gobiernan la pantalla. La primera: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nada se edita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Una corrección de importe se hace anulando la línea con un motivo escrito, porque la tabla es inmutable por diseño y así queda el porqué, no solo el cuánto. La segunda: si dos personas tocan la misma línea a la vez, la segunda operación se rechaza y se avisa en pantalla, en lugar de pisar el cambio de la primera.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El gestor aprueba de principio a fin las obligaciones de su zona —revisar, cerrar y anular—; administración tiene visibilidad de todas. Es una decisión de negocio consciente: el gestor es responsable de su territorio.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Pagos, Grandes Campañas, ISDIN e Historial económico.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Grandes Campañas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/grandes-campanas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Gestiona campañas masivas de cientos de puntos que entran por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importación de Excel o CSV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Cada campaña define su propio esquema de columnas: al analizar el archivo el sistema deriva las columnas que trae, y desde «Configurar columnas» se renombran, se asocian a campos internos, se tipan (texto, número, fecha, sí/no), se marcan obligatorias, se ocultan al gestor, se ordenan o se ignoran. El archivo se revalida con esa configuración antes de crear la campaña, de modo que cada cliente puede mandar su fichero como lo tenga.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listado ofrece indicadores, filtros y un menú de acciones por campaña: ver, asignación rápida, exportar, editar, duplicar, archivar o restaurar, y borrar. Al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duplicar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se eligen qué partes se copian (puntos, importes, equipo, asignaciones); incidencias, avances y pagos no se copian nunca, y la copia nace en borrador. Al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archivar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la campaña sale del listado pero se puede restaurar.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Borrar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es exclusivo de administración y exige escribir el nombre de la campaña para confirmar.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Administración crea, edita, duplica y borra. Los gestores con permiso Servicios ven y operan las campañas que tienen puntos en sus provincias, sin acceso al presupuesto de la campaña.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Trabajadores (asignación), Logística (petición de material por punto o en bloque) y Pagos.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Asignación rápida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/grandes-campanas/[id]/asignacion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Pantalla partida para repartir trabajo en bloque. A la izquierda, los puntos filtrables con casillas de selección; a la derecha, los trabajadores con su carga real —puntos asignados, puntos abiertos e importe— y un aviso cuando alguien queda sobrecargado.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Permite asignar y desasignar en bloque, deshacer la última operación y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sugerir un reparto automático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por provincia y menor carga, siempre con vista previa antes de aplicarlo. Un gestor solo puede tocar puntos de sus provincias, aunque use la asignación masiva.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Administración y gestores con permiso Servicios.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Grandes Campañas y Trabajadores.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Mi zona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/grandes-campanas/mi-zona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vista dedicada del gestor. Reúne las campañas activas que tienen puntos en su ámbito provincial, las ordena por cuántos puntos quedan sin asignar y enlaza directamente a la asignación de cada una. Responde a una sola pregunta: qué me queda por repartir.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Gestores con permiso Servicios. Administración también puede consultarla.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Grandes Campañas y Asignación rápida.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3. ISDIN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campaña de instalación de vinilos en farmacias para ISDIN tiene volumen y reglas propias —gestión telefónica previa, medidas, andamios, revisitas y tarifas específicas—, y por eso vive en su propio bloque en lugar de dentro de Grandes Campañas.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Vinilos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/grandes-campanas/isdin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tabla operativa de la campaña: una fila por vinilo (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VIN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), con farmacia, dirección completa, medidas, tipo de registro, pago base y total previsto, instalador asignado, semana y fecha de instalación deseada, semana de pago, andamio, número de revisitas y estado logístico.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vinilo recorre seis estados: Nuevo, Resuelto - Pendiente colocador, Incidencia, Incidencia llamada, Finalizado y Cancelado. La tabla admite columnas configurables, agrupación por estado, provincia, instalador o semana, paginación, importación de XLSX y exportación a CSV.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Administración y gestores con permiso ISDIN, cada uno sobre sus provincias.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Llamadas, Dashboard KPIs, Facturación, Logística y Aprobación de pagos.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Llamadas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/grandes-campanas/isdin/llamadas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gestión telefónica previa a la visita, que es la que evita desplazamientos en balde. Por cada vinilo se registra el estado de la llamada, la persona de contacto, la fecha y hora del último intento, el comentario y la próxima visita acordada.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Cuando una llamada requiere que operaciones intervenga, la fila queda marcada con alerta para que no se pierda entre el resto.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Administración y gestores con permiso ISDIN.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Vinilos (el estado de la llamada se refleja en la ficha del vinilo) y Dashboard KPIs.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Dashboard KPIs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/grandes-campanas/isdin/dashboard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Los indicadores de la campaña ISDIN: avance por estado, reparto por provincia e instalador y seguimiento de la gestión telefónica, con exportación de los datos que hay detrás de cada indicador.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Administración y gestores con permiso ISDIN.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Vinilos y Llamadas.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Facturación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/grandes-campanas/isdin/facturacion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Construye las líneas de facturación al cliente a partir del estado de cada vinilo y de su tipo —tarifa estándar o tarifa a medida—, sumando los extras de equipo. Permite fijar las tarifas, filtrar por mes, semana, provincia y estado, y exportar el resultado.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Admite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regularizaciones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: líneas de ajuste con concepto, importe e importe negativo si procede. Igual que en la aprobación de pagos, una regularización no se borra: se anula con motivo y queda auditada.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Solo administración.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 La facturación al cliente es información sensible y está bloqueada también si se escribe la dirección directamente en el navegador.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Vinilos e Historial económico.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4. Operativa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Logística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/logistica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Es la ventana de MerchanOPS al almacén, con nueve secciones: Panel logístico, Peticiones, Entradas de almacén, Stock, Picking, Salidas y envíos, Incidencias logísticas, Pendientes de llegada y Sincronización.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Dentro de MerchanOPS es una vista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de consulta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: la operación de almacén se hace en MerchanLOGS, y cada sección enlaza a su equivalente allí. El circuito es siempre el mismo: un servicio, un punto de campaña o un vinilo genera una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necesidad de material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; las necesidades se agrupan en una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petición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; la petición se prepara y se envía; y el estado vuelve solo a la ficha de origen, sin que nadie tenga que copiarlo a mano.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subpantalla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Solicitudes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/logistica/solicitudes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 muestra las peticiones con su código trazable, pensado para poder citarlo en un correo o una llamada.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Administración y gestores con permiso Logística.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Servicios, Grandes Campañas e ISDIN (originan las necesidades) y MerchanLOGS (las resuelve).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Historial económico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/historial-economico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Es el libro de la operación. Registra tres tipos de evento —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pago a trabajador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facturación a cliente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y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extras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— con el mes contable fijado en el momento de crearlos, de modo que un cambio posterior no reescribe el pasado.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 evento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nunca se edita ni se borra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: si hay que corregirlo, se genera un reverso de importe opuesto enlazado al original, y ambos quedan a la vista. Incluye el cierre y la reapertura de mes, y una revisión automática que señala incoherencias de importes entre servicios, campañas y la campaña ISDIN.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Administración y gestores con permiso Pagos; el gestor solo ve el movimiento de sus provincias. El cierre contable es de administración.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Pagos, Aprobación de pagos y Facturación ISDIN.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5. RR.HH.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Antes de que alguien pise la calle hacen falta dos cosas: que el trabajador esté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de alta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esos días y que tenga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acceso concedido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al centro donde va a trabajar. Las dos se pedían por mensajería y las dos fallaban igual: altas duplicadas o tardías, y accesos pedidos fuera de plazo porque las reglas de cada cadena vivían en la cabeza de dos personas.</w:t>
      </w:r>
    </w:p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D4ED8" w:sz="18"/>
              <w:bottom w:val="none" w:color="FFFFFF" w:sz="0"/>
              <w:right w:val="none" w:color="FFFFFF" w:sz="0"/>
            </w:tcBorders>
            <w:shd w:fill="F1F5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La regla de diseño del módulo</w:t>
            </w:r>
          </w:p>
          <w:p>
            <w:pPr>
              <w:spacing w:after="80" w:line="270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Texto gris = lo calcula el sistema. Número de A3 y Estado = lo rellena RR.HH.</w:t>
            </w:r>
          </w:p>
          <w:p>
            <w:pPr>
              <w:spacing w:after="0" w:line="270"/>
              <w:jc w:val="both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Todo lo que se puede deducir de los datos se deduce y se muestra en gris antes de que nadie pulse nada. Solo dos columnas se teclean.</w:t>
            </w:r>
          </w:p>
        </w:tc>
      </w:tr>
    </w:tbl>
    <w:p>
      <w:pPr>
        <w:spacing w:after="240"/>
      </w:pP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Altas laborales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/rrhh/altas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Se elige un trabajador, se ven sus trabajos pendientes, se marcan los que van juntos y el sistema dice en gris qué alta hace falta y desde qué fecha, evitando pedir un alta que ya estaba cubierta o pedirla después de que el trabajo haya empezado. Debajo, la cola de altas con su número de A3 y su estado.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alta tramitada sale hacia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A3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por una cola de integración con reintentos, de modo que un fallo puntual no se pierde en silencio.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RR.HH. y administración </w:t>
      </w: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tramitan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: teclean el número de A3 y cambian el estado. Los gestores con permiso RR.HH. </w:t>
      </w: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solicitan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: marcan los trabajos y pulsan «Tramitar».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Trabajadores, Servicios, Grandes Campañas y A3.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Accesos a centro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/rrhh/accesos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Se elige trabajador, cadena y fecha de trabajo, se marcan los centros y el sistema calcula cuántos accesos hay que pedir y hasta cuándo hay plazo, aplicando las reglas de cada cadena: unas tramitan centro a centro, otras de una vez para toda la cadena, y cada una tiene su antelación.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RR.HH. y administración conceden o deniegan. Los gestores con permiso RR.HH. solicitan.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Cadenas y centros, Trabajadores y la planificación de servicios y campañas.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Cadenas y centros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/rrhh/cadenas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catálogo que alimenta a la pantalla anterior: las cadenas, sus centros, si la tramitación es centro a centro o para toda la cadena, y los días de antelación exigidos.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Es la única pantalla del módulo cerrada a los gestores, y por un motivo concreto: cambiar aquí un plazo cambia el cálculo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para todo el mundo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Solo RR.HH. y administración pueden modificarlo. No aparece en el menú de los gestores.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Accesos a centro.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6. Catálogos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Clientes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/?tab=clientes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catálogo de clientes con su nombre, su CECO y las notas asociadas. Es la referencia que usan servicios, campañas y facturación, así que se mantiene cerrado.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Solo administración.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Servicios, Grandes Campañas, Pagos y Facturación.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Trabajadores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/?tab=trabajadores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ficha de cada trabajador: nombre, teléfono, correo, provincia, capacidad, horas activas y habilidades, junto con sus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direcciones de envío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que son las que usa el almacén para mandarle el material.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Los trabajadores son fichas, no usuarios: no tienen acceso a la aplicación.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Los gestores con permiso Servicios los consultan dentro de su ámbito. Solo administración los crea, edita y borra.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Servicios, Grandes Campañas, ISDIN, Logística, Pagos y RR.HH.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7. Configuración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Usuarios y permisos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/?tab=usuarios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alta y la baja de los usuarios internos: nombre visible, usuario, contraseña, rol, provincias visibles y módulos abiertos. Desde aquí se activa o desactiva un acceso sin borrar el histórico de quien lo tuvo.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Solo administración.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Todas las pantallas: es donde se decide quién ve qué. El Documento 04 explica el modelo completo.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Sincronización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/configuracion/sincronizacion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estado del puente entre MerchanOPS y MerchanLOGS: qué necesidades y peticiones están al día, cuáles han quedado descolgadas y qué se puede reenviar.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Administración. Es la sección de Sincronización del módulo de Logística, accesible también desde ahí.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Logística y MerchanLOGS.</w:t>
      </w:r>
    </w:p>
    <w:p>
      <w:pPr>
        <w:pStyle w:val="Heading2"/>
        <w:spacing w:after="90" w:before="260"/>
      </w:pPr>
      <w:r>
        <w:rPr>
          <w:rFonts w:ascii="Calibri" w:cs="Calibri" w:eastAsia="Calibri" w:hAnsi="Calibri"/>
          <w:b/>
          <w:bCs/>
          <w:color w:val="1D4ED8"/>
          <w:sz w:val="22"/>
          <w:szCs w:val="22"/>
        </w:rPr>
        <w:t xml:space="preserve">Avisos del sistema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64748B"/>
          <w:sz w:val="16"/>
          <w:szCs w:val="16"/>
        </w:rPr>
        <w:t xml:space="preserve">Ruta   </w:t>
      </w:r>
      <w:r>
        <w:rPr>
          <w:rFonts w:ascii="Consolas" w:cs="Consolas" w:eastAsia="Consolas" w:hAnsi="Consolas"/>
          <w:color w:val="1D4ED8"/>
          <w:sz w:val="18"/>
          <w:szCs w:val="18"/>
        </w:rPr>
        <w:t xml:space="preserve">/configuracion/avisos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pantalla que existe para que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nada falle en silencio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Recoge tres cosas: los eventos de integración en error o descartados, con reintento manual; las obligaciones de pago bloqueadas por falta de fecha o de importe —dinero retenido antes que pagado con datos inventados—; y las últimas importaciones registradas, duplicados incluidos.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Merece una revisión periódica: es donde aparece un problema de integración antes de que lo note nadie más.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Quién lo usa: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Solo administración.</w:t>
      </w:r>
    </w:p>
    <w:p>
      <w:pPr>
        <w:spacing w:after="90" w:line="276"/>
        <w:ind w:left="170"/>
        <w:jc w:val="both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Conecta con: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Logística, Aprobación de pagos y las importaciones de campañas e ISDIN.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8. Lo que MerchanOPS no hace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Delimitar el alcance evita la mitad de las preguntas cruzadas entre equipos.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No es el sistema de almacén.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Entradas, stock, picking, envíos e incidencias logísticas se operan en MerchanLOGS. MerchanOPS pide y consulta.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No es el sistema laboral.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Las altas se comunican a A3, que sigue siendo el sistema de nóminas y contratación.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No tiene acceso externo.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Ni los trabajadores de calle ni los clientes entran en la aplicación. Los trabajadores son fichas de datos, no usuarios.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No emite facturas.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Prepara las líneas de facturación y las deja registradas en el historial económico; la emisión sigue fuera de la aplicación.</w:t>
      </w:r>
    </w:p>
    <w:p>
      <w:pPr>
        <w:spacing w:after="300"/>
      </w:pPr>
    </w:p>
    <w:p>
      <w:pPr>
        <w:spacing w:after="200" w:before="60"/>
        <w:jc w:val="both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Documento vivo. Cada vez que se entregue una pantalla nueva o cambie el alcance de una existente, conviene actualizar la vista de conjunto y la ficha correspondiente.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6"/>
      </w:pBdr>
      <w:tabs>
        <w:tab w:val="right" w:pos="9638"/>
      </w:tabs>
      <w:spacing w:before="120"/>
    </w:pPr>
    <w:r>
      <w:rPr>
        <w:rFonts w:ascii="Calibri" w:cs="Calibri" w:eastAsia="Calibri" w:hAnsi="Calibri"/>
        <w:color w:val="64748B"/>
        <w:sz w:val="15"/>
        <w:szCs w:val="15"/>
      </w:rPr>
      <w:t xml:space="preserve">Uso interno</w:t>
    </w:r>
    <w:r>
      <w:rPr>
        <w:sz w:val="15"/>
        <w:szCs w:val="15"/>
      </w:rPr>
      <w:t xml:space="preserve">	</w:t>
    </w:r>
    <w:r>
      <w:rPr>
        <w:rFonts w:ascii="Calibri" w:cs="Calibri" w:eastAsia="Calibri" w:hAnsi="Calibri"/>
        <w:color w:val="64748B"/>
        <w:sz w:val="15"/>
        <w:szCs w:val="15"/>
      </w:rPr>
      <w:t xml:space="preserve">Página </w:t>
    </w:r>
    <w:r>
      <w:rPr>
        <w:rFonts w:ascii="Calibri" w:cs="Calibri" w:eastAsia="Calibri" w:hAnsi="Calibri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5"/>
        <w:szCs w:val="15"/>
      </w:rPr>
      <w:t xml:space="preserve"> de </w:t>
    </w:r>
    <w:r>
      <w:rPr>
        <w:rFonts w:ascii="Calibri" w:cs="Calibri" w:eastAsia="Calibri" w:hAnsi="Calibri"/>
        <w:color w:val="64748B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6"/>
      </w:pBdr>
      <w:spacing w:after="120"/>
      <w:jc w:val="right"/>
    </w:pPr>
    <w:r>
      <w:rPr>
        <w:rFonts w:ascii="Calibri" w:cs="Calibri" w:eastAsia="Calibri" w:hAnsi="Calibri"/>
        <w:color w:val="64748B"/>
        <w:sz w:val="15"/>
        <w:szCs w:val="15"/>
      </w:rPr>
      <w:t xml:space="preserve">MerchanCore · 02 · Mapa funcional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1D4ED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· Mapa funcional</dc:title>
  <dc:creator>MerchanOPS</dc:creator>
  <dc:description>MerchanCore · 02 · Mapa funcional</dc:description>
  <cp:lastModifiedBy>Un-named</cp:lastModifiedBy>
  <cp:revision>1</cp:revision>
  <dcterms:created xsi:type="dcterms:W3CDTF">2026-08-04T09:24:58.304Z</dcterms:created>
  <dcterms:modified xsi:type="dcterms:W3CDTF">2026-08-04T09:24:58.304Z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