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Calibri" w:cs="Calibri" w:eastAsia="Calibri" w:hAnsi="Calibri"/>
          <w:b/>
          <w:bCs/>
          <w:color w:val="1D4ED8"/>
          <w:spacing w:val="60"/>
          <w:sz w:val="15"/>
          <w:szCs w:val="15"/>
        </w:rPr>
        <w:t xml:space="preserve">MERCHANCORE · DOCUMENTO 04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46"/>
          <w:szCs w:val="46"/>
        </w:rPr>
        <w:t xml:space="preserve">MerchanOPS</w:t>
      </w:r>
    </w:p>
    <w:p>
      <w:pPr>
        <w:spacing w:after="200"/>
      </w:pPr>
      <w:r>
        <w:rPr>
          <w:rFonts w:ascii="Calibri" w:cs="Calibri" w:eastAsia="Calibri" w:hAnsi="Calibri"/>
          <w:color w:val="64748B"/>
          <w:sz w:val="26"/>
          <w:szCs w:val="26"/>
        </w:rPr>
        <w:t xml:space="preserve">Modelo de roles y permisos: quién ve qué, y por qué</w:t>
      </w:r>
    </w:p>
    <w:p>
      <w:pPr>
        <w:pBdr>
          <w:top w:val="single" w:color="CBD5E1" w:sz="6" w:space="8"/>
        </w:pBdr>
        <w:spacing w:after="360" w:before="60"/>
      </w:pPr>
      <w:r>
        <w:rPr>
          <w:rFonts w:ascii="Calibri" w:cs="Calibri" w:eastAsia="Calibri" w:hAnsi="Calibri"/>
          <w:color w:val="64748B"/>
          <w:sz w:val="17"/>
          <w:szCs w:val="17"/>
        </w:rPr>
        <w:t xml:space="preserve">Versión 1.0 · 4 de agosto de 2026 · Documento de uso interno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1. Los tres ejes del control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 MerchanOPS el acceso no se decide con un solo interruptor, sino con tres que se combinan. Entender esto explica el 90 % de las preguntas del tipo «¿por qué esta persona no ve esta pantalla?».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tblHeader/>
        </w:trPr>
        <w:tc>
          <w:tcPr>
            <w:tcW w:type="dxa" w:w="2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Eje</w:t>
            </w:r>
          </w:p>
        </w:tc>
        <w:tc>
          <w:tcPr>
            <w:tcW w:type="dxa" w:w="3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decide</w:t>
            </w:r>
          </w:p>
        </w:tc>
        <w:tc>
          <w:tcPr>
            <w:tcW w:type="dxa" w:w="4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Quién lo fija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El rol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Qué clase de usuario es. Cuatro valores posibles.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Administración, al crear o editar el usuario.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El permiso de módulo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Qué secciones aparecen en su menú. Siete interruptores.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Administración. Solo son editables en el rol Gestor; los demás roles los tienen fijados.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El ámbito provincial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Sobre qué datos actúa: qué servicios, puntos, trabajadores y pagos existen para esa persona.</w:t>
            </w:r>
          </w:p>
        </w:tc>
        <w:tc>
          <w:tcPr>
            <w:tcW w:type="dxa" w:w="4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Administración, marcando provincias. Solo aplica al rol Gestor.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D4ED8" w:sz="18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Los tres ejes son acumulativos</w:t>
            </w:r>
          </w:p>
          <w:p>
            <w:pPr>
              <w:spacing w:after="0" w:line="270"/>
              <w:jc w:val="both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 gestor con permiso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Pagos</w:t>
            </w: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 no ve «los pagos». Ve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los pagos de sus provincias</w:t>
            </w: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. Si mañana se le quita una provincia, esos importes desaparecen de su pantalla sin tocar el permiso.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2. Los cuatro 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3200"/>
        <w:gridCol w:w="3238"/>
      </w:tblGrid>
      <w:tr>
        <w:trPr>
          <w:tblHeader/>
        </w:trPr>
        <w:tc>
          <w:tcPr>
            <w:tcW w:type="dxa" w:w="13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pantalla</w:t>
            </w:r>
          </w:p>
        </w:tc>
        <w:tc>
          <w:tcPr>
            <w:tcW w:type="dxa" w:w="3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 es</w:t>
            </w:r>
          </w:p>
        </w:tc>
        <w:tc>
          <w:tcPr>
            <w:tcW w:type="dxa" w:w="3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Ámbito</w:t>
            </w:r>
          </w:p>
        </w:tc>
      </w:tr>
      <w:tr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Dirección y administración. Acceso completo por definición del rol.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Todas las provincias</w:t>
            </w:r>
          </w:p>
        </w:tc>
      </w:tr>
      <w:tr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manager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Gestores de zona. Es el único rol configurable: se le abren módulos y se le asignan provincias.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Las provincias que se le asignen</w:t>
            </w:r>
          </w:p>
        </w:tc>
      </w:tr>
      <w:tr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rrhh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El equipo que tramita altas laborales y accesos a centro. Solo ve su módulo, pero lo ve entero.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Nacional, sin provincias</w:t>
            </w:r>
          </w:p>
        </w:tc>
      </w:tr>
      <w:tr>
        <w:tc>
          <w:tcPr>
            <w:tcW w:type="dxa" w:w="13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almacen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Almacén</w:t>
            </w:r>
          </w:p>
        </w:tc>
        <w:tc>
          <w:tcPr>
            <w:tcW w:type="dxa" w:w="3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Perfil del picking móvil de MerchanLOGS. No opera dentro de MerchanOPS.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Sin ámbito en MerchanOPS</w:t>
            </w:r>
          </w:p>
        </w:tc>
      </w:tr>
    </w:tbl>
    <w:p>
      <w:pPr>
        <w:spacing w:after="200"/>
      </w:pPr>
    </w:p>
    <w:p>
      <w:pPr>
        <w:spacing w:after="13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Sobre el rol Almacén.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Existe para que el personal de almacén tenga identidad propia en el sistema compartido con MerchanLOGS. Dentro de MerchanOPS no tiene ningún módulo abierto ni provincias asignadas: al entrar solo encuentra el Panel, y le aparece vacío. Es el comportamiento esperado, no un error.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Sobre el rol RR.HH.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No se le asignan provincias porque tramita altas y accesos de toda España. Cualquier regla que filtre por provincia tiene que contemplarlo de forma explícita.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3. Los siete permisos de módulo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Cada permiso es un interruptor que abre un conjunto de pantallas.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3238"/>
      </w:tblGrid>
      <w:tr>
        <w:trPr>
          <w:tblHeader/>
        </w:trPr>
        <w:tc>
          <w:tcPr>
            <w:tcW w:type="dxa" w:w="1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Permiso</w:t>
            </w:r>
          </w:p>
        </w:tc>
        <w:tc>
          <w:tcPr>
            <w:tcW w:type="dxa" w:w="4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abre</w:t>
            </w:r>
          </w:p>
        </w:tc>
        <w:tc>
          <w:tcPr>
            <w:tcW w:type="dxa" w:w="3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servicios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Servicios, Trabajadores, Nuevo servicio, Grandes Campañas, Asignación rápida y Mi zona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Es el permiso operativo básico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calendario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Calendario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pagos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Pagos, Aprobación de pagos e Historial económico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Siempre limitado a las provincias del usuario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Vinilos, Llamadas y Dashboard KPIs de ISDIN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 Facturación ISDIN queda fuera: es solo de administración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logistica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Logística y sus nueve secciones, y Solicitudes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Vista de consulta; la operación está en MerchanLOGS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rrhh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Altas laborales y Accesos a centro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Abre para SOLICITAR, no para tramitar. Ver el apartado 6</w:t>
            </w:r>
          </w:p>
        </w:tc>
      </w:tr>
      <w:tr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usuarios</w:t>
            </w:r>
          </w:p>
        </w:tc>
        <w:tc>
          <w:tcPr>
            <w:tcW w:type="dxa" w:w="4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Usuarios y permisos</w:t>
            </w:r>
          </w:p>
        </w:tc>
        <w:tc>
          <w:tcPr>
            <w:tcW w:type="dxa" w:w="3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Reservado a administración: el sistema lo fuerza a apagado en cualquier otro rol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4. Qué recibe cada rol de fábrica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8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20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Permiso</w:t>
            </w:r>
          </w:p>
        </w:tc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Almacén</w:t>
            </w:r>
          </w:p>
        </w:tc>
        <w:tc>
          <w:tcPr>
            <w:tcW w:type="dxa" w:w="19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RR.HH.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servicios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calendario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pagos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logistica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rrhh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 · editable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20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usuarios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Sí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 · forzado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</w:tbl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«Editable» significa que administración puede apagar ese módulo para un gestor concreto desde Usuarios y permisos. Los roles Almacén y RR.HH. tienen la matriz fijada por el sistema y no admiten ajuste manual.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5. Lo que solo puede Administración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Hay capacidades que no dependen de ningún permiso: están reservadas al rol de administración y se bloquean también si se escribe la dirección directamente en el navegador.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Ver los datos financieros del cliente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presupuesto de campaña, facturación ISDIN y márgenes. Un gestor ve lo que se paga al trabajador, nunca lo que se cobra al cliente.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Crear, editar, duplicar y borrar campañas.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El gestor opera la campaña; no cambia su estructura.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Gestionar usuarios y permisos.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Mantener el catálogo de clientes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y crear, editar o borrar trabajadores.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Cerrar y reabrir el mes contable.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Revisar los avisos del sistema y la sincronización con MerchanLOGS.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6. RR.HH.: tramitar no es lo mismo que solicitar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módulo de RR.HH. es el único con dos niveles dentro de la misma pantalla, y confundirlos tiene consecuencias reales.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38"/>
      </w:tblGrid>
      <w:tr>
        <w:trPr>
          <w:tblHeader/>
        </w:trPr>
        <w:tc>
          <w:tcPr>
            <w:tcW w:type="dxa" w:w="22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7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Quién</w:t>
            </w:r>
          </w:p>
        </w:tc>
        <w:tc>
          <w:tcPr>
            <w:tcW w:type="dxa" w:w="37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Solicitar</w:t>
            </w:r>
          </w:p>
        </w:tc>
        <w:tc>
          <w:tcPr>
            <w:tcW w:type="dxa" w:w="3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Gestores con permiso RR.HH.</w:t>
            </w:r>
          </w:p>
        </w:tc>
        <w:tc>
          <w:tcPr>
            <w:tcW w:type="dxa" w:w="37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Marcar los trabajos que van juntos y pedir el alta; elegir centros y pedir el acceso. Nada más.</w:t>
            </w:r>
          </w:p>
        </w:tc>
      </w:tr>
      <w:tr>
        <w:tc>
          <w:tcPr>
            <w:tcW w:type="dxa" w:w="22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Tramitar</w:t>
            </w:r>
          </w:p>
        </w:tc>
        <w:tc>
          <w:tcPr>
            <w:tcW w:type="dxa" w:w="37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 y administración</w:t>
            </w:r>
          </w:p>
        </w:tc>
        <w:tc>
          <w:tcPr>
            <w:tcW w:type="dxa" w:w="37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Teclear el número de A3, cambiar el estado de una solicitud, conceder o denegar un acceso y mantener el catálogo de cadenas y centros.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D4ED8" w:sz="18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Por qué el catálogo de cadenas está cerrado</w:t>
            </w:r>
          </w:p>
          <w:p>
            <w:pPr>
              <w:spacing w:after="0" w:line="270"/>
              <w:jc w:val="both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Los días de antelación de cada cadena son los que el sistema usa para calcular el plazo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de todo el mundo</w:t>
            </w: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. Si una gestora pudiera cambiarlos, cambiaría el cálculo para el resto del equipo sin saberlo. Por eso «Cadenas y centros» no aparece en su menú y, aunque llegue a la pantalla, no puede modificar nada.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7. El ámbito provincial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provincia es el filtro que convierte una aplicación nacional en la herramienta de cada gestor. Se aplica sobre los trabajadores, los servicios y sus puntos, los puntos de campaña, los vinilos de ISDIN y las líneas de pago.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7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ve el usuario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Todo, sin filtro.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 con provincias asignadas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los datos de esas provincias. Los indicadores del Panel y de los listados se recalculan sobre su ámbito, así que sus totales no coinciden con los de administración: es correcto.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Gestor sin provincias asignadas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Las pantallas se abren pero aparecen vacías. No es un error: es un usuario al que falta terminar de configurar.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RR.HH.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Ámbito nacional en su módulo. No se le asignan provincias.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Almacén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Sin ámbito. El Panel le aparece vacío.</w:t>
            </w:r>
          </w:p>
        </w:tc>
      </w:tr>
    </w:tbl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El catálogo del sistema incluye las provincias españolas; a fecha de este documento hay doce con operación real.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8. Matriz de acceso por pantalla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Resumen de las veintiuna pantallas frente a los cuatro roles. «Su zona» significa que la pantalla se abre pero solo con los datos de las provincias asignadas.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538"/>
        <w:gridCol w:w="1500"/>
        <w:gridCol w:w="1500"/>
      </w:tblGrid>
      <w:tr>
        <w:trPr>
          <w:tblHeader/>
        </w:trPr>
        <w:tc>
          <w:tcPr>
            <w:tcW w:type="dxa" w:w="26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1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Admin.</w:t>
            </w:r>
          </w:p>
        </w:tc>
        <w:tc>
          <w:tcPr>
            <w:tcW w:type="dxa" w:w="25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Almacén</w:t>
            </w:r>
          </w:p>
        </w:tc>
        <w:tc>
          <w:tcPr>
            <w:tcW w:type="dxa" w:w="15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RR.HH.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Panel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Vacío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Servicios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Servicios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Calendario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Calendario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Pagos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Pagos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Aprobación de pagos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Pagos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Grandes Campañas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Servicios · sin crear ni editar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Asignación rápida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Sus puntos · permiso Servicios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Mi zona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Servicios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 · Vinilos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ISDIN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 · Llamadas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ISDIN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 · Dashboard KPIs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ISDIN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ISDIN · Facturación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Logística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Permiso Logística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Historial económico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Su zona · permiso Pagos · sin cierre de mes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 · Altas laborales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Tramita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Solicita · permiso RR.HH.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Tramita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 · Accesos a centro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Tramita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Solicita · permiso RR.HH.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Tramita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RR.HH. · Cadenas y centros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Solo consulta, fuera del menú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Clientes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Trabajadores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Consulta · permiso Servicios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Usuarios y permisos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Fuera del menú · permiso Logística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9"/>
                <w:szCs w:val="19"/>
              </w:rPr>
              <w:t xml:space="preserve">Avisos del sistema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Completo</w:t>
            </w:r>
          </w:p>
        </w:tc>
        <w:tc>
          <w:tcPr>
            <w:tcW w:type="dxa" w:w="25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</w:t>
            </w:r>
          </w:p>
        </w:tc>
      </w:tr>
    </w:tbl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«Fuera del menú» indica pantallas que no aparecen en la navegación del gestor pero a las que el permiso correspondiente le daría entrada si escribiera la dirección. Están señaladas para que la decisión sea consciente.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9. Cómo se aplica el control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 permiso se comprueba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dos capas independientes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y esa es la parte importante del modelo.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 aplicación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Oculta del menú lo que no corresponde y bloquea cada pantalla, también cuando se llega escribiendo la dirección directamente.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 base de datos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Aplica sus propias reglas sobre las 48 tablas (Row Level Security). Aunque alguien esquivara la pantalla, la base devolvería solo lo que le corresponde a ese usuario.</w:t>
            </w:r>
          </w:p>
        </w:tc>
      </w:tr>
    </w:tbl>
    <w:p>
      <w:pPr>
        <w:spacing w:after="220"/>
      </w:pPr>
    </w:p>
    <w:p>
      <w:pPr>
        <w:spacing w:after="13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Además: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visitante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sin sesión no tiene acceso a nada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ni a una tabla ni a una columna.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contraseña se verifica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 el servidor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su huella nunca sale de la base de datos, ni siquiera hacia la propia aplicación.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Los intentos de acceso fallidos se registran y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bloquean temporalmente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el usuario.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Si la sesión del navegador deja de tener detrás una sesión válida, se cierra y se obliga a entrar de nuevo.</w:t>
      </w:r>
    </w:p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10. Ciclo de vida de un usuario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7238"/>
            <w:tcBorders>
              <w:top w:val="single" w:color="0F172A" w:sz="2"/>
              <w:left w:val="single" w:color="0F172A" w:sz="2"/>
              <w:bottom w:val="single" w:color="0F172A" w:sz="2"/>
              <w:right w:val="single" w:color="0F172A" w:sz="2"/>
            </w:tcBorders>
            <w:shd w:fill="0F172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ocurre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Alta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Administración crea el usuario desde «Usuarios y permisos» con nombre visible, usuario, contraseña, rol y —si es gestor— provincias y módulos.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Cambio de rol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Cambiar el rol </w:t>
            </w: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reescribe la matriz de permisos</w:t>
            </w: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 del usuario. Conviene revisar sus módulos y provincias después de hacerlo.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Cambio de contraseña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Cada usuario puede cambiar la suya desde su propio menú. Administración puede fijar una nueva; dejar el campo en blanco al editar conserva la actual.</w:t>
            </w:r>
          </w:p>
        </w:tc>
      </w:tr>
      <w:tr>
        <w:tc>
          <w:tcPr>
            <w:tcW w:type="dxa" w:w="2400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Baja</w:t>
            </w:r>
          </w:p>
        </w:tc>
        <w:tc>
          <w:tcPr>
            <w:tcW w:type="dxa" w:w="7238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Se </w:t>
            </w: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desactiva</w:t>
            </w: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, no se borra. Un usuario inactivo no puede entrar, pero su rastro en campañas, pagos y auditoría se conserva.</w:t>
            </w:r>
          </w:p>
        </w:tc>
      </w:tr>
    </w:tbl>
    <w:p>
      <w:pPr>
        <w:pStyle w:val="Heading1"/>
        <w:pBdr>
          <w:bottom w:val="single" w:color="CBD5E1" w:sz="6" w:space="6"/>
        </w:pBdr>
        <w:spacing w:after="160" w:before="400"/>
      </w:pPr>
      <w:r>
        <w:rPr>
          <w:rFonts w:ascii="Calibri" w:cs="Calibri" w:eastAsia="Calibri" w:hAnsi="Calibri"/>
          <w:b/>
          <w:bCs/>
          <w:color w:val="0F172A"/>
          <w:sz w:val="27"/>
          <w:szCs w:val="27"/>
        </w:rPr>
        <w:t xml:space="preserve">11. Reglas de oro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El permiso «usuarios» nunca se concede a quien no es administrador.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El sistema lo apaga automáticamente aunque se marque.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 rol desconocido se degrada a Gestor.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Si en el futuro se añade un rol nuevo, hay que darlo de alta también en el código: de lo contrario el usuario baja a gestor en silencio.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 gestor sin provincias no ve datos.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Ante un «no me sale nada», lo primero que hay que mirar son sus provincias, no sus permisos.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Desactivar es siempre mejor que borrar.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Conserva la trazabilidad de quién hizo qué.</w:t>
      </w:r>
    </w:p>
    <w:p>
      <w:pPr>
        <w:pStyle w:val="ListParagraph"/>
        <w:numPr>
          <w:ilvl w:val="0"/>
          <w:numId w:val="2"/>
        </w:numPr>
        <w:spacing w:after="70" w:line="276"/>
        <w:jc w:val="both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Los totales de un gestor no cuadran con los de administración, y es correcto.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Cada uno se calcula sobre un ámbito distinto.</w:t>
      </w:r>
    </w:p>
    <w:p>
      <w:pPr>
        <w:spacing w:after="300"/>
      </w:pPr>
    </w:p>
    <w:p>
      <w:pPr>
        <w:spacing w:after="200" w:before="60"/>
        <w:jc w:val="both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Este documento describe el modelo tal y como está implementado a 4 de agosto de 2026. Las diferencias conocidas entre lo que restringe la pantalla y lo que restringe la base de datos están recogidas en la auditoría técnica del 29 de julio de 2026 y en su plan de remediación.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6"/>
      </w:pBdr>
      <w:tabs>
        <w:tab w:val="right" w:pos="9638"/>
      </w:tabs>
      <w:spacing w:before="120"/>
    </w:pPr>
    <w:r>
      <w:rPr>
        <w:rFonts w:ascii="Calibri" w:cs="Calibri" w:eastAsia="Calibri" w:hAnsi="Calibri"/>
        <w:color w:val="64748B"/>
        <w:sz w:val="15"/>
        <w:szCs w:val="15"/>
      </w:rPr>
      <w:t xml:space="preserve">Uso interno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64748B"/>
        <w:sz w:val="15"/>
        <w:szCs w:val="15"/>
      </w:rPr>
      <w:t xml:space="preserve">Página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5"/>
        <w:szCs w:val="15"/>
      </w:rPr>
      <w:t xml:space="preserve"> de </w:t>
    </w:r>
    <w:r>
      <w:rPr>
        <w:rFonts w:ascii="Calibri" w:cs="Calibri" w:eastAsia="Calibri" w:hAnsi="Calibri"/>
        <w:color w:val="64748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spacing w:after="120"/>
      <w:jc w:val="right"/>
    </w:pPr>
    <w:r>
      <w:rPr>
        <w:rFonts w:ascii="Calibri" w:cs="Calibri" w:eastAsia="Calibri" w:hAnsi="Calibri"/>
        <w:color w:val="64748B"/>
        <w:sz w:val="15"/>
        <w:szCs w:val="15"/>
      </w:rPr>
      <w:t xml:space="preserve">MerchanCore · 04 · Modelo de roles y permisos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Modelo de roles y permisos</dc:title>
  <dc:creator>MerchanOPS</dc:creator>
  <dc:description>MerchanCore · 04 · Modelo de roles y permisos</dc:description>
  <cp:lastModifiedBy>Un-named</cp:lastModifiedBy>
  <cp:revision>1</cp:revision>
  <dcterms:created xsi:type="dcterms:W3CDTF">2026-08-04T09:28:28.918Z</dcterms:created>
  <dcterms:modified xsi:type="dcterms:W3CDTF">2026-08-04T09:28:28.919Z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