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B8" w:rsidRPr="00D815B8" w:rsidRDefault="00D815B8">
      <w:pPr>
        <w:rPr>
          <w:color w:val="FF0000"/>
        </w:rPr>
      </w:pPr>
      <w:r>
        <w:t xml:space="preserve">1) </w:t>
      </w:r>
      <w:r>
        <w:rPr>
          <w:color w:val="FF0000"/>
        </w:rPr>
        <w:t xml:space="preserve">Update to better show mechanistically the changes that were made. </w:t>
      </w:r>
    </w:p>
    <w:p w:rsidR="00BC427D" w:rsidRDefault="00DA18F9">
      <w:r>
        <w:rPr>
          <w:noProof/>
        </w:rPr>
        <w:drawing>
          <wp:inline distT="0" distB="0" distL="0" distR="0">
            <wp:extent cx="5943600" cy="769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F9" w:rsidRDefault="001629A1">
      <w:r>
        <w:lastRenderedPageBreak/>
        <w:t>2</w:t>
      </w:r>
    </w:p>
    <w:p w:rsidR="00207807" w:rsidRDefault="001629A1">
      <w:r>
        <w:rPr>
          <w:noProof/>
        </w:rPr>
        <w:drawing>
          <wp:inline distT="0" distB="0" distL="0" distR="0">
            <wp:extent cx="5943600" cy="7863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07" w:rsidRDefault="00207807">
      <w:r>
        <w:lastRenderedPageBreak/>
        <w:t>3</w:t>
      </w:r>
    </w:p>
    <w:p w:rsidR="00207807" w:rsidRDefault="00207807">
      <w:r>
        <w:rPr>
          <w:noProof/>
        </w:rPr>
        <w:drawing>
          <wp:inline distT="0" distB="0" distL="0" distR="0">
            <wp:extent cx="5943600" cy="7108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07" w:rsidRDefault="00207807"/>
    <w:p w:rsidR="00207807" w:rsidRDefault="00207807"/>
    <w:p w:rsidR="000F11A1" w:rsidRDefault="00CA1400" w:rsidP="00CA1400">
      <w:r>
        <w:lastRenderedPageBreak/>
        <w:t>4</w:t>
      </w:r>
    </w:p>
    <w:p w:rsidR="00D815B8" w:rsidRDefault="000F11A1" w:rsidP="00CA1400">
      <w:r w:rsidRPr="000F11A1">
        <w:rPr>
          <w:noProof/>
        </w:rPr>
        <w:drawing>
          <wp:inline distT="0" distB="0" distL="0" distR="0">
            <wp:extent cx="5943600" cy="4887687"/>
            <wp:effectExtent l="0" t="0" r="0" b="0"/>
            <wp:docPr id="15" name="Picture 15" descr="C:\Users\Edwin\Downloads\Figure_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win\Downloads\Figure_4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A1400">
        <w:t xml:space="preserve"> </w:t>
      </w:r>
    </w:p>
    <w:p w:rsidR="00CA1400" w:rsidRDefault="00CA1400" w:rsidP="00CA140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D815B8" w:rsidRDefault="00D815B8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A68D9" w:rsidRDefault="000A68D9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A68D9" w:rsidRDefault="000A68D9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A68D9" w:rsidRDefault="000A68D9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A68D9" w:rsidRDefault="000A68D9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A68D9" w:rsidRDefault="000A68D9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D815B8" w:rsidRDefault="00D815B8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814096" w:rsidRPr="00C97287" w:rsidRDefault="00D815B8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5) </w:t>
      </w:r>
      <w:r w:rsidR="0081409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Update the following figures to include central carbon metabolism comparisons for aerobic and anaerobic conditions to demonstrate the visualization capabilities of pathways of interest. </w:t>
      </w:r>
    </w:p>
    <w:p w:rsidR="00814096" w:rsidRPr="007E2B17" w:rsidRDefault="00814096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5AD2CE7" wp14:editId="7FA06392">
            <wp:extent cx="59436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814096"/>
    <w:sectPr w:rsidR="0081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8F9"/>
    <w:rsid w:val="000A68D9"/>
    <w:rsid w:val="000F11A1"/>
    <w:rsid w:val="001629A1"/>
    <w:rsid w:val="00165C8E"/>
    <w:rsid w:val="00207807"/>
    <w:rsid w:val="003F4DC4"/>
    <w:rsid w:val="004E7E1F"/>
    <w:rsid w:val="00814096"/>
    <w:rsid w:val="008E4908"/>
    <w:rsid w:val="00AE2D11"/>
    <w:rsid w:val="00B54143"/>
    <w:rsid w:val="00CA1400"/>
    <w:rsid w:val="00D815B8"/>
    <w:rsid w:val="00DA18F9"/>
    <w:rsid w:val="00E9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71FC"/>
  <w15:chartTrackingRefBased/>
  <w15:docId w15:val="{FDEE33F5-8FA3-4CD8-BBAD-A206423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5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4354</TotalTime>
  <Pages>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Gibb</dc:creator>
  <cp:keywords/>
  <dc:description/>
  <cp:lastModifiedBy>Edwin Gibb</cp:lastModifiedBy>
  <cp:revision>6</cp:revision>
  <cp:lastPrinted>2017-07-19T02:15:00Z</cp:lastPrinted>
  <dcterms:created xsi:type="dcterms:W3CDTF">2017-07-14T01:09:00Z</dcterms:created>
  <dcterms:modified xsi:type="dcterms:W3CDTF">2017-07-19T02:23:00Z</dcterms:modified>
</cp:coreProperties>
</file>