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F5015" w14:textId="6DE15F41" w:rsidR="00907100" w:rsidRPr="00D76DC8" w:rsidRDefault="00907100">
      <w:pPr>
        <w:rPr>
          <w:sz w:val="32"/>
          <w:szCs w:val="32"/>
        </w:rPr>
      </w:pPr>
      <w:r w:rsidRPr="00D76DC8">
        <w:rPr>
          <w:sz w:val="32"/>
          <w:szCs w:val="32"/>
        </w:rPr>
        <w:t xml:space="preserve">The </w:t>
      </w:r>
      <w:r w:rsidR="00310748" w:rsidRPr="00D76DC8">
        <w:rPr>
          <w:sz w:val="32"/>
          <w:szCs w:val="32"/>
        </w:rPr>
        <w:t xml:space="preserve">combined </w:t>
      </w:r>
      <w:r w:rsidRPr="00D76DC8">
        <w:rPr>
          <w:sz w:val="32"/>
          <w:szCs w:val="32"/>
        </w:rPr>
        <w:t>effect</w:t>
      </w:r>
      <w:r w:rsidR="0021352B" w:rsidRPr="00D76DC8">
        <w:rPr>
          <w:sz w:val="32"/>
          <w:szCs w:val="32"/>
        </w:rPr>
        <w:t>s</w:t>
      </w:r>
      <w:r w:rsidRPr="00D76DC8">
        <w:rPr>
          <w:sz w:val="32"/>
          <w:szCs w:val="32"/>
        </w:rPr>
        <w:t xml:space="preserve"> of </w:t>
      </w:r>
      <w:r w:rsidR="00653D4F" w:rsidRPr="00D76DC8">
        <w:rPr>
          <w:sz w:val="32"/>
          <w:szCs w:val="32"/>
        </w:rPr>
        <w:t xml:space="preserve">scale and </w:t>
      </w:r>
      <w:r w:rsidR="0021352B" w:rsidRPr="00D76DC8">
        <w:rPr>
          <w:sz w:val="32"/>
          <w:szCs w:val="32"/>
        </w:rPr>
        <w:t xml:space="preserve">conflicting </w:t>
      </w:r>
      <w:r w:rsidRPr="00D76DC8">
        <w:rPr>
          <w:sz w:val="32"/>
          <w:szCs w:val="32"/>
        </w:rPr>
        <w:t>range size method</w:t>
      </w:r>
      <w:r w:rsidR="0021352B" w:rsidRPr="00D76DC8">
        <w:rPr>
          <w:sz w:val="32"/>
          <w:szCs w:val="32"/>
        </w:rPr>
        <w:t>s</w:t>
      </w:r>
      <w:r w:rsidR="003E4BE1" w:rsidRPr="00D76DC8">
        <w:rPr>
          <w:sz w:val="32"/>
          <w:szCs w:val="32"/>
        </w:rPr>
        <w:t xml:space="preserve"> </w:t>
      </w:r>
      <w:r w:rsidRPr="00D76DC8">
        <w:rPr>
          <w:sz w:val="32"/>
          <w:szCs w:val="32"/>
        </w:rPr>
        <w:t xml:space="preserve">on patterns of weighted endemism. </w:t>
      </w:r>
    </w:p>
    <w:p w14:paraId="0B6354B5" w14:textId="60956752" w:rsidR="00FA08FD" w:rsidRPr="004A1FAE" w:rsidRDefault="00310748" w:rsidP="00C96675">
      <w:pPr>
        <w:spacing w:after="0"/>
      </w:pPr>
      <w:r w:rsidRPr="004A1FAE">
        <w:t>Tayla Lawrie (44797836)</w:t>
      </w:r>
    </w:p>
    <w:p w14:paraId="113D66CC" w14:textId="77777777" w:rsidR="00552A99" w:rsidRPr="004A1FAE" w:rsidRDefault="00552A99" w:rsidP="00C96675">
      <w:pPr>
        <w:spacing w:after="0"/>
      </w:pPr>
      <w:r w:rsidRPr="004A1FAE">
        <w:t>School of Biological Sciences,</w:t>
      </w:r>
    </w:p>
    <w:p w14:paraId="7B9D621E" w14:textId="77777777" w:rsidR="00552A99" w:rsidRPr="004A1FAE" w:rsidRDefault="00552A99" w:rsidP="00C96675">
      <w:pPr>
        <w:spacing w:after="0"/>
      </w:pPr>
      <w:r w:rsidRPr="004A1FAE">
        <w:t>The University of Queensland</w:t>
      </w:r>
    </w:p>
    <w:p w14:paraId="5FCA1A13" w14:textId="77777777" w:rsidR="00552A99" w:rsidRPr="004A1FAE" w:rsidRDefault="00552A99" w:rsidP="00C96675">
      <w:pPr>
        <w:spacing w:after="0"/>
      </w:pPr>
      <w:r w:rsidRPr="004A1FAE">
        <w:t>St Lucia, QLD 4072</w:t>
      </w:r>
    </w:p>
    <w:p w14:paraId="579610CA" w14:textId="653D95E2" w:rsidR="00F56F28" w:rsidRPr="004A1FAE" w:rsidRDefault="00552A99" w:rsidP="00C12876">
      <w:r w:rsidRPr="004A1FAE">
        <w:t>t.lawrie@uq.net.au</w:t>
      </w:r>
    </w:p>
    <w:p w14:paraId="06942E8C" w14:textId="77777777" w:rsidR="00D76DC8" w:rsidRDefault="00D76DC8" w:rsidP="00D76DC8">
      <w:pPr>
        <w:pStyle w:val="NoSpacing"/>
      </w:pPr>
    </w:p>
    <w:p w14:paraId="65B6EFCF" w14:textId="26DCFAF4" w:rsidR="00FA08FD" w:rsidRPr="00272C66" w:rsidRDefault="00FA08FD" w:rsidP="004A1FAE">
      <w:pPr>
        <w:rPr>
          <w:b/>
          <w:bCs/>
          <w:sz w:val="24"/>
          <w:szCs w:val="24"/>
        </w:rPr>
      </w:pPr>
      <w:r w:rsidRPr="00272C66">
        <w:rPr>
          <w:b/>
          <w:bCs/>
          <w:sz w:val="24"/>
          <w:szCs w:val="24"/>
        </w:rPr>
        <w:t xml:space="preserve">Abstract </w:t>
      </w:r>
    </w:p>
    <w:p w14:paraId="6CA221D1" w14:textId="1F1A44D6" w:rsidR="00886514" w:rsidRDefault="0098672D" w:rsidP="00CD4263">
      <w:pPr>
        <w:jc w:val="both"/>
      </w:pPr>
      <w:r w:rsidRPr="00BC3B82">
        <w:rPr>
          <w:b/>
          <w:bCs/>
        </w:rPr>
        <w:t>Aim:</w:t>
      </w:r>
      <w:r>
        <w:t xml:space="preserve"> </w:t>
      </w:r>
      <w:r w:rsidR="003A1BF0">
        <w:t xml:space="preserve">The </w:t>
      </w:r>
      <w:proofErr w:type="gramStart"/>
      <w:r w:rsidR="003A1BF0">
        <w:t>most commonly used</w:t>
      </w:r>
      <w:proofErr w:type="gramEnd"/>
      <w:r w:rsidR="003A1BF0">
        <w:t xml:space="preserve"> method </w:t>
      </w:r>
      <w:r w:rsidR="004B6556">
        <w:t>of</w:t>
      </w:r>
      <w:r w:rsidR="009F0340">
        <w:t xml:space="preserve"> </w:t>
      </w:r>
      <w:r w:rsidR="003A1BF0">
        <w:t>calculating species</w:t>
      </w:r>
      <w:r w:rsidR="00A51D7E">
        <w:t>’</w:t>
      </w:r>
      <w:r w:rsidR="003A1BF0">
        <w:t xml:space="preserve"> range sizes for weighted endemism is area of occupancy (AOO). </w:t>
      </w:r>
      <w:r w:rsidR="00827B4E">
        <w:t xml:space="preserve">An alternative and less utilised method is extent of occurrence (EOO). </w:t>
      </w:r>
      <w:r w:rsidR="00D00F7E" w:rsidRPr="00D00F7E">
        <w:t>As each method gives different interpretations of what it means to be ‘restricted’ as an endemic species</w:t>
      </w:r>
      <w:r w:rsidR="00C70D6C">
        <w:t xml:space="preserve">, we see considerably different </w:t>
      </w:r>
      <w:r w:rsidR="004C5FC9">
        <w:t xml:space="preserve">patterns of weighted endemism when each method </w:t>
      </w:r>
      <w:proofErr w:type="gramStart"/>
      <w:r w:rsidR="004C5FC9">
        <w:t>is used</w:t>
      </w:r>
      <w:proofErr w:type="gramEnd"/>
      <w:r w:rsidR="004C5FC9">
        <w:t xml:space="preserve">. </w:t>
      </w:r>
      <w:r w:rsidR="00A51E26">
        <w:t xml:space="preserve">As </w:t>
      </w:r>
      <w:r w:rsidR="00AE1C1E">
        <w:t xml:space="preserve">the difference between AOO and EOO range sizes is inherently scale </w:t>
      </w:r>
      <w:r w:rsidR="001E33AC">
        <w:t>(</w:t>
      </w:r>
      <w:r w:rsidR="00912008">
        <w:t xml:space="preserve">i.e. </w:t>
      </w:r>
      <w:r w:rsidR="001E33AC">
        <w:t xml:space="preserve">grid cell size) </w:t>
      </w:r>
      <w:r w:rsidR="00AE1C1E">
        <w:t>dependent</w:t>
      </w:r>
      <w:r w:rsidR="004C32C8">
        <w:t xml:space="preserve">, I </w:t>
      </w:r>
      <w:r w:rsidR="001B0623">
        <w:t>explore</w:t>
      </w:r>
      <w:r w:rsidR="004C32C8">
        <w:t xml:space="preserve"> the combined effect of scale and choice of range </w:t>
      </w:r>
      <w:r w:rsidR="00A70EB1">
        <w:t xml:space="preserve">size </w:t>
      </w:r>
      <w:r w:rsidR="004C32C8">
        <w:t xml:space="preserve">method on patterns of </w:t>
      </w:r>
      <w:r w:rsidR="00E523EF">
        <w:t>weighted</w:t>
      </w:r>
      <w:r w:rsidR="004C32C8">
        <w:t xml:space="preserve"> endemism</w:t>
      </w:r>
      <w:r w:rsidR="00C9026E">
        <w:t>,</w:t>
      </w:r>
      <w:r w:rsidR="006E5C7D">
        <w:t xml:space="preserve"> </w:t>
      </w:r>
      <w:r w:rsidR="00E839AE">
        <w:t>and</w:t>
      </w:r>
      <w:r w:rsidR="006E5C7D">
        <w:t xml:space="preserve"> the implications this can have </w:t>
      </w:r>
      <w:r w:rsidR="001F643A">
        <w:t xml:space="preserve">in </w:t>
      </w:r>
      <w:r w:rsidR="004B7082">
        <w:t xml:space="preserve">biodiversity </w:t>
      </w:r>
      <w:r w:rsidR="001F643A">
        <w:t>conservation</w:t>
      </w:r>
      <w:r w:rsidR="005431A6">
        <w:t>.</w:t>
      </w:r>
    </w:p>
    <w:p w14:paraId="5B9B62F2" w14:textId="39E86469" w:rsidR="00AC7488" w:rsidRDefault="00CD28EF" w:rsidP="00CD4263">
      <w:pPr>
        <w:jc w:val="both"/>
      </w:pPr>
      <w:r w:rsidRPr="00BC3B82">
        <w:rPr>
          <w:b/>
          <w:bCs/>
        </w:rPr>
        <w:t>Methods:</w:t>
      </w:r>
      <w:r w:rsidR="00AC7488">
        <w:t xml:space="preserve"> </w:t>
      </w:r>
      <w:r w:rsidR="00EA0E30">
        <w:t xml:space="preserve">Using </w:t>
      </w:r>
      <w:r w:rsidR="007E2720">
        <w:t xml:space="preserve">Australian </w:t>
      </w:r>
      <w:r w:rsidR="00EA0E30">
        <w:t xml:space="preserve">occurrence data of five </w:t>
      </w:r>
      <w:proofErr w:type="spellStart"/>
      <w:r w:rsidR="00EA0E30">
        <w:t>Myrtaceae</w:t>
      </w:r>
      <w:proofErr w:type="spellEnd"/>
      <w:r w:rsidR="00EA0E30">
        <w:t xml:space="preserve"> genera, </w:t>
      </w:r>
      <w:r w:rsidR="002D2B5B">
        <w:t xml:space="preserve">I </w:t>
      </w:r>
      <w:r w:rsidR="0046637E">
        <w:t>measured</w:t>
      </w:r>
      <w:r w:rsidR="002D2B5B">
        <w:t xml:space="preserve"> the difference between AOO and EOO </w:t>
      </w:r>
      <w:r w:rsidR="001E33AC">
        <w:t>range</w:t>
      </w:r>
      <w:r w:rsidR="00912008">
        <w:t xml:space="preserve">s </w:t>
      </w:r>
      <w:r w:rsidR="001F643A">
        <w:t>at</w:t>
      </w:r>
      <w:r w:rsidR="002D2B5B">
        <w:t xml:space="preserve"> </w:t>
      </w:r>
      <w:r w:rsidR="00EA0E30">
        <w:t>four different grid cell sizes</w:t>
      </w:r>
      <w:r w:rsidR="007E2720">
        <w:t xml:space="preserve">. </w:t>
      </w:r>
      <w:r w:rsidR="0046637E">
        <w:t xml:space="preserve">To </w:t>
      </w:r>
      <w:r w:rsidR="00876010">
        <w:t>evaluate</w:t>
      </w:r>
      <w:r w:rsidR="007E2720">
        <w:t xml:space="preserve"> </w:t>
      </w:r>
      <w:r w:rsidR="00DB3950">
        <w:t xml:space="preserve">the </w:t>
      </w:r>
      <w:r w:rsidR="007E2720">
        <w:t xml:space="preserve">combined effect of scale and choice of range </w:t>
      </w:r>
      <w:r w:rsidR="00384732">
        <w:t xml:space="preserve">size </w:t>
      </w:r>
      <w:r w:rsidR="00737647">
        <w:t>method</w:t>
      </w:r>
      <w:r w:rsidR="007E2720">
        <w:t xml:space="preserve"> on</w:t>
      </w:r>
      <w:r w:rsidR="00DB3950">
        <w:t xml:space="preserve"> </w:t>
      </w:r>
      <w:r w:rsidR="008D1E19">
        <w:t xml:space="preserve">the differences in </w:t>
      </w:r>
      <w:r w:rsidR="00A51D7E">
        <w:t>(</w:t>
      </w:r>
      <w:r w:rsidR="001A3311">
        <w:t>1</w:t>
      </w:r>
      <w:r w:rsidR="00A51D7E">
        <w:t xml:space="preserve">) </w:t>
      </w:r>
      <w:r w:rsidR="00DB3950">
        <w:t>patterns of weighted endemism</w:t>
      </w:r>
      <w:r w:rsidR="00E6074A">
        <w:t>,</w:t>
      </w:r>
      <w:r w:rsidR="00DB3950">
        <w:t xml:space="preserve"> and </w:t>
      </w:r>
      <w:r w:rsidR="00A51D7E">
        <w:t>(</w:t>
      </w:r>
      <w:r w:rsidR="001A3311">
        <w:t>2</w:t>
      </w:r>
      <w:r w:rsidR="00A51D7E">
        <w:t xml:space="preserve">) </w:t>
      </w:r>
      <w:r w:rsidR="00DB3950">
        <w:t>selection</w:t>
      </w:r>
      <w:r w:rsidR="007E48BC">
        <w:t xml:space="preserve"> of endemic hotspots</w:t>
      </w:r>
      <w:r w:rsidR="00E6074A">
        <w:t>,</w:t>
      </w:r>
      <w:r w:rsidR="007E48BC">
        <w:t xml:space="preserve"> </w:t>
      </w:r>
      <w:r w:rsidR="00876010">
        <w:t xml:space="preserve">I created two </w:t>
      </w:r>
      <w:r w:rsidR="007E48BC">
        <w:t>metrics</w:t>
      </w:r>
      <w:r w:rsidR="00E6074A">
        <w:t>:</w:t>
      </w:r>
      <w:r w:rsidR="007E48BC">
        <w:t xml:space="preserve"> endemism differen</w:t>
      </w:r>
      <w:r w:rsidR="006D76A6">
        <w:t>ce</w:t>
      </w:r>
      <w:r w:rsidR="007E48BC">
        <w:t xml:space="preserve"> (ED) and hotspot difference (HD)</w:t>
      </w:r>
      <w:r w:rsidR="00384732">
        <w:t xml:space="preserve">, </w:t>
      </w:r>
      <w:r w:rsidR="006D76A6">
        <w:t>respectively</w:t>
      </w:r>
      <w:r w:rsidR="00876010">
        <w:t xml:space="preserve">. Both </w:t>
      </w:r>
      <w:r w:rsidR="00384732">
        <w:t xml:space="preserve">metrics </w:t>
      </w:r>
      <w:proofErr w:type="gramStart"/>
      <w:r w:rsidR="00876010">
        <w:t>were measured</w:t>
      </w:r>
      <w:proofErr w:type="gramEnd"/>
      <w:r w:rsidR="00876010">
        <w:t xml:space="preserve"> </w:t>
      </w:r>
      <w:r w:rsidR="00C055AE">
        <w:t>using</w:t>
      </w:r>
      <w:r w:rsidR="00DE511D">
        <w:t xml:space="preserve"> </w:t>
      </w:r>
      <w:r w:rsidR="00A51D7E">
        <w:t>31</w:t>
      </w:r>
      <w:r w:rsidR="004C5F87">
        <w:t xml:space="preserve"> </w:t>
      </w:r>
      <w:r w:rsidR="00DE511D">
        <w:t>different grid cell sizes.</w:t>
      </w:r>
    </w:p>
    <w:p w14:paraId="46F986A1" w14:textId="714C5BDA" w:rsidR="000D5F42" w:rsidRDefault="00CD28EF" w:rsidP="00CD4263">
      <w:pPr>
        <w:jc w:val="both"/>
      </w:pPr>
      <w:r w:rsidRPr="00BC3B82">
        <w:rPr>
          <w:b/>
          <w:bCs/>
        </w:rPr>
        <w:t>Results</w:t>
      </w:r>
      <w:r w:rsidR="0098672D" w:rsidRPr="00BC3B82">
        <w:rPr>
          <w:b/>
          <w:bCs/>
        </w:rPr>
        <w:t>:</w:t>
      </w:r>
      <w:r w:rsidR="00FF51A3">
        <w:t xml:space="preserve"> As grid cell size increased, </w:t>
      </w:r>
      <w:r w:rsidR="009D0DCC">
        <w:t>the percent</w:t>
      </w:r>
      <w:r w:rsidR="004550B7">
        <w:t xml:space="preserve">age </w:t>
      </w:r>
      <w:r w:rsidR="009D0DCC">
        <w:t xml:space="preserve">of species with </w:t>
      </w:r>
      <w:r w:rsidR="00612214">
        <w:t xml:space="preserve">AOO ranges larger than EOO ranges increased. </w:t>
      </w:r>
      <w:r w:rsidR="00A81A34">
        <w:t>Both ED and HD increased with cell size</w:t>
      </w:r>
      <w:r w:rsidR="009C7872">
        <w:t xml:space="preserve">, </w:t>
      </w:r>
      <w:r w:rsidR="00C95C6C">
        <w:t xml:space="preserve">with </w:t>
      </w:r>
      <w:r w:rsidR="009C7872">
        <w:t>the ma</w:t>
      </w:r>
      <w:r w:rsidR="00C95C6C">
        <w:t xml:space="preserve">gnitude </w:t>
      </w:r>
      <w:r w:rsidR="009C7872">
        <w:t>and pattern of that</w:t>
      </w:r>
      <w:r w:rsidR="00C95C6C">
        <w:t xml:space="preserve"> relationship being highly </w:t>
      </w:r>
      <w:r w:rsidR="007E3F40">
        <w:t xml:space="preserve">variable and </w:t>
      </w:r>
      <w:r w:rsidR="00C95C6C">
        <w:t>genera specific.</w:t>
      </w:r>
    </w:p>
    <w:p w14:paraId="0B61C1D2" w14:textId="1621602B" w:rsidR="00547805" w:rsidRDefault="0098672D" w:rsidP="00CD4263">
      <w:pPr>
        <w:jc w:val="both"/>
      </w:pPr>
      <w:r w:rsidRPr="00BC3B82">
        <w:rPr>
          <w:b/>
          <w:bCs/>
        </w:rPr>
        <w:t>Main Conclusions:</w:t>
      </w:r>
      <w:r w:rsidR="004C5F87">
        <w:t xml:space="preserve"> </w:t>
      </w:r>
      <w:r w:rsidR="00A3426E">
        <w:t xml:space="preserve">The impact of scale on the difference between EOO and AOO range sizes was unexpected. Contradictory to </w:t>
      </w:r>
      <w:r w:rsidR="0085281E">
        <w:t>popular belief</w:t>
      </w:r>
      <w:r w:rsidR="00A3426E">
        <w:t xml:space="preserve">, </w:t>
      </w:r>
      <w:r w:rsidR="00720FD3">
        <w:t xml:space="preserve">as cell size increased, </w:t>
      </w:r>
      <w:r w:rsidR="007B235A">
        <w:t xml:space="preserve">AOO </w:t>
      </w:r>
      <w:r w:rsidR="00046AE3">
        <w:t xml:space="preserve">became </w:t>
      </w:r>
      <w:r w:rsidR="007B235A">
        <w:t>larger</w:t>
      </w:r>
      <w:r w:rsidR="00FA030C">
        <w:t xml:space="preserve"> than</w:t>
      </w:r>
      <w:r w:rsidR="007B235A">
        <w:t xml:space="preserve">, </w:t>
      </w:r>
      <w:r w:rsidR="00046AE3">
        <w:t xml:space="preserve">not more </w:t>
      </w:r>
      <w:proofErr w:type="gramStart"/>
      <w:r w:rsidR="00046AE3">
        <w:t>similar to</w:t>
      </w:r>
      <w:proofErr w:type="gramEnd"/>
      <w:r w:rsidR="007B235A">
        <w:t>, EOO</w:t>
      </w:r>
      <w:r w:rsidR="005375EF">
        <w:t>,</w:t>
      </w:r>
      <w:r w:rsidR="003350A0">
        <w:t xml:space="preserve"> for many specie</w:t>
      </w:r>
      <w:r w:rsidR="00720FD3">
        <w:t>s</w:t>
      </w:r>
      <w:r w:rsidR="0080588D">
        <w:t>.</w:t>
      </w:r>
      <w:r w:rsidR="007B235A">
        <w:t xml:space="preserve"> </w:t>
      </w:r>
      <w:r w:rsidR="00071B00">
        <w:t xml:space="preserve">This range size </w:t>
      </w:r>
      <w:r w:rsidR="007F0717">
        <w:t xml:space="preserve">effect </w:t>
      </w:r>
      <w:r w:rsidR="00071B00">
        <w:t xml:space="preserve">likely contributed to the positive relationship seen between cell size and both ED and HD. </w:t>
      </w:r>
      <w:r w:rsidR="003A5FA0">
        <w:t xml:space="preserve">The genera specificity and high variability of ED </w:t>
      </w:r>
      <w:r w:rsidR="00C924C2">
        <w:t xml:space="preserve">and </w:t>
      </w:r>
      <w:r w:rsidR="003A5FA0">
        <w:t>HD</w:t>
      </w:r>
      <w:r w:rsidR="00463767">
        <w:t xml:space="preserve"> </w:t>
      </w:r>
      <w:r w:rsidR="003A5FA0">
        <w:t xml:space="preserve">was likely due to differences in species sensitivity </w:t>
      </w:r>
      <w:r w:rsidR="00480E5A">
        <w:t xml:space="preserve">to scale as well as the </w:t>
      </w:r>
      <w:r w:rsidR="007941E4">
        <w:t>impacts of grid structure allocation</w:t>
      </w:r>
      <w:r w:rsidR="00986216">
        <w:t xml:space="preserve"> over</w:t>
      </w:r>
      <w:r w:rsidR="007941E4">
        <w:t xml:space="preserve"> </w:t>
      </w:r>
      <w:r w:rsidR="00480E5A">
        <w:t xml:space="preserve">each species distribution. </w:t>
      </w:r>
      <w:r w:rsidR="00521C57">
        <w:t xml:space="preserve">This study </w:t>
      </w:r>
      <w:r w:rsidR="00E264F7">
        <w:t>highlight</w:t>
      </w:r>
      <w:r w:rsidR="00521C57">
        <w:t>s</w:t>
      </w:r>
      <w:r w:rsidR="00E264F7">
        <w:t xml:space="preserve"> the importance of </w:t>
      </w:r>
      <w:r w:rsidR="0088418C">
        <w:t xml:space="preserve">more </w:t>
      </w:r>
      <w:r w:rsidR="00037BF2">
        <w:t xml:space="preserve">detailed </w:t>
      </w:r>
      <w:r w:rsidR="00E459FF">
        <w:t>discussion and investigation of these effects in both the weighted endemism and broader literature</w:t>
      </w:r>
      <w:r w:rsidR="00E264F7">
        <w:t>, ensuri</w:t>
      </w:r>
      <w:r w:rsidR="00EF2A91">
        <w:t xml:space="preserve">ng </w:t>
      </w:r>
      <w:r w:rsidR="009950D0">
        <w:t>that i</w:t>
      </w:r>
      <w:r w:rsidR="00547805">
        <w:t>f</w:t>
      </w:r>
      <w:r w:rsidR="009950D0">
        <w:t xml:space="preserve"> </w:t>
      </w:r>
      <w:r w:rsidR="00547805">
        <w:t xml:space="preserve">conservation </w:t>
      </w:r>
      <w:r w:rsidR="009950D0">
        <w:t>recommendations are made, we can be confident that biodiversity is being rep</w:t>
      </w:r>
      <w:r w:rsidR="00547805">
        <w:t>resented</w:t>
      </w:r>
      <w:r w:rsidR="009950D0">
        <w:t xml:space="preserve"> in </w:t>
      </w:r>
      <w:r w:rsidR="00547805">
        <w:t>the way we intended.</w:t>
      </w:r>
    </w:p>
    <w:p w14:paraId="115DF3D5" w14:textId="0393D3A9" w:rsidR="00FA08FD" w:rsidRPr="005F6A6C" w:rsidRDefault="00FA08FD" w:rsidP="00CD4263">
      <w:pPr>
        <w:jc w:val="both"/>
        <w:rPr>
          <w:b/>
          <w:bCs/>
        </w:rPr>
      </w:pPr>
      <w:r w:rsidRPr="005F6A6C">
        <w:rPr>
          <w:b/>
          <w:bCs/>
        </w:rPr>
        <w:t>Keywords</w:t>
      </w:r>
      <w:r w:rsidR="004F5986" w:rsidRPr="005F6A6C">
        <w:rPr>
          <w:b/>
          <w:bCs/>
        </w:rPr>
        <w:t>:</w:t>
      </w:r>
    </w:p>
    <w:p w14:paraId="7828AA77" w14:textId="30C22F47" w:rsidR="00FA0533" w:rsidRDefault="00FA0533" w:rsidP="00CD4263">
      <w:pPr>
        <w:jc w:val="both"/>
      </w:pPr>
      <w:r>
        <w:t xml:space="preserve">area of occupancy, conservation biogeography, endemic, extent of occurrence, </w:t>
      </w:r>
      <w:r w:rsidR="009578C2">
        <w:t xml:space="preserve">grid cell size, </w:t>
      </w:r>
      <w:r>
        <w:t xml:space="preserve">range restriction, </w:t>
      </w:r>
      <w:r w:rsidR="00272C66">
        <w:t xml:space="preserve">spatial patterns, </w:t>
      </w:r>
      <w:r>
        <w:t>spatial scale, species ranges, weighted endemism</w:t>
      </w:r>
    </w:p>
    <w:p w14:paraId="68A541DF" w14:textId="77777777" w:rsidR="00D76DC8" w:rsidRDefault="00D76D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68E6105" w14:textId="545F574F" w:rsidR="00FA08FD" w:rsidRDefault="00261722" w:rsidP="00CD4263">
      <w:pPr>
        <w:jc w:val="both"/>
        <w:rPr>
          <w:b/>
          <w:bCs/>
          <w:sz w:val="24"/>
          <w:szCs w:val="24"/>
        </w:rPr>
      </w:pPr>
      <w:r w:rsidRPr="00261722">
        <w:rPr>
          <w:b/>
          <w:bCs/>
          <w:sz w:val="24"/>
          <w:szCs w:val="24"/>
        </w:rPr>
        <w:lastRenderedPageBreak/>
        <w:t xml:space="preserve">1 | </w:t>
      </w:r>
      <w:r w:rsidR="00FA08FD" w:rsidRPr="00261722">
        <w:rPr>
          <w:b/>
          <w:bCs/>
          <w:sz w:val="24"/>
          <w:szCs w:val="24"/>
        </w:rPr>
        <w:t>Introduction</w:t>
      </w:r>
    </w:p>
    <w:p w14:paraId="6EC3BA56" w14:textId="02638F2B" w:rsidR="00252D61" w:rsidRPr="00252D61" w:rsidRDefault="00252D61" w:rsidP="00CD4263">
      <w:pPr>
        <w:jc w:val="both"/>
        <w:rPr>
          <w:b/>
          <w:bCs/>
        </w:rPr>
      </w:pPr>
      <w:r w:rsidRPr="00252D61">
        <w:rPr>
          <w:b/>
          <w:bCs/>
        </w:rPr>
        <w:t>1.1 | AOO versus EOO</w:t>
      </w:r>
    </w:p>
    <w:p w14:paraId="1A8C0B02" w14:textId="50656AA4" w:rsidR="00A16658" w:rsidRDefault="00871E24" w:rsidP="00CD4263">
      <w:pPr>
        <w:jc w:val="both"/>
      </w:pPr>
      <w:r>
        <w:t>Historically, t</w:t>
      </w:r>
      <w:r w:rsidR="005E1068">
        <w:t xml:space="preserve">he term endemic has </w:t>
      </w:r>
      <w:proofErr w:type="gramStart"/>
      <w:r w:rsidR="005E1068">
        <w:t>been us</w:t>
      </w:r>
      <w:r w:rsidR="0047496E">
        <w:t>ed</w:t>
      </w:r>
      <w:proofErr w:type="gramEnd"/>
      <w:r w:rsidR="0047496E">
        <w:t xml:space="preserve"> </w:t>
      </w:r>
      <w:r w:rsidR="00235FCC">
        <w:t xml:space="preserve">to describe </w:t>
      </w:r>
      <w:r w:rsidR="00DC7C78">
        <w:t xml:space="preserve">taxa </w:t>
      </w:r>
      <w:r w:rsidR="00235FCC">
        <w:t>in two distinct ways; restricted to a location</w:t>
      </w:r>
      <w:r w:rsidR="00DC7C78">
        <w:t xml:space="preserve"> </w:t>
      </w:r>
      <w:r w:rsidR="00235FCC">
        <w:t xml:space="preserve">or restricted in </w:t>
      </w:r>
      <w:r w:rsidR="00235FCC" w:rsidRPr="009875D0">
        <w:t>range</w:t>
      </w:r>
      <w:r w:rsidR="003234C9" w:rsidRPr="009875D0">
        <w:t xml:space="preserve"> (Anderson, 1994)</w:t>
      </w:r>
      <w:r w:rsidR="00235FCC" w:rsidRPr="009875D0">
        <w:t>.</w:t>
      </w:r>
      <w:r w:rsidR="00235FCC">
        <w:t xml:space="preserve"> </w:t>
      </w:r>
      <w:r w:rsidR="00A16658">
        <w:t xml:space="preserve">Here </w:t>
      </w:r>
      <w:r w:rsidR="00EE26A3">
        <w:t>I</w:t>
      </w:r>
      <w:r w:rsidR="00A16658">
        <w:t xml:space="preserve"> </w:t>
      </w:r>
      <w:r w:rsidR="00235FCC">
        <w:t xml:space="preserve">focus on the </w:t>
      </w:r>
      <w:r w:rsidR="00235FCC" w:rsidRPr="00072CCD">
        <w:t>latter</w:t>
      </w:r>
      <w:r w:rsidR="0036035E" w:rsidRPr="00072CCD">
        <w:t xml:space="preserve">. </w:t>
      </w:r>
      <w:r w:rsidR="00A5157F" w:rsidRPr="00072CCD">
        <w:t xml:space="preserve">Perhaps the most </w:t>
      </w:r>
      <w:r w:rsidR="00504F31" w:rsidRPr="00072CCD">
        <w:t>complicated</w:t>
      </w:r>
      <w:r w:rsidR="00400B20" w:rsidRPr="00072CCD">
        <w:t xml:space="preserve"> </w:t>
      </w:r>
      <w:r w:rsidR="00B06485" w:rsidRPr="00072CCD">
        <w:t xml:space="preserve">issue </w:t>
      </w:r>
      <w:r w:rsidR="00A4294B" w:rsidRPr="00072CCD">
        <w:t>with</w:t>
      </w:r>
      <w:r w:rsidR="0079079C" w:rsidRPr="00072CCD">
        <w:t xml:space="preserve"> </w:t>
      </w:r>
      <w:r w:rsidR="00EB7DEF" w:rsidRPr="00072CCD">
        <w:t>using ran</w:t>
      </w:r>
      <w:r w:rsidR="00920769" w:rsidRPr="00072CCD">
        <w:t xml:space="preserve">ge to describe </w:t>
      </w:r>
      <w:r w:rsidR="0088450A">
        <w:t>endemicity</w:t>
      </w:r>
      <w:r w:rsidR="00920769" w:rsidRPr="00072CCD">
        <w:t>,</w:t>
      </w:r>
      <w:r w:rsidR="009C5C87" w:rsidRPr="00072CCD">
        <w:t xml:space="preserve"> </w:t>
      </w:r>
      <w:r w:rsidR="00A5157F" w:rsidRPr="00072CCD">
        <w:t>is that to be ‘restricted’ in range can mean different things depending</w:t>
      </w:r>
      <w:r w:rsidR="00A5157F">
        <w:t xml:space="preserve"> on how </w:t>
      </w:r>
      <w:r w:rsidR="00FC24FD">
        <w:t>th</w:t>
      </w:r>
      <w:r w:rsidR="004F2D9C">
        <w:t>e</w:t>
      </w:r>
      <w:r w:rsidR="00A557DB">
        <w:t xml:space="preserve"> size of that</w:t>
      </w:r>
      <w:r w:rsidR="00002D94">
        <w:t xml:space="preserve"> </w:t>
      </w:r>
      <w:r w:rsidR="00A5157F">
        <w:t xml:space="preserve">range </w:t>
      </w:r>
      <w:proofErr w:type="gramStart"/>
      <w:r w:rsidR="00A5157F">
        <w:t>is calculated</w:t>
      </w:r>
      <w:proofErr w:type="gramEnd"/>
      <w:r w:rsidR="00A5157F">
        <w:t xml:space="preserve">. </w:t>
      </w:r>
      <w:r w:rsidR="0072155B">
        <w:t>The most well-known and commonly used method for calculating range size is area of occupancy (AOO)</w:t>
      </w:r>
      <w:r w:rsidR="00F13820">
        <w:t xml:space="preserve">, calculated as the </w:t>
      </w:r>
      <w:r w:rsidR="00087649">
        <w:t xml:space="preserve">number of </w:t>
      </w:r>
      <w:r w:rsidR="00FB246F">
        <w:t xml:space="preserve">mapped </w:t>
      </w:r>
      <w:r w:rsidR="00087649">
        <w:t xml:space="preserve">grid cells the species </w:t>
      </w:r>
      <w:r w:rsidR="001222F9">
        <w:t>occupies</w:t>
      </w:r>
      <w:r w:rsidR="00087649">
        <w:t xml:space="preserve"> (</w:t>
      </w:r>
      <w:r w:rsidR="006001BD">
        <w:t>F</w:t>
      </w:r>
      <w:r w:rsidR="00087649">
        <w:t>igure 1</w:t>
      </w:r>
      <w:r w:rsidR="002B1D8C">
        <w:t>; Gaston &amp; Fuller, 2009</w:t>
      </w:r>
      <w:r w:rsidR="00087649">
        <w:t xml:space="preserve">). </w:t>
      </w:r>
      <w:r w:rsidR="001222F9" w:rsidRPr="001222F9">
        <w:t>An alternative</w:t>
      </w:r>
      <w:r w:rsidR="00504F31">
        <w:t>, less used</w:t>
      </w:r>
      <w:r w:rsidR="00E13503">
        <w:t xml:space="preserve"> </w:t>
      </w:r>
      <w:r w:rsidR="00B174C5">
        <w:t>method</w:t>
      </w:r>
      <w:r w:rsidR="00E13503">
        <w:t>,</w:t>
      </w:r>
      <w:r w:rsidR="00B174C5">
        <w:t xml:space="preserve"> </w:t>
      </w:r>
      <w:r w:rsidR="001222F9" w:rsidRPr="001222F9">
        <w:t>is extent of occurrence (EOO)</w:t>
      </w:r>
      <w:r w:rsidR="00F13820">
        <w:t xml:space="preserve">, </w:t>
      </w:r>
      <w:r w:rsidR="001222F9" w:rsidRPr="001222F9">
        <w:t>often</w:t>
      </w:r>
      <w:r w:rsidR="00DD278E">
        <w:t xml:space="preserve"> </w:t>
      </w:r>
      <w:r w:rsidR="001222F9" w:rsidRPr="001222F9">
        <w:t>calculated as the area of the minimum convex hull polygon around all occurrences (</w:t>
      </w:r>
      <w:r w:rsidR="002B1D8C" w:rsidRPr="002B1D8C">
        <w:t>Figure 1; Gaston &amp; Fuller, 2009</w:t>
      </w:r>
      <w:r w:rsidR="001222F9" w:rsidRPr="001222F9">
        <w:t>).</w:t>
      </w:r>
      <w:r w:rsidR="005E2752">
        <w:t xml:space="preserve"> </w:t>
      </w:r>
      <w:r w:rsidR="00B174C5">
        <w:t xml:space="preserve"> </w:t>
      </w:r>
      <w:r w:rsidR="00C36B3B">
        <w:t xml:space="preserve">Depending on the </w:t>
      </w:r>
      <w:r w:rsidR="008B11B7">
        <w:t>distribution of occurrence</w:t>
      </w:r>
      <w:r w:rsidR="005561C7">
        <w:t>s</w:t>
      </w:r>
      <w:r w:rsidR="008B11B7">
        <w:t xml:space="preserve">, AOO and EOO can generate </w:t>
      </w:r>
      <w:r w:rsidR="00A557DB">
        <w:t xml:space="preserve">more </w:t>
      </w:r>
      <w:r w:rsidR="008B11B7">
        <w:t xml:space="preserve">different </w:t>
      </w:r>
      <w:r w:rsidR="00B23D50">
        <w:t xml:space="preserve">or </w:t>
      </w:r>
      <w:r w:rsidR="000B5A6A">
        <w:t xml:space="preserve">more </w:t>
      </w:r>
      <w:r w:rsidR="00B23D50">
        <w:t xml:space="preserve">similar </w:t>
      </w:r>
      <w:r w:rsidR="008B11B7">
        <w:t xml:space="preserve">range sizes </w:t>
      </w:r>
      <w:r w:rsidR="009C4F8A">
        <w:t xml:space="preserve">for different species </w:t>
      </w:r>
      <w:r w:rsidR="008B11B7">
        <w:t>(</w:t>
      </w:r>
      <w:r w:rsidR="006001BD">
        <w:t>F</w:t>
      </w:r>
      <w:r w:rsidR="008B11B7">
        <w:t xml:space="preserve">igure </w:t>
      </w:r>
      <w:proofErr w:type="spellStart"/>
      <w:r w:rsidR="008B11B7">
        <w:t>1</w:t>
      </w:r>
      <w:r w:rsidR="0037631D">
        <w:t>b</w:t>
      </w:r>
      <w:proofErr w:type="spellEnd"/>
      <w:r w:rsidR="008B11B7">
        <w:t xml:space="preserve"> and </w:t>
      </w:r>
      <w:proofErr w:type="spellStart"/>
      <w:r w:rsidR="008B11B7">
        <w:t>1</w:t>
      </w:r>
      <w:r w:rsidR="0037631D">
        <w:t>a</w:t>
      </w:r>
      <w:proofErr w:type="spellEnd"/>
      <w:r w:rsidR="0037631D">
        <w:t xml:space="preserve"> respectively</w:t>
      </w:r>
      <w:r w:rsidR="008B11B7">
        <w:t>).</w:t>
      </w:r>
      <w:r w:rsidR="00137018">
        <w:t xml:space="preserve"> The </w:t>
      </w:r>
      <w:r w:rsidR="0008697E">
        <w:t xml:space="preserve">use </w:t>
      </w:r>
      <w:r w:rsidR="003F4055">
        <w:t xml:space="preserve">and benefits </w:t>
      </w:r>
      <w:r w:rsidR="0008697E">
        <w:t>of</w:t>
      </w:r>
      <w:r w:rsidR="00137018">
        <w:t xml:space="preserve"> each method on a case-specific basis</w:t>
      </w:r>
      <w:r w:rsidR="0008697E">
        <w:t xml:space="preserve"> has </w:t>
      </w:r>
      <w:proofErr w:type="gramStart"/>
      <w:r w:rsidR="0008697E">
        <w:t>been extensively explored</w:t>
      </w:r>
      <w:proofErr w:type="gramEnd"/>
      <w:r w:rsidR="0008697E">
        <w:t xml:space="preserve"> (</w:t>
      </w:r>
      <w:r w:rsidR="0090182E" w:rsidRPr="0090182E">
        <w:t>Gaston &amp; Fuller, 2009</w:t>
      </w:r>
      <w:r w:rsidR="00B5089F">
        <w:t xml:space="preserve">; </w:t>
      </w:r>
      <w:r w:rsidR="009D067A" w:rsidRPr="009D067A">
        <w:t>Gaston, Quinn, Wood &amp; Arnold, 1996</w:t>
      </w:r>
      <w:r w:rsidR="0008697E">
        <w:t>)</w:t>
      </w:r>
      <w:r w:rsidR="003F4055">
        <w:t xml:space="preserve">. </w:t>
      </w:r>
      <w:r w:rsidR="00D55E41">
        <w:t xml:space="preserve">In </w:t>
      </w:r>
      <w:r w:rsidR="005561C7">
        <w:t>terms of</w:t>
      </w:r>
      <w:r w:rsidR="005E3AFD">
        <w:t xml:space="preserve"> describing an endemic species, </w:t>
      </w:r>
      <w:r w:rsidR="00906813">
        <w:t>when</w:t>
      </w:r>
      <w:r w:rsidR="003B03DF">
        <w:t xml:space="preserve"> </w:t>
      </w:r>
      <w:r w:rsidR="000F08C4">
        <w:t xml:space="preserve">using </w:t>
      </w:r>
      <w:r w:rsidR="005E3AFD">
        <w:t>AOO</w:t>
      </w:r>
      <w:r w:rsidR="000F08C4">
        <w:t xml:space="preserve">, </w:t>
      </w:r>
      <w:r w:rsidR="005E3AFD">
        <w:t>a</w:t>
      </w:r>
      <w:r w:rsidR="00AF61C9">
        <w:t xml:space="preserve"> more </w:t>
      </w:r>
      <w:r w:rsidR="005E3AFD">
        <w:t xml:space="preserve">endemic species </w:t>
      </w:r>
      <w:r w:rsidR="00906813">
        <w:t xml:space="preserve">is </w:t>
      </w:r>
      <w:r w:rsidR="00376EF4">
        <w:t>one</w:t>
      </w:r>
      <w:r w:rsidR="00337F4C">
        <w:t xml:space="preserve"> whose range is </w:t>
      </w:r>
      <w:r w:rsidR="005E3AFD">
        <w:t>restricted in area</w:t>
      </w:r>
      <w:r w:rsidR="0002426C">
        <w:t xml:space="preserve"> (regardless of how far apart its occurrences are)</w:t>
      </w:r>
      <w:r w:rsidR="005E3AFD">
        <w:t>,</w:t>
      </w:r>
      <w:r w:rsidR="000F08C4">
        <w:t xml:space="preserve"> </w:t>
      </w:r>
      <w:r w:rsidR="003B03DF">
        <w:t>but when</w:t>
      </w:r>
      <w:r w:rsidR="000F08C4">
        <w:t xml:space="preserve"> using EOO</w:t>
      </w:r>
      <w:r w:rsidR="001E22F7">
        <w:t xml:space="preserve">, </w:t>
      </w:r>
      <w:r w:rsidR="00AA0C34" w:rsidRPr="00AA0C34">
        <w:t>a</w:t>
      </w:r>
      <w:r w:rsidR="00AF61C9">
        <w:t xml:space="preserve"> more</w:t>
      </w:r>
      <w:r w:rsidR="00AA0C34" w:rsidRPr="00AA0C34">
        <w:t xml:space="preserve"> endemic species is one whose range </w:t>
      </w:r>
      <w:r w:rsidR="001E22F7">
        <w:t>is</w:t>
      </w:r>
      <w:r w:rsidR="000F08C4">
        <w:t xml:space="preserve"> restricted in extent</w:t>
      </w:r>
      <w:r w:rsidR="0002426C">
        <w:t xml:space="preserve"> (</w:t>
      </w:r>
      <w:r w:rsidR="000A1106">
        <w:t>all occurrences are closely located to the others</w:t>
      </w:r>
      <w:r w:rsidR="0002426C">
        <w:t>)</w:t>
      </w:r>
      <w:r w:rsidR="004C576F">
        <w:t xml:space="preserve"> </w:t>
      </w:r>
      <w:r w:rsidR="004C576F" w:rsidRPr="004C576F">
        <w:t xml:space="preserve">(Guerin, </w:t>
      </w:r>
      <w:proofErr w:type="spellStart"/>
      <w:r w:rsidR="004C576F" w:rsidRPr="004C576F">
        <w:t>Ruokolainen</w:t>
      </w:r>
      <w:proofErr w:type="spellEnd"/>
      <w:r w:rsidR="004C576F" w:rsidRPr="004C576F">
        <w:t xml:space="preserve"> &amp; Lowe, 2015)</w:t>
      </w:r>
      <w:r w:rsidR="000F08C4">
        <w:t>.</w:t>
      </w:r>
      <w:r w:rsidR="006642B8">
        <w:t xml:space="preserve"> As each method </w:t>
      </w:r>
      <w:r w:rsidR="00981FFD">
        <w:t>gives two</w:t>
      </w:r>
      <w:r w:rsidR="006642B8">
        <w:t xml:space="preserve"> very different interpretations </w:t>
      </w:r>
      <w:r w:rsidR="007B5AA0">
        <w:t>of what i</w:t>
      </w:r>
      <w:r w:rsidR="00981FFD">
        <w:t>t</w:t>
      </w:r>
      <w:r w:rsidR="007B5AA0">
        <w:t xml:space="preserve"> means to be ‘restricted’</w:t>
      </w:r>
      <w:r w:rsidR="00AA0C34">
        <w:t xml:space="preserve"> as an endemic</w:t>
      </w:r>
      <w:r w:rsidR="00475F00">
        <w:t xml:space="preserve">, when we </w:t>
      </w:r>
      <w:r w:rsidR="00981FFD">
        <w:t>use such methods in</w:t>
      </w:r>
      <w:r w:rsidR="00475F00">
        <w:t xml:space="preserve"> </w:t>
      </w:r>
      <w:r w:rsidR="00127B34">
        <w:t>measuring and describing p</w:t>
      </w:r>
      <w:r w:rsidR="00481884">
        <w:t xml:space="preserve">atterns of endemism, </w:t>
      </w:r>
      <w:r w:rsidR="003B03DF">
        <w:t xml:space="preserve">we see </w:t>
      </w:r>
      <w:r w:rsidR="00CE78C7">
        <w:t>d</w:t>
      </w:r>
      <w:r w:rsidR="003B03DF">
        <w:t xml:space="preserve">isparity </w:t>
      </w:r>
      <w:r w:rsidR="000563BC">
        <w:t>between results</w:t>
      </w:r>
      <w:r w:rsidR="00981FFD">
        <w:t>.</w:t>
      </w:r>
    </w:p>
    <w:p w14:paraId="5BBF978E" w14:textId="07EDF7C7" w:rsidR="00252D61" w:rsidRPr="00252D61" w:rsidRDefault="00252D61" w:rsidP="00CD4263">
      <w:pPr>
        <w:jc w:val="both"/>
        <w:rPr>
          <w:b/>
          <w:bCs/>
        </w:rPr>
      </w:pPr>
      <w:r w:rsidRPr="00252D61">
        <w:rPr>
          <w:b/>
          <w:bCs/>
        </w:rPr>
        <w:t>1.2 |</w:t>
      </w:r>
      <w:r>
        <w:rPr>
          <w:b/>
          <w:bCs/>
        </w:rPr>
        <w:t xml:space="preserve"> </w:t>
      </w:r>
      <w:r w:rsidR="004A52FF">
        <w:rPr>
          <w:b/>
          <w:bCs/>
        </w:rPr>
        <w:t>Weighted endemism and range size method</w:t>
      </w:r>
    </w:p>
    <w:p w14:paraId="1F8EA458" w14:textId="627A9635" w:rsidR="00EE59FA" w:rsidRDefault="0000515E" w:rsidP="00CD4263">
      <w:pPr>
        <w:jc w:val="both"/>
      </w:pPr>
      <w:r>
        <w:t xml:space="preserve">One commonly used </w:t>
      </w:r>
      <w:r w:rsidR="00EE59FA">
        <w:t xml:space="preserve">metric </w:t>
      </w:r>
      <w:r w:rsidR="00260CCF">
        <w:t>for measuring patterns of endemism is weighted endemism. First introduced by Crisp, Laffan</w:t>
      </w:r>
      <w:r w:rsidR="0031312A">
        <w:t xml:space="preserve">, Linder and </w:t>
      </w:r>
      <w:proofErr w:type="spellStart"/>
      <w:r w:rsidR="0031312A">
        <w:t>Monro</w:t>
      </w:r>
      <w:proofErr w:type="spellEnd"/>
      <w:r w:rsidR="0031312A">
        <w:t xml:space="preserve"> (2001), this metric </w:t>
      </w:r>
      <w:proofErr w:type="gramStart"/>
      <w:r w:rsidR="00FB5236">
        <w:t>is calculated</w:t>
      </w:r>
      <w:proofErr w:type="gramEnd"/>
      <w:r w:rsidR="00FB5236">
        <w:t xml:space="preserve"> over an entire region</w:t>
      </w:r>
      <w:r w:rsidR="00231C68">
        <w:t xml:space="preserve">, </w:t>
      </w:r>
      <w:r w:rsidR="00FB5236">
        <w:t>separated into grid cells</w:t>
      </w:r>
      <w:r w:rsidR="00A26939">
        <w:t xml:space="preserve">. It </w:t>
      </w:r>
      <w:r w:rsidR="0031312A">
        <w:t xml:space="preserve">involves </w:t>
      </w:r>
      <w:r w:rsidR="00487B27">
        <w:t>counting</w:t>
      </w:r>
      <w:r w:rsidR="0031312A">
        <w:t xml:space="preserve"> the number of species in each cell</w:t>
      </w:r>
      <w:r w:rsidR="006A6EB0">
        <w:t xml:space="preserve">, </w:t>
      </w:r>
      <w:r w:rsidR="00864980">
        <w:t>additionally weighting</w:t>
      </w:r>
      <w:r w:rsidR="0031312A">
        <w:t xml:space="preserve"> each by </w:t>
      </w:r>
      <w:r w:rsidR="00336E12">
        <w:t>the inverse of its range size</w:t>
      </w:r>
      <w:r w:rsidR="006A6EB0">
        <w:t xml:space="preserve"> (</w:t>
      </w:r>
      <w:r w:rsidR="00487B27">
        <w:t xml:space="preserve">for </w:t>
      </w:r>
      <w:r w:rsidR="007A2682">
        <w:t xml:space="preserve">the </w:t>
      </w:r>
      <w:r w:rsidR="00487B27">
        <w:t xml:space="preserve">equation </w:t>
      </w:r>
      <w:r w:rsidR="006A6EB0">
        <w:t xml:space="preserve">see </w:t>
      </w:r>
      <w:r w:rsidR="006A6EB0" w:rsidRPr="006A6EB0">
        <w:t xml:space="preserve">Appendix </w:t>
      </w:r>
      <w:proofErr w:type="spellStart"/>
      <w:r w:rsidR="006A6EB0" w:rsidRPr="006A6EB0">
        <w:t>S1</w:t>
      </w:r>
      <w:proofErr w:type="spellEnd"/>
      <w:r w:rsidR="006A6EB0" w:rsidRPr="006A6EB0">
        <w:t xml:space="preserve"> in Supporting Information</w:t>
      </w:r>
      <w:r w:rsidR="00B1395E">
        <w:t>; Crisp et al., 2001</w:t>
      </w:r>
      <w:r w:rsidR="006A6EB0">
        <w:t>)</w:t>
      </w:r>
      <w:r w:rsidR="00336E12">
        <w:t xml:space="preserve">. </w:t>
      </w:r>
      <w:r w:rsidR="0015320D">
        <w:t xml:space="preserve">As the endemism value of each cell is </w:t>
      </w:r>
      <w:r w:rsidR="00312681">
        <w:t>highly</w:t>
      </w:r>
      <w:r w:rsidR="0015320D">
        <w:t xml:space="preserve"> dependent on the range sizes of the species that occur within it, it is</w:t>
      </w:r>
      <w:r w:rsidR="00757E34">
        <w:t xml:space="preserve"> clear that when </w:t>
      </w:r>
      <w:r w:rsidR="00C718A4">
        <w:t>measuring</w:t>
      </w:r>
      <w:r w:rsidR="00757E34">
        <w:t xml:space="preserve"> weighted endemism</w:t>
      </w:r>
      <w:r w:rsidR="00824A70">
        <w:t>,</w:t>
      </w:r>
      <w:r w:rsidR="00897064">
        <w:t xml:space="preserve"> </w:t>
      </w:r>
      <w:r w:rsidR="00757E34">
        <w:t xml:space="preserve">you </w:t>
      </w:r>
      <w:r w:rsidR="00824A70">
        <w:t xml:space="preserve">can </w:t>
      </w:r>
      <w:r w:rsidR="00757E34">
        <w:t>get very different results</w:t>
      </w:r>
      <w:r w:rsidR="00E735FD">
        <w:t xml:space="preserve"> depending on which range size method</w:t>
      </w:r>
      <w:r w:rsidR="00824A70">
        <w:t>, AOO or EOO,</w:t>
      </w:r>
      <w:r w:rsidR="00E735FD">
        <w:t xml:space="preserve"> </w:t>
      </w:r>
      <w:r w:rsidR="00704352">
        <w:t xml:space="preserve">is chosen </w:t>
      </w:r>
      <w:r w:rsidR="00E735FD">
        <w:t>(</w:t>
      </w:r>
      <w:r w:rsidR="006001BD">
        <w:t>F</w:t>
      </w:r>
      <w:r w:rsidR="00E735FD">
        <w:t>igure 2</w:t>
      </w:r>
      <w:r w:rsidR="00C718A4">
        <w:t xml:space="preserve">, </w:t>
      </w:r>
      <w:r w:rsidR="006C21D1">
        <w:t>and G</w:t>
      </w:r>
      <w:r w:rsidR="00525E49">
        <w:t>uerin</w:t>
      </w:r>
      <w:r w:rsidR="00912008">
        <w:t xml:space="preserve"> et al., </w:t>
      </w:r>
      <w:r w:rsidR="00525E49">
        <w:t>2015</w:t>
      </w:r>
      <w:r w:rsidR="00E735FD">
        <w:t xml:space="preserve">). </w:t>
      </w:r>
      <w:r w:rsidR="002D41AF">
        <w:t xml:space="preserve">As mapping and identifying centres of endemism </w:t>
      </w:r>
      <w:r w:rsidR="00B05F15">
        <w:t>is considered a fundamental step in conservation planning and management</w:t>
      </w:r>
      <w:r w:rsidR="001A050E">
        <w:t xml:space="preserve"> </w:t>
      </w:r>
      <w:r w:rsidR="001A050E" w:rsidRPr="001A050E">
        <w:t xml:space="preserve">(Kier &amp; </w:t>
      </w:r>
      <w:proofErr w:type="spellStart"/>
      <w:r w:rsidR="001A050E" w:rsidRPr="001A050E">
        <w:t>Barthlott</w:t>
      </w:r>
      <w:proofErr w:type="spellEnd"/>
      <w:r w:rsidR="001A050E" w:rsidRPr="001A050E">
        <w:t xml:space="preserve">, 2001; </w:t>
      </w:r>
      <w:proofErr w:type="spellStart"/>
      <w:r w:rsidR="001A050E" w:rsidRPr="001A050E">
        <w:t>Slatyer</w:t>
      </w:r>
      <w:proofErr w:type="spellEnd"/>
      <w:r w:rsidR="001A050E" w:rsidRPr="001A050E">
        <w:t xml:space="preserve">, </w:t>
      </w:r>
      <w:proofErr w:type="spellStart"/>
      <w:r w:rsidR="001A050E" w:rsidRPr="001A050E">
        <w:t>Rosauer</w:t>
      </w:r>
      <w:proofErr w:type="spellEnd"/>
      <w:r w:rsidR="001A050E" w:rsidRPr="001A050E">
        <w:t xml:space="preserve"> &amp; </w:t>
      </w:r>
      <w:proofErr w:type="spellStart"/>
      <w:r w:rsidR="001A050E" w:rsidRPr="001A050E">
        <w:t>Lemckert</w:t>
      </w:r>
      <w:proofErr w:type="spellEnd"/>
      <w:r w:rsidR="001A050E" w:rsidRPr="001A050E">
        <w:t>, 2007)</w:t>
      </w:r>
      <w:r w:rsidR="00B05F15">
        <w:t xml:space="preserve">, it is alarming that the use of each method can produce such </w:t>
      </w:r>
      <w:r w:rsidR="002B1054">
        <w:t xml:space="preserve">contrasting results, potentially leading to quite different </w:t>
      </w:r>
      <w:r w:rsidR="00A35B49">
        <w:t>recommendations for protecting biodiversity. To further complicate the issue</w:t>
      </w:r>
      <w:r w:rsidR="00A12E8D">
        <w:t xml:space="preserve">, </w:t>
      </w:r>
      <w:r w:rsidR="001A050E">
        <w:t xml:space="preserve">as with any biogeographic analysis, </w:t>
      </w:r>
      <w:r w:rsidR="001A050E" w:rsidRPr="001A050E">
        <w:t>a major factor that influences metric outputs</w:t>
      </w:r>
      <w:r w:rsidR="00B51673">
        <w:t>,</w:t>
      </w:r>
      <w:r w:rsidR="001A050E" w:rsidRPr="001A050E">
        <w:t xml:space="preserve"> and the patterns observed</w:t>
      </w:r>
      <w:r w:rsidR="00B51673">
        <w:t>,</w:t>
      </w:r>
      <w:r w:rsidR="001A050E" w:rsidRPr="001A050E">
        <w:t xml:space="preserve"> is the scale that </w:t>
      </w:r>
      <w:proofErr w:type="gramStart"/>
      <w:r w:rsidR="001A050E" w:rsidRPr="001A050E">
        <w:t>is used</w:t>
      </w:r>
      <w:proofErr w:type="gramEnd"/>
      <w:r w:rsidR="001A050E" w:rsidRPr="001A050E">
        <w:t>.</w:t>
      </w:r>
    </w:p>
    <w:p w14:paraId="0A8B8E11" w14:textId="3BEABE5C" w:rsidR="004A52FF" w:rsidRPr="004A52FF" w:rsidRDefault="004A52FF" w:rsidP="00CD4263">
      <w:pPr>
        <w:jc w:val="both"/>
        <w:rPr>
          <w:b/>
          <w:bCs/>
        </w:rPr>
      </w:pPr>
      <w:r w:rsidRPr="004A52FF">
        <w:rPr>
          <w:b/>
          <w:bCs/>
        </w:rPr>
        <w:t>1.3 | The importance of scale</w:t>
      </w:r>
    </w:p>
    <w:p w14:paraId="39B79703" w14:textId="25C04459" w:rsidR="00ED5195" w:rsidRDefault="00C8286D" w:rsidP="00CD4263">
      <w:pPr>
        <w:jc w:val="both"/>
      </w:pPr>
      <w:r>
        <w:t xml:space="preserve">Choice of scale </w:t>
      </w:r>
      <w:r w:rsidR="00312681">
        <w:t>often depends</w:t>
      </w:r>
      <w:r w:rsidR="009A4D31">
        <w:t xml:space="preserve"> on the specific question </w:t>
      </w:r>
      <w:proofErr w:type="gramStart"/>
      <w:r w:rsidR="009A4D31">
        <w:t>being asked</w:t>
      </w:r>
      <w:proofErr w:type="gramEnd"/>
      <w:r w:rsidR="009A4D31">
        <w:t>, the taxa being studied and</w:t>
      </w:r>
      <w:r w:rsidR="006807C9">
        <w:t>/</w:t>
      </w:r>
      <w:r w:rsidR="009A4D31">
        <w:t xml:space="preserve">or the patterns being investigated. </w:t>
      </w:r>
      <w:r w:rsidR="006807C9">
        <w:t>The importance of considering scale</w:t>
      </w:r>
      <w:r w:rsidR="00D02C92">
        <w:t xml:space="preserve">, </w:t>
      </w:r>
      <w:r w:rsidR="00C33DE1">
        <w:t>in this case</w:t>
      </w:r>
      <w:r w:rsidR="00751C0A">
        <w:t xml:space="preserve"> grid cell size</w:t>
      </w:r>
      <w:r w:rsidR="00C33DE1">
        <w:t>,</w:t>
      </w:r>
      <w:r w:rsidR="00751C0A">
        <w:t xml:space="preserve"> </w:t>
      </w:r>
      <w:proofErr w:type="gramStart"/>
      <w:r w:rsidR="00C25905">
        <w:t>is well acknowledged</w:t>
      </w:r>
      <w:proofErr w:type="gramEnd"/>
      <w:r w:rsidR="00C25905">
        <w:t xml:space="preserve"> in the biological literature, with</w:t>
      </w:r>
      <w:r w:rsidR="004A50DA">
        <w:t xml:space="preserve"> most papers stating</w:t>
      </w:r>
      <w:r w:rsidR="00404255">
        <w:t xml:space="preserve">, at </w:t>
      </w:r>
      <w:r w:rsidR="00465C47">
        <w:t>least</w:t>
      </w:r>
      <w:r w:rsidR="00404255">
        <w:t>,</w:t>
      </w:r>
      <w:r w:rsidR="004A50DA">
        <w:t xml:space="preserve"> the scale</w:t>
      </w:r>
      <w:r w:rsidR="003951C3">
        <w:t xml:space="preserve"> used </w:t>
      </w:r>
      <w:r w:rsidR="004A50DA">
        <w:t>their analyses</w:t>
      </w:r>
      <w:r w:rsidR="002478C0">
        <w:t xml:space="preserve"> </w:t>
      </w:r>
      <w:r w:rsidR="00201BE4" w:rsidRPr="00201BE4">
        <w:t>(Du Toit, 2010)</w:t>
      </w:r>
      <w:r w:rsidR="00404255">
        <w:t xml:space="preserve">. </w:t>
      </w:r>
      <w:r w:rsidR="008C3937">
        <w:t xml:space="preserve">From assessing how each method </w:t>
      </w:r>
      <w:r w:rsidR="00C2752A">
        <w:t>calculates range,</w:t>
      </w:r>
      <w:r w:rsidR="008C3937">
        <w:t xml:space="preserve"> </w:t>
      </w:r>
      <w:proofErr w:type="gramStart"/>
      <w:r w:rsidR="008C3937">
        <w:t>it is clear that t</w:t>
      </w:r>
      <w:r w:rsidR="007818E0" w:rsidRPr="007818E0">
        <w:t>he</w:t>
      </w:r>
      <w:proofErr w:type="gramEnd"/>
      <w:r w:rsidR="007818E0" w:rsidRPr="007818E0">
        <w:t xml:space="preserve"> difference between AOO and EOO range size</w:t>
      </w:r>
      <w:r w:rsidR="00802914">
        <w:t xml:space="preserve"> </w:t>
      </w:r>
      <w:r w:rsidR="007818E0" w:rsidRPr="007818E0">
        <w:t>is inherently scale</w:t>
      </w:r>
      <w:r w:rsidR="00201BE4">
        <w:t xml:space="preserve"> </w:t>
      </w:r>
      <w:r w:rsidR="007818E0" w:rsidRPr="007818E0">
        <w:t>dependent</w:t>
      </w:r>
      <w:r w:rsidR="00632D84">
        <w:t xml:space="preserve"> (Figure 1). </w:t>
      </w:r>
      <w:r w:rsidR="00897064">
        <w:t xml:space="preserve">For some species, increasing scale </w:t>
      </w:r>
      <w:r w:rsidR="00565C26">
        <w:t>will reduce the difference between AOO and EOO</w:t>
      </w:r>
      <w:r w:rsidR="00BA0F45">
        <w:t xml:space="preserve">, </w:t>
      </w:r>
      <w:r w:rsidR="00565C26">
        <w:t xml:space="preserve">plus </w:t>
      </w:r>
      <w:r w:rsidR="0022337F">
        <w:t xml:space="preserve">for AOO </w:t>
      </w:r>
      <w:r w:rsidR="00565C26">
        <w:t xml:space="preserve">potentially eliminating the impact of uneven or uncompleted sampling over </w:t>
      </w:r>
      <w:r w:rsidR="00F90B20">
        <w:t xml:space="preserve">its </w:t>
      </w:r>
      <w:r w:rsidR="00565C26">
        <w:t>distribution (</w:t>
      </w:r>
      <w:r w:rsidR="006001BD">
        <w:t>F</w:t>
      </w:r>
      <w:r w:rsidR="00565C26">
        <w:t xml:space="preserve">igure </w:t>
      </w:r>
      <w:proofErr w:type="spellStart"/>
      <w:r w:rsidR="009A69BE">
        <w:t>1b</w:t>
      </w:r>
      <w:proofErr w:type="spellEnd"/>
      <w:r w:rsidR="009A69BE">
        <w:t xml:space="preserve"> and </w:t>
      </w:r>
      <w:proofErr w:type="spellStart"/>
      <w:r w:rsidR="009A69BE">
        <w:t>1d</w:t>
      </w:r>
      <w:proofErr w:type="spellEnd"/>
      <w:r w:rsidR="009A69BE">
        <w:t xml:space="preserve">). </w:t>
      </w:r>
      <w:r w:rsidR="00C2752A">
        <w:t xml:space="preserve">For </w:t>
      </w:r>
      <w:r w:rsidR="009A69BE">
        <w:t xml:space="preserve">other species, such as those more restricted in extent, and well sampled within their distribution, AOO </w:t>
      </w:r>
      <w:r w:rsidR="00000ECE">
        <w:t>can</w:t>
      </w:r>
      <w:r w:rsidR="00C9024D">
        <w:t xml:space="preserve"> increase to </w:t>
      </w:r>
      <w:r w:rsidR="00000ECE">
        <w:t>match EOO</w:t>
      </w:r>
      <w:r w:rsidR="00452BC9">
        <w:t xml:space="preserve">, or in some cases </w:t>
      </w:r>
      <w:r w:rsidR="00725A02">
        <w:t>exceed</w:t>
      </w:r>
      <w:r w:rsidR="00452BC9">
        <w:t xml:space="preserve"> it</w:t>
      </w:r>
      <w:r w:rsidR="0022337F">
        <w:t xml:space="preserve"> (</w:t>
      </w:r>
      <w:r w:rsidR="00632D84">
        <w:t>F</w:t>
      </w:r>
      <w:r w:rsidR="0022337F">
        <w:t xml:space="preserve">igure </w:t>
      </w:r>
      <w:proofErr w:type="spellStart"/>
      <w:r w:rsidR="0022337F">
        <w:t>1a</w:t>
      </w:r>
      <w:proofErr w:type="spellEnd"/>
      <w:r w:rsidR="0022337F">
        <w:t xml:space="preserve"> and </w:t>
      </w:r>
      <w:proofErr w:type="spellStart"/>
      <w:r w:rsidR="0022337F">
        <w:t>1c</w:t>
      </w:r>
      <w:proofErr w:type="spellEnd"/>
      <w:r w:rsidR="0022337F">
        <w:t>)</w:t>
      </w:r>
      <w:r w:rsidR="00452BC9">
        <w:t xml:space="preserve">. For the latter, </w:t>
      </w:r>
      <w:r w:rsidR="00F37120">
        <w:t xml:space="preserve">a case </w:t>
      </w:r>
      <w:r w:rsidR="00F37120">
        <w:lastRenderedPageBreak/>
        <w:t xml:space="preserve">could </w:t>
      </w:r>
      <w:proofErr w:type="gramStart"/>
      <w:r w:rsidR="00F37120">
        <w:t>be made</w:t>
      </w:r>
      <w:proofErr w:type="gramEnd"/>
      <w:r w:rsidR="00F37120">
        <w:t xml:space="preserve"> that the choice of scale is inappropriate for that species. </w:t>
      </w:r>
      <w:r w:rsidR="00CA4B79">
        <w:t xml:space="preserve">This </w:t>
      </w:r>
      <w:r w:rsidR="008904A3">
        <w:t xml:space="preserve">highlights </w:t>
      </w:r>
      <w:r w:rsidR="00CA4B79">
        <w:t xml:space="preserve">a major problem in how we operationalise these methods when applying them to metrics such as weighted endemism, where only a single scale can be chosen, and that scale must be applied </w:t>
      </w:r>
      <w:r w:rsidR="00011D19">
        <w:t>to all species, often hundred</w:t>
      </w:r>
      <w:r w:rsidR="0022337F">
        <w:t>s</w:t>
      </w:r>
      <w:r w:rsidR="00011D19">
        <w:t xml:space="preserve">, in the same </w:t>
      </w:r>
      <w:r w:rsidR="0022337F">
        <w:t>way</w:t>
      </w:r>
      <w:r w:rsidR="00011D19">
        <w:t xml:space="preserve">. </w:t>
      </w:r>
      <w:r w:rsidR="0001632C">
        <w:t xml:space="preserve">Increasing scale may be appropriate for one species </w:t>
      </w:r>
      <w:r w:rsidR="00011D19">
        <w:t>(</w:t>
      </w:r>
      <w:r w:rsidR="00725A02">
        <w:t>F</w:t>
      </w:r>
      <w:r w:rsidR="00011D19">
        <w:t xml:space="preserve">igure </w:t>
      </w:r>
      <w:proofErr w:type="spellStart"/>
      <w:r w:rsidR="00011D19">
        <w:t>1b</w:t>
      </w:r>
      <w:proofErr w:type="spellEnd"/>
      <w:r w:rsidR="00011D19">
        <w:t xml:space="preserve"> and </w:t>
      </w:r>
      <w:proofErr w:type="spellStart"/>
      <w:r w:rsidR="004420A5">
        <w:t>1</w:t>
      </w:r>
      <w:r w:rsidR="00011D19">
        <w:t>d</w:t>
      </w:r>
      <w:proofErr w:type="spellEnd"/>
      <w:r w:rsidR="00011D19">
        <w:t>) but inappropriate for another (</w:t>
      </w:r>
      <w:r w:rsidR="004420A5">
        <w:t>F</w:t>
      </w:r>
      <w:r w:rsidR="00011D19">
        <w:t xml:space="preserve">igure </w:t>
      </w:r>
      <w:proofErr w:type="spellStart"/>
      <w:r w:rsidR="004420A5">
        <w:t>1</w:t>
      </w:r>
      <w:r w:rsidR="00011D19">
        <w:t>a</w:t>
      </w:r>
      <w:proofErr w:type="spellEnd"/>
      <w:r w:rsidR="00011D19">
        <w:t xml:space="preserve"> and </w:t>
      </w:r>
      <w:proofErr w:type="spellStart"/>
      <w:r w:rsidR="004420A5">
        <w:t>1</w:t>
      </w:r>
      <w:r w:rsidR="00011D19">
        <w:t>c</w:t>
      </w:r>
      <w:proofErr w:type="spellEnd"/>
      <w:r w:rsidR="00011D19">
        <w:t>)</w:t>
      </w:r>
      <w:r w:rsidR="00C9285B">
        <w:t>.</w:t>
      </w:r>
    </w:p>
    <w:p w14:paraId="69B927D6" w14:textId="0F2616E5" w:rsidR="00C25905" w:rsidRDefault="00840F38" w:rsidP="00CD4263">
      <w:pPr>
        <w:jc w:val="both"/>
        <w:rPr>
          <w:rFonts w:cstheme="minorHAnsi"/>
        </w:rPr>
      </w:pPr>
      <w:r>
        <w:t>I</w:t>
      </w:r>
      <w:r w:rsidR="007E4F06">
        <w:t xml:space="preserve">n a review of the weighted endemism literature (see Appendix </w:t>
      </w:r>
      <w:proofErr w:type="spellStart"/>
      <w:r w:rsidR="007E4F06">
        <w:t>S3</w:t>
      </w:r>
      <w:proofErr w:type="spellEnd"/>
      <w:r w:rsidR="007E4F06">
        <w:t xml:space="preserve"> for details)</w:t>
      </w:r>
      <w:r w:rsidR="002E6B16">
        <w:t xml:space="preserve">, </w:t>
      </w:r>
      <w:r w:rsidR="007E4F06">
        <w:t xml:space="preserve">I found </w:t>
      </w:r>
      <w:r w:rsidR="00516008">
        <w:t xml:space="preserve">that in </w:t>
      </w:r>
      <w:r w:rsidR="00EF3837">
        <w:t xml:space="preserve">the </w:t>
      </w:r>
      <w:r w:rsidR="007746F1">
        <w:t>79%</w:t>
      </w:r>
      <w:r w:rsidR="00EF3837">
        <w:t xml:space="preserve"> of cases that did use AOO, the </w:t>
      </w:r>
      <w:r w:rsidR="0031076B">
        <w:t xml:space="preserve">scales used ranged </w:t>
      </w:r>
      <w:r w:rsidR="00CF2A50">
        <w:t xml:space="preserve">considerably </w:t>
      </w:r>
      <w:r w:rsidR="0031076B">
        <w:t>from 400 square metres up to 20,500 square kilometres</w:t>
      </w:r>
      <w:r w:rsidR="00613C73">
        <w:t xml:space="preserve"> (</w:t>
      </w:r>
      <w:r w:rsidR="007A27E6">
        <w:t>F</w:t>
      </w:r>
      <w:r w:rsidR="00613C73">
        <w:t>igure 3)</w:t>
      </w:r>
      <w:r w:rsidR="0031076B">
        <w:t xml:space="preserve">. The </w:t>
      </w:r>
      <w:proofErr w:type="gramStart"/>
      <w:r w:rsidR="0031076B">
        <w:t>most common</w:t>
      </w:r>
      <w:r w:rsidR="00EB5B41">
        <w:t>ly</w:t>
      </w:r>
      <w:r w:rsidR="0031076B">
        <w:t xml:space="preserve"> used</w:t>
      </w:r>
      <w:proofErr w:type="gramEnd"/>
      <w:r w:rsidR="0031076B">
        <w:t xml:space="preserve"> scale </w:t>
      </w:r>
      <w:r w:rsidR="00EB5B41">
        <w:t>being</w:t>
      </w:r>
      <w:r w:rsidR="0031076B">
        <w:t xml:space="preserve"> approximate</w:t>
      </w:r>
      <w:r w:rsidR="00B3662D">
        <w:t>ly</w:t>
      </w:r>
      <w:r w:rsidR="0031076B">
        <w:t xml:space="preserve"> 10,000 </w:t>
      </w:r>
      <w:r w:rsidR="00EB5B41">
        <w:t>square</w:t>
      </w:r>
      <w:r w:rsidR="0031076B">
        <w:t xml:space="preserve"> kilometres</w:t>
      </w:r>
      <w:r w:rsidR="00EB5B41">
        <w:rPr>
          <w:rFonts w:cstheme="minorHAnsi"/>
        </w:rPr>
        <w:t>.</w:t>
      </w:r>
      <w:r w:rsidR="00B3662D">
        <w:rPr>
          <w:rFonts w:cstheme="minorHAnsi"/>
        </w:rPr>
        <w:t xml:space="preserve"> </w:t>
      </w:r>
      <w:r w:rsidR="00CF2A50">
        <w:rPr>
          <w:rFonts w:cstheme="minorHAnsi"/>
        </w:rPr>
        <w:t>Despite this large range</w:t>
      </w:r>
      <w:r w:rsidR="009868B0">
        <w:rPr>
          <w:rFonts w:cstheme="minorHAnsi"/>
        </w:rPr>
        <w:t xml:space="preserve">, only </w:t>
      </w:r>
      <w:r w:rsidR="007746F1">
        <w:rPr>
          <w:rFonts w:cstheme="minorHAnsi"/>
        </w:rPr>
        <w:t>44%</w:t>
      </w:r>
      <w:r w:rsidR="009868B0">
        <w:rPr>
          <w:rFonts w:cstheme="minorHAnsi"/>
        </w:rPr>
        <w:t xml:space="preserve"> percent of </w:t>
      </w:r>
      <w:r w:rsidR="0038530B">
        <w:rPr>
          <w:rFonts w:cstheme="minorHAnsi"/>
        </w:rPr>
        <w:t>these studies</w:t>
      </w:r>
      <w:r w:rsidR="009868B0">
        <w:rPr>
          <w:rFonts w:cstheme="minorHAnsi"/>
        </w:rPr>
        <w:t xml:space="preserve"> gave a</w:t>
      </w:r>
      <w:r w:rsidR="00CF2A50">
        <w:rPr>
          <w:rFonts w:cstheme="minorHAnsi"/>
        </w:rPr>
        <w:t>ny</w:t>
      </w:r>
      <w:r w:rsidR="009868B0">
        <w:rPr>
          <w:rFonts w:cstheme="minorHAnsi"/>
        </w:rPr>
        <w:t xml:space="preserve"> reasonable explanation </w:t>
      </w:r>
      <w:r w:rsidR="004C5207">
        <w:rPr>
          <w:rFonts w:cstheme="minorHAnsi"/>
        </w:rPr>
        <w:t>for their choice of scale</w:t>
      </w:r>
      <w:r w:rsidR="003E6735">
        <w:rPr>
          <w:rFonts w:cstheme="minorHAnsi"/>
        </w:rPr>
        <w:t>. For those that did</w:t>
      </w:r>
      <w:r w:rsidR="00E510F6">
        <w:rPr>
          <w:rFonts w:cstheme="minorHAnsi"/>
        </w:rPr>
        <w:t xml:space="preserve">, </w:t>
      </w:r>
      <w:r w:rsidR="003E6735">
        <w:rPr>
          <w:rFonts w:cstheme="minorHAnsi"/>
        </w:rPr>
        <w:t xml:space="preserve">it </w:t>
      </w:r>
      <w:r w:rsidR="009B1594">
        <w:rPr>
          <w:rFonts w:cstheme="minorHAnsi"/>
        </w:rPr>
        <w:t xml:space="preserve">usually had more to do with </w:t>
      </w:r>
      <w:r w:rsidR="00CE35E3">
        <w:rPr>
          <w:rFonts w:cstheme="minorHAnsi"/>
        </w:rPr>
        <w:t xml:space="preserve">how appropriate the cell size </w:t>
      </w:r>
      <w:r w:rsidR="00E510F6">
        <w:rPr>
          <w:rFonts w:cstheme="minorHAnsi"/>
        </w:rPr>
        <w:t xml:space="preserve">was </w:t>
      </w:r>
      <w:r w:rsidR="00CE35E3">
        <w:rPr>
          <w:rFonts w:cstheme="minorHAnsi"/>
        </w:rPr>
        <w:t xml:space="preserve">for the region, not taxa, </w:t>
      </w:r>
      <w:proofErr w:type="gramStart"/>
      <w:r w:rsidR="00CE35E3">
        <w:rPr>
          <w:rFonts w:cstheme="minorHAnsi"/>
        </w:rPr>
        <w:t>being studied</w:t>
      </w:r>
      <w:proofErr w:type="gramEnd"/>
      <w:r w:rsidR="00CE35E3">
        <w:rPr>
          <w:rFonts w:cstheme="minorHAnsi"/>
        </w:rPr>
        <w:t xml:space="preserve">. </w:t>
      </w:r>
      <w:r w:rsidR="004C5207">
        <w:rPr>
          <w:rFonts w:cstheme="minorHAnsi"/>
        </w:rPr>
        <w:t xml:space="preserve"> </w:t>
      </w:r>
      <w:r w:rsidR="00FB52EE">
        <w:rPr>
          <w:rFonts w:cstheme="minorHAnsi"/>
        </w:rPr>
        <w:t xml:space="preserve">It appears that </w:t>
      </w:r>
      <w:r w:rsidR="00502FA5">
        <w:rPr>
          <w:rFonts w:cstheme="minorHAnsi"/>
        </w:rPr>
        <w:t xml:space="preserve">fully </w:t>
      </w:r>
      <w:r w:rsidR="00FB52EE">
        <w:rPr>
          <w:rFonts w:cstheme="minorHAnsi"/>
        </w:rPr>
        <w:t xml:space="preserve">considering the </w:t>
      </w:r>
      <w:r w:rsidR="0088418C">
        <w:rPr>
          <w:rFonts w:cstheme="minorHAnsi"/>
        </w:rPr>
        <w:t>appropriateness</w:t>
      </w:r>
      <w:r w:rsidR="00FB52EE">
        <w:rPr>
          <w:rFonts w:cstheme="minorHAnsi"/>
        </w:rPr>
        <w:t xml:space="preserve"> of </w:t>
      </w:r>
      <w:r w:rsidR="00502FA5">
        <w:rPr>
          <w:rFonts w:cstheme="minorHAnsi"/>
        </w:rPr>
        <w:t xml:space="preserve">a </w:t>
      </w:r>
      <w:r w:rsidR="00FB52EE">
        <w:rPr>
          <w:rFonts w:cstheme="minorHAnsi"/>
        </w:rPr>
        <w:t xml:space="preserve">scale on the </w:t>
      </w:r>
      <w:proofErr w:type="gramStart"/>
      <w:r w:rsidR="00C061CA">
        <w:rPr>
          <w:rFonts w:cstheme="minorHAnsi"/>
        </w:rPr>
        <w:t xml:space="preserve">particular </w:t>
      </w:r>
      <w:r w:rsidR="00FB52EE">
        <w:rPr>
          <w:rFonts w:cstheme="minorHAnsi"/>
        </w:rPr>
        <w:t>species</w:t>
      </w:r>
      <w:proofErr w:type="gramEnd"/>
      <w:r w:rsidR="00FB52EE">
        <w:rPr>
          <w:rFonts w:cstheme="minorHAnsi"/>
        </w:rPr>
        <w:t xml:space="preserve"> being </w:t>
      </w:r>
      <w:r w:rsidR="00502FA5">
        <w:rPr>
          <w:rFonts w:cstheme="minorHAnsi"/>
        </w:rPr>
        <w:t>analysed</w:t>
      </w:r>
      <w:r w:rsidR="00FB52EE">
        <w:rPr>
          <w:rFonts w:cstheme="minorHAnsi"/>
        </w:rPr>
        <w:t xml:space="preserve"> is lacking </w:t>
      </w:r>
      <w:r w:rsidR="00502FA5">
        <w:rPr>
          <w:rFonts w:cstheme="minorHAnsi"/>
        </w:rPr>
        <w:t>in</w:t>
      </w:r>
      <w:r w:rsidR="00FB52EE">
        <w:rPr>
          <w:rFonts w:cstheme="minorHAnsi"/>
        </w:rPr>
        <w:t xml:space="preserve"> the literature.</w:t>
      </w:r>
    </w:p>
    <w:p w14:paraId="6859FD0A" w14:textId="7CEF05A9" w:rsidR="00FC459E" w:rsidRPr="00FC459E" w:rsidRDefault="00FC459E" w:rsidP="00CD4263">
      <w:pPr>
        <w:jc w:val="both"/>
        <w:rPr>
          <w:b/>
          <w:bCs/>
        </w:rPr>
      </w:pPr>
      <w:r w:rsidRPr="00FC459E">
        <w:rPr>
          <w:rFonts w:cstheme="minorHAnsi"/>
          <w:b/>
          <w:bCs/>
        </w:rPr>
        <w:t>1.4 | Our investigation</w:t>
      </w:r>
    </w:p>
    <w:p w14:paraId="129E80C4" w14:textId="2360EABC" w:rsidR="003216E5" w:rsidRDefault="00013EA0" w:rsidP="00CD4263">
      <w:pPr>
        <w:jc w:val="both"/>
      </w:pPr>
      <w:r>
        <w:t xml:space="preserve">Using five </w:t>
      </w:r>
      <w:proofErr w:type="spellStart"/>
      <w:r>
        <w:t>Myrtaceae</w:t>
      </w:r>
      <w:proofErr w:type="spellEnd"/>
      <w:r>
        <w:t xml:space="preserve"> genera</w:t>
      </w:r>
      <w:r w:rsidR="001D54B3">
        <w:t>,</w:t>
      </w:r>
      <w:r w:rsidR="00D75971">
        <w:t xml:space="preserve"> </w:t>
      </w:r>
      <w:r w:rsidR="00FA514D">
        <w:t>I first assessed the effect of scale on differences between AOO and EOO range size. I then</w:t>
      </w:r>
      <w:r w:rsidR="00D75971">
        <w:t xml:space="preserve"> test</w:t>
      </w:r>
      <w:r w:rsidR="00565B64">
        <w:t xml:space="preserve">ed </w:t>
      </w:r>
      <w:r w:rsidR="00013014">
        <w:t xml:space="preserve">the combined effects of scale and </w:t>
      </w:r>
      <w:r w:rsidR="001D54B3">
        <w:t xml:space="preserve">choice of </w:t>
      </w:r>
      <w:r w:rsidR="00013014">
        <w:t xml:space="preserve">range size method </w:t>
      </w:r>
      <w:r w:rsidR="006A140B" w:rsidRPr="006A140B">
        <w:t>on the differences in (</w:t>
      </w:r>
      <w:r w:rsidR="009E18A0">
        <w:t>1</w:t>
      </w:r>
      <w:r w:rsidR="006A140B" w:rsidRPr="006A140B">
        <w:t>) patterns of weighted endemism, and (</w:t>
      </w:r>
      <w:r w:rsidR="009E18A0">
        <w:t>2</w:t>
      </w:r>
      <w:r w:rsidR="006A140B" w:rsidRPr="006A140B">
        <w:t>) selection of endemic hotspots</w:t>
      </w:r>
      <w:r w:rsidR="00A5230A">
        <w:t xml:space="preserve">. </w:t>
      </w:r>
      <w:r w:rsidR="00D92CA8">
        <w:t xml:space="preserve">To the best of </w:t>
      </w:r>
      <w:r w:rsidR="00C917A0">
        <w:t>my</w:t>
      </w:r>
      <w:r w:rsidR="00D92CA8">
        <w:t xml:space="preserve"> knowledge, this is the first study to investigate th</w:t>
      </w:r>
      <w:r w:rsidR="00CC196E">
        <w:t>ese effects</w:t>
      </w:r>
      <w:r w:rsidR="000D1EB8">
        <w:t>.</w:t>
      </w:r>
      <w:r w:rsidR="001D54B3">
        <w:t xml:space="preserve"> As </w:t>
      </w:r>
      <w:r w:rsidR="00776BDE">
        <w:t>differences between</w:t>
      </w:r>
      <w:r w:rsidR="00C03B53">
        <w:t xml:space="preserve"> </w:t>
      </w:r>
      <w:r w:rsidR="001D54B3">
        <w:t xml:space="preserve">AOO and EOO </w:t>
      </w:r>
      <w:r w:rsidR="00776BDE">
        <w:t xml:space="preserve">depend on the species </w:t>
      </w:r>
      <w:proofErr w:type="gramStart"/>
      <w:r w:rsidR="00776BDE">
        <w:t>being assessed</w:t>
      </w:r>
      <w:proofErr w:type="gramEnd"/>
      <w:r w:rsidR="00776BDE">
        <w:t xml:space="preserve">, </w:t>
      </w:r>
      <w:r w:rsidR="00C917A0">
        <w:t>I</w:t>
      </w:r>
      <w:r w:rsidR="00142A06">
        <w:t xml:space="preserve"> hypothesise</w:t>
      </w:r>
      <w:r w:rsidR="001A3311">
        <w:t>d</w:t>
      </w:r>
      <w:r w:rsidR="00142A06">
        <w:t xml:space="preserve"> that </w:t>
      </w:r>
      <w:r w:rsidR="000D1EB8">
        <w:t xml:space="preserve">these </w:t>
      </w:r>
      <w:r w:rsidR="00776BDE">
        <w:t xml:space="preserve">scale-method </w:t>
      </w:r>
      <w:r w:rsidR="000D1EB8">
        <w:t>effects are</w:t>
      </w:r>
      <w:r w:rsidR="00142A06">
        <w:t xml:space="preserve"> taxa specific</w:t>
      </w:r>
      <w:r w:rsidR="001D54B3">
        <w:t xml:space="preserve">. </w:t>
      </w:r>
      <w:r w:rsidR="00C421BA">
        <w:t xml:space="preserve">As a </w:t>
      </w:r>
      <w:proofErr w:type="gramStart"/>
      <w:r w:rsidR="00C421BA">
        <w:t>particular limitation</w:t>
      </w:r>
      <w:proofErr w:type="gramEnd"/>
      <w:r w:rsidR="00C421BA">
        <w:t xml:space="preserve"> </w:t>
      </w:r>
      <w:r w:rsidR="00F218A6">
        <w:t>of</w:t>
      </w:r>
      <w:r w:rsidR="00C421BA">
        <w:t xml:space="preserve"> EOO is that species with minimal non-polygon forming </w:t>
      </w:r>
      <w:r w:rsidR="00B82470">
        <w:t>occurrences</w:t>
      </w:r>
      <w:r w:rsidR="00C421BA">
        <w:t xml:space="preserve"> </w:t>
      </w:r>
      <w:r w:rsidR="00B82470">
        <w:t>must be assigned an alternative range size, I</w:t>
      </w:r>
      <w:r w:rsidR="00F93FB7">
        <w:t xml:space="preserve"> also</w:t>
      </w:r>
      <w:r w:rsidR="00B82470">
        <w:t xml:space="preserve"> investigated the</w:t>
      </w:r>
      <w:r w:rsidR="0011658F">
        <w:t xml:space="preserve"> impact of the</w:t>
      </w:r>
      <w:r w:rsidR="00B82470">
        <w:t xml:space="preserve"> different methods used to deal with this on patterns of weighted endemism</w:t>
      </w:r>
      <w:r w:rsidR="0011658F">
        <w:t>. From th</w:t>
      </w:r>
      <w:r w:rsidR="00A7115B">
        <w:t>ese</w:t>
      </w:r>
      <w:r w:rsidR="0011658F">
        <w:t xml:space="preserve"> </w:t>
      </w:r>
      <w:r w:rsidR="00A7115B">
        <w:t>analyses</w:t>
      </w:r>
      <w:r w:rsidR="0011658F">
        <w:t xml:space="preserve"> I hope to highlight the importance of</w:t>
      </w:r>
      <w:r w:rsidR="002D489B">
        <w:t xml:space="preserve"> </w:t>
      </w:r>
      <w:r w:rsidR="006D5EA0">
        <w:t xml:space="preserve">more detailed </w:t>
      </w:r>
      <w:r w:rsidR="003216E5">
        <w:t xml:space="preserve">discussion and investigation of these effects in the weighted endemism and broader literature. </w:t>
      </w:r>
      <w:r w:rsidR="00384050">
        <w:t xml:space="preserve">Doing so will ensure we can be confident in making </w:t>
      </w:r>
      <w:r w:rsidR="002D489B">
        <w:t xml:space="preserve">any </w:t>
      </w:r>
      <w:r w:rsidR="00F218A6">
        <w:t>recommendations</w:t>
      </w:r>
      <w:r w:rsidR="00384050">
        <w:t xml:space="preserve"> related to biodiversity conservation and management.</w:t>
      </w:r>
    </w:p>
    <w:p w14:paraId="38495830" w14:textId="77777777" w:rsidR="00D76DC8" w:rsidRDefault="00D76DC8" w:rsidP="00CD4263">
      <w:pPr>
        <w:jc w:val="both"/>
        <w:rPr>
          <w:b/>
          <w:bCs/>
          <w:sz w:val="24"/>
          <w:szCs w:val="24"/>
        </w:rPr>
      </w:pPr>
    </w:p>
    <w:p w14:paraId="3EA06888" w14:textId="3057EDC4" w:rsidR="00FA08FD" w:rsidRPr="00DD2850" w:rsidRDefault="00DD2850" w:rsidP="00CD4263">
      <w:pPr>
        <w:jc w:val="both"/>
        <w:rPr>
          <w:b/>
          <w:bCs/>
          <w:sz w:val="24"/>
          <w:szCs w:val="24"/>
        </w:rPr>
      </w:pPr>
      <w:r w:rsidRPr="00DD2850">
        <w:rPr>
          <w:b/>
          <w:bCs/>
          <w:sz w:val="24"/>
          <w:szCs w:val="24"/>
        </w:rPr>
        <w:t xml:space="preserve">2 | </w:t>
      </w:r>
      <w:r w:rsidR="00FA08FD" w:rsidRPr="00DD2850">
        <w:rPr>
          <w:b/>
          <w:bCs/>
          <w:sz w:val="24"/>
          <w:szCs w:val="24"/>
        </w:rPr>
        <w:t>Methods</w:t>
      </w:r>
    </w:p>
    <w:p w14:paraId="5FCDB3D3" w14:textId="37F037B0" w:rsidR="00CE03C7" w:rsidRPr="00DD2850" w:rsidRDefault="00DD2850" w:rsidP="00CD4263">
      <w:pPr>
        <w:jc w:val="both"/>
        <w:rPr>
          <w:b/>
          <w:bCs/>
        </w:rPr>
      </w:pPr>
      <w:r w:rsidRPr="00DD2850">
        <w:rPr>
          <w:b/>
          <w:bCs/>
        </w:rPr>
        <w:t xml:space="preserve">2. 1 | </w:t>
      </w:r>
      <w:r w:rsidR="00CE03C7" w:rsidRPr="00DD2850">
        <w:rPr>
          <w:b/>
          <w:bCs/>
        </w:rPr>
        <w:t>Choice of taxa and source of data</w:t>
      </w:r>
    </w:p>
    <w:p w14:paraId="084641E5" w14:textId="15953634" w:rsidR="00CE03C7" w:rsidRDefault="00887151" w:rsidP="00CD4263">
      <w:pPr>
        <w:jc w:val="both"/>
      </w:pPr>
      <w:r>
        <w:t>I</w:t>
      </w:r>
      <w:r w:rsidR="00CE03C7">
        <w:t xml:space="preserve"> </w:t>
      </w:r>
      <w:r w:rsidR="0055417D">
        <w:t>selected</w:t>
      </w:r>
      <w:r w:rsidR="00CE03C7">
        <w:t xml:space="preserve"> five </w:t>
      </w:r>
      <w:proofErr w:type="spellStart"/>
      <w:r w:rsidR="00CE03C7">
        <w:t>Myrtaceae</w:t>
      </w:r>
      <w:proofErr w:type="spellEnd"/>
      <w:r w:rsidR="00CE03C7">
        <w:t xml:space="preserve"> </w:t>
      </w:r>
      <w:r w:rsidR="00297664">
        <w:t xml:space="preserve">genera; </w:t>
      </w:r>
      <w:r w:rsidR="00297664" w:rsidRPr="00A276DC">
        <w:rPr>
          <w:i/>
          <w:iCs/>
        </w:rPr>
        <w:t xml:space="preserve">Eucalyptus, </w:t>
      </w:r>
      <w:proofErr w:type="spellStart"/>
      <w:r w:rsidR="00297664" w:rsidRPr="00A276DC">
        <w:rPr>
          <w:i/>
          <w:iCs/>
        </w:rPr>
        <w:t>Corymbia</w:t>
      </w:r>
      <w:proofErr w:type="spellEnd"/>
      <w:r w:rsidR="00297664" w:rsidRPr="00A276DC">
        <w:rPr>
          <w:i/>
          <w:iCs/>
        </w:rPr>
        <w:t xml:space="preserve">, </w:t>
      </w:r>
      <w:r w:rsidR="00A276DC" w:rsidRPr="00A276DC">
        <w:rPr>
          <w:i/>
          <w:iCs/>
        </w:rPr>
        <w:t>Melaleuca</w:t>
      </w:r>
      <w:r w:rsidR="00297664" w:rsidRPr="00A276DC">
        <w:rPr>
          <w:i/>
          <w:iCs/>
        </w:rPr>
        <w:t xml:space="preserve">, Callistemon </w:t>
      </w:r>
      <w:r w:rsidR="00297664" w:rsidRPr="00A276DC">
        <w:t>and</w:t>
      </w:r>
      <w:r w:rsidR="00297664" w:rsidRPr="00A276DC">
        <w:rPr>
          <w:i/>
          <w:iCs/>
        </w:rPr>
        <w:t xml:space="preserve"> </w:t>
      </w:r>
      <w:r w:rsidR="00A276DC" w:rsidRPr="00A276DC">
        <w:rPr>
          <w:i/>
          <w:iCs/>
        </w:rPr>
        <w:t>Leptospermum</w:t>
      </w:r>
      <w:r w:rsidR="00A276DC">
        <w:t xml:space="preserve">. </w:t>
      </w:r>
      <w:r w:rsidR="00220D3F">
        <w:t xml:space="preserve">Australian </w:t>
      </w:r>
      <w:r w:rsidR="00630690">
        <w:t xml:space="preserve">occurrence data for all genera </w:t>
      </w:r>
      <w:proofErr w:type="gramStart"/>
      <w:r w:rsidR="00630690">
        <w:t xml:space="preserve">was </w:t>
      </w:r>
      <w:r w:rsidR="00C9589F">
        <w:t>retrieved</w:t>
      </w:r>
      <w:proofErr w:type="gramEnd"/>
      <w:r w:rsidR="00630690">
        <w:t xml:space="preserve"> from the Atlas of Living Australia (ALA, 2020</w:t>
      </w:r>
      <w:r w:rsidR="00D80455">
        <w:t xml:space="preserve">; </w:t>
      </w:r>
      <w:r w:rsidR="00274E3A">
        <w:t xml:space="preserve">Appendix </w:t>
      </w:r>
      <w:proofErr w:type="spellStart"/>
      <w:r w:rsidR="00274E3A">
        <w:t>S4</w:t>
      </w:r>
      <w:proofErr w:type="spellEnd"/>
      <w:r w:rsidR="00630690">
        <w:t>).</w:t>
      </w:r>
      <w:r w:rsidR="00F73F76">
        <w:t xml:space="preserve"> </w:t>
      </w:r>
      <w:r w:rsidR="00B571CF">
        <w:t xml:space="preserve">Due to the possible influence </w:t>
      </w:r>
      <w:r w:rsidR="007A5062">
        <w:t xml:space="preserve">of </w:t>
      </w:r>
      <w:r w:rsidR="00FF780E">
        <w:t xml:space="preserve">difficulties in identification and </w:t>
      </w:r>
      <w:r w:rsidR="00B571CF">
        <w:t>limited sampling effort</w:t>
      </w:r>
      <w:r w:rsidR="00FF780E">
        <w:t xml:space="preserve">, </w:t>
      </w:r>
      <w:proofErr w:type="gramStart"/>
      <w:r w:rsidR="00B571CF">
        <w:t>h</w:t>
      </w:r>
      <w:r w:rsidR="00A63F34">
        <w:t>ybrids</w:t>
      </w:r>
      <w:proofErr w:type="gramEnd"/>
      <w:r w:rsidR="00A63F34">
        <w:t xml:space="preserve"> and species without accepted names were excluded</w:t>
      </w:r>
      <w:r w:rsidR="00B571CF">
        <w:t xml:space="preserve"> for all data sets</w:t>
      </w:r>
      <w:r w:rsidR="008F7E2D">
        <w:t xml:space="preserve"> (see </w:t>
      </w:r>
      <w:r w:rsidR="00B65D19">
        <w:t>A</w:t>
      </w:r>
      <w:r w:rsidR="008F7E2D">
        <w:t xml:space="preserve">ppendix </w:t>
      </w:r>
      <w:proofErr w:type="spellStart"/>
      <w:r w:rsidR="008F7E2D">
        <w:t>S</w:t>
      </w:r>
      <w:r w:rsidR="00274E3A">
        <w:t>5</w:t>
      </w:r>
      <w:proofErr w:type="spellEnd"/>
      <w:r w:rsidR="008F7E2D">
        <w:t xml:space="preserve"> for summary details on</w:t>
      </w:r>
      <w:r w:rsidR="00BE2856">
        <w:t xml:space="preserve"> the included</w:t>
      </w:r>
      <w:r w:rsidR="008F7E2D">
        <w:t xml:space="preserve"> </w:t>
      </w:r>
      <w:r w:rsidR="00E36C2F">
        <w:t xml:space="preserve">data). </w:t>
      </w:r>
      <w:r w:rsidR="004A09D5">
        <w:t xml:space="preserve"> </w:t>
      </w:r>
      <w:r w:rsidR="003149BF">
        <w:t>For this analysis, o</w:t>
      </w:r>
      <w:r w:rsidR="00EC5751">
        <w:t xml:space="preserve">utliers </w:t>
      </w:r>
      <w:proofErr w:type="gramStart"/>
      <w:r w:rsidR="00EC5751">
        <w:t>were removed</w:t>
      </w:r>
      <w:proofErr w:type="gramEnd"/>
      <w:r w:rsidR="00EC5751">
        <w:t xml:space="preserve"> using the 95% centroid method (</w:t>
      </w:r>
      <w:r w:rsidR="00B65D19">
        <w:t>A</w:t>
      </w:r>
      <w:r w:rsidR="00EB12C5">
        <w:t xml:space="preserve">ppendix </w:t>
      </w:r>
      <w:proofErr w:type="spellStart"/>
      <w:r w:rsidR="00EB12C5">
        <w:t>S</w:t>
      </w:r>
      <w:r w:rsidR="00274E3A">
        <w:t>6</w:t>
      </w:r>
      <w:proofErr w:type="spellEnd"/>
      <w:r w:rsidR="00EB12C5">
        <w:t>).</w:t>
      </w:r>
    </w:p>
    <w:p w14:paraId="60A18F97" w14:textId="79140576" w:rsidR="00A458F8" w:rsidRPr="00DD2850" w:rsidRDefault="00DD2850" w:rsidP="00CD4263">
      <w:pPr>
        <w:jc w:val="both"/>
        <w:rPr>
          <w:b/>
          <w:bCs/>
        </w:rPr>
      </w:pPr>
      <w:r w:rsidRPr="00DD2850">
        <w:rPr>
          <w:b/>
          <w:bCs/>
        </w:rPr>
        <w:t xml:space="preserve">2.2 | </w:t>
      </w:r>
      <w:r w:rsidR="00A458F8" w:rsidRPr="00DD2850">
        <w:rPr>
          <w:b/>
          <w:bCs/>
        </w:rPr>
        <w:t xml:space="preserve">The effect of scale on AOO </w:t>
      </w:r>
      <w:r w:rsidR="005A5AD5">
        <w:rPr>
          <w:b/>
          <w:bCs/>
        </w:rPr>
        <w:t>versus</w:t>
      </w:r>
      <w:r w:rsidR="00A458F8" w:rsidRPr="00DD2850">
        <w:rPr>
          <w:b/>
          <w:bCs/>
        </w:rPr>
        <w:t xml:space="preserve"> EOO</w:t>
      </w:r>
    </w:p>
    <w:p w14:paraId="70712EB9" w14:textId="7066D0C5" w:rsidR="00214B03" w:rsidRDefault="00E345AC" w:rsidP="00CD4263">
      <w:pPr>
        <w:jc w:val="both"/>
      </w:pPr>
      <w:r>
        <w:t>Area of occupancy (</w:t>
      </w:r>
      <w:r w:rsidR="00214B03" w:rsidRPr="00214B03">
        <w:t>AOO</w:t>
      </w:r>
      <w:r>
        <w:t>)</w:t>
      </w:r>
      <w:r w:rsidR="00214B03" w:rsidRPr="00214B03">
        <w:t xml:space="preserve"> range size</w:t>
      </w:r>
      <w:r w:rsidR="0005624C">
        <w:t>s</w:t>
      </w:r>
      <w:r w:rsidR="00214B03" w:rsidRPr="00214B03">
        <w:t xml:space="preserve"> of all species </w:t>
      </w:r>
      <w:proofErr w:type="gramStart"/>
      <w:r w:rsidR="0005624C">
        <w:t>were calculated</w:t>
      </w:r>
      <w:proofErr w:type="gramEnd"/>
      <w:r w:rsidR="0005624C">
        <w:t xml:space="preserve"> </w:t>
      </w:r>
      <w:r w:rsidR="00214B03" w:rsidRPr="00214B03">
        <w:t xml:space="preserve">using four different grid cell sizes: approximately </w:t>
      </w:r>
      <w:r w:rsidR="00BA3B53">
        <w:t>1</w:t>
      </w:r>
      <w:r w:rsidR="00214B03" w:rsidRPr="00214B03">
        <w:t>, 110, 11,00</w:t>
      </w:r>
      <w:r w:rsidR="00992D80">
        <w:t>0</w:t>
      </w:r>
      <w:r w:rsidR="00214B03" w:rsidRPr="00214B03">
        <w:t xml:space="preserve"> and 20,000 square kilometres. These </w:t>
      </w:r>
      <w:proofErr w:type="gramStart"/>
      <w:r w:rsidR="00214B03" w:rsidRPr="00214B03">
        <w:t>were then compared</w:t>
      </w:r>
      <w:proofErr w:type="gramEnd"/>
      <w:r w:rsidR="00214B03" w:rsidRPr="00214B03">
        <w:t xml:space="preserve"> </w:t>
      </w:r>
      <w:r w:rsidR="00D71D9F">
        <w:t xml:space="preserve">to </w:t>
      </w:r>
      <w:r w:rsidR="00214B03" w:rsidRPr="00214B03">
        <w:t>t</w:t>
      </w:r>
      <w:r w:rsidR="00D352A5">
        <w:t>he</w:t>
      </w:r>
      <w:r w:rsidR="00214B03" w:rsidRPr="00214B03">
        <w:t xml:space="preserve"> range sizes </w:t>
      </w:r>
      <w:r w:rsidR="00E41148">
        <w:t xml:space="preserve">calculated </w:t>
      </w:r>
      <w:r w:rsidR="00214B03" w:rsidRPr="00214B03">
        <w:t xml:space="preserve">using </w:t>
      </w:r>
      <w:r w:rsidR="002252DE">
        <w:t>extent of occurrence (</w:t>
      </w:r>
      <w:r w:rsidR="00214B03" w:rsidRPr="00214B03">
        <w:t>EOO</w:t>
      </w:r>
      <w:r w:rsidR="002252DE">
        <w:t>)</w:t>
      </w:r>
      <w:r w:rsidR="00214B03" w:rsidRPr="00214B03">
        <w:t>.</w:t>
      </w:r>
    </w:p>
    <w:p w14:paraId="66D658DA" w14:textId="184D2583" w:rsidR="006C5594" w:rsidRPr="00DD2850" w:rsidRDefault="00DD2850" w:rsidP="00CD4263">
      <w:pPr>
        <w:jc w:val="both"/>
        <w:rPr>
          <w:b/>
          <w:bCs/>
        </w:rPr>
      </w:pPr>
      <w:r w:rsidRPr="00DD2850">
        <w:rPr>
          <w:b/>
          <w:bCs/>
        </w:rPr>
        <w:t xml:space="preserve">2.3 | </w:t>
      </w:r>
      <w:r w:rsidR="00845129" w:rsidRPr="00DD2850">
        <w:rPr>
          <w:b/>
          <w:bCs/>
        </w:rPr>
        <w:t>T</w:t>
      </w:r>
      <w:r w:rsidR="006C5594" w:rsidRPr="00DD2850">
        <w:rPr>
          <w:b/>
          <w:bCs/>
        </w:rPr>
        <w:t>he joint effect of method and scale on weighted endemism</w:t>
      </w:r>
    </w:p>
    <w:p w14:paraId="1C6464E5" w14:textId="6F90A9EC" w:rsidR="000602BA" w:rsidRDefault="000602BA" w:rsidP="00CD4263">
      <w:pPr>
        <w:jc w:val="both"/>
      </w:pPr>
      <w:r>
        <w:t>Weighted endemism</w:t>
      </w:r>
      <w:r w:rsidR="00B23ED3">
        <w:t xml:space="preserve"> </w:t>
      </w:r>
      <w:r w:rsidR="00396D3C">
        <w:t xml:space="preserve">(WE) </w:t>
      </w:r>
      <w:r w:rsidR="00B23ED3">
        <w:t xml:space="preserve">using each range weight method </w:t>
      </w:r>
      <w:proofErr w:type="gramStart"/>
      <w:r w:rsidR="00B23ED3">
        <w:t>was calculat</w:t>
      </w:r>
      <w:r w:rsidR="0055417D">
        <w:t>ed</w:t>
      </w:r>
      <w:proofErr w:type="gramEnd"/>
      <w:r w:rsidR="0055417D">
        <w:t xml:space="preserve"> for each genus across Australia</w:t>
      </w:r>
      <w:r w:rsidR="007E6154">
        <w:t xml:space="preserve"> u</w:t>
      </w:r>
      <w:r>
        <w:t xml:space="preserve">sing a modified version of </w:t>
      </w:r>
      <w:r w:rsidRPr="000602BA">
        <w:t>Guerin</w:t>
      </w:r>
      <w:r w:rsidR="0095781F">
        <w:t xml:space="preserve"> et al. </w:t>
      </w:r>
      <w:r w:rsidRPr="000602BA">
        <w:t>(2015) weighted endemism function</w:t>
      </w:r>
      <w:r>
        <w:t xml:space="preserve"> (see appendix </w:t>
      </w:r>
      <w:proofErr w:type="spellStart"/>
      <w:r>
        <w:lastRenderedPageBreak/>
        <w:t>S</w:t>
      </w:r>
      <w:r w:rsidR="00274E3A">
        <w:t>7</w:t>
      </w:r>
      <w:proofErr w:type="spellEnd"/>
      <w:r>
        <w:t>)</w:t>
      </w:r>
      <w:r w:rsidR="007E6154">
        <w:t xml:space="preserve"> in R version </w:t>
      </w:r>
      <w:r w:rsidR="00D5470E">
        <w:t>3.6.3 (R Core Team, 20</w:t>
      </w:r>
      <w:r w:rsidR="00115AD5">
        <w:t>20</w:t>
      </w:r>
      <w:r w:rsidR="00D5470E">
        <w:t>)</w:t>
      </w:r>
      <w:r w:rsidR="00026118">
        <w:t>.</w:t>
      </w:r>
      <w:r w:rsidR="004401C9">
        <w:t xml:space="preserve"> Normalised scaling </w:t>
      </w:r>
      <w:proofErr w:type="gramStart"/>
      <w:r w:rsidR="004401C9">
        <w:t>was applied</w:t>
      </w:r>
      <w:proofErr w:type="gramEnd"/>
      <w:r w:rsidR="004401C9">
        <w:t xml:space="preserve"> to all </w:t>
      </w:r>
      <w:r w:rsidR="002252DE">
        <w:t>weighted endemism</w:t>
      </w:r>
      <w:r w:rsidR="007F1444">
        <w:t xml:space="preserve"> </w:t>
      </w:r>
      <w:r w:rsidR="00965A7E">
        <w:t xml:space="preserve">cell </w:t>
      </w:r>
      <w:r w:rsidR="007F1444">
        <w:t>values</w:t>
      </w:r>
      <w:r w:rsidR="004401C9">
        <w:t xml:space="preserve">. </w:t>
      </w:r>
      <w:r w:rsidR="00A71469">
        <w:t xml:space="preserve">To measure how endemism differs when calculated using the opposing range weight methods, </w:t>
      </w:r>
      <w:r w:rsidR="00887151">
        <w:t>I</w:t>
      </w:r>
      <w:r w:rsidR="00A71469">
        <w:t xml:space="preserve"> created two </w:t>
      </w:r>
      <w:r w:rsidR="00E27A4B">
        <w:t>metrics:</w:t>
      </w:r>
      <w:r w:rsidR="00A71469">
        <w:t xml:space="preserve"> endemism difference</w:t>
      </w:r>
      <w:r w:rsidR="0052273A">
        <w:t xml:space="preserve"> (ED)</w:t>
      </w:r>
      <w:r w:rsidR="00395060">
        <w:t xml:space="preserve"> and </w:t>
      </w:r>
      <w:r w:rsidR="00395060" w:rsidRPr="00395060">
        <w:t>hotspot difference (HD)</w:t>
      </w:r>
      <w:r w:rsidR="00395060">
        <w:t>.</w:t>
      </w:r>
    </w:p>
    <w:p w14:paraId="40AA7D1E" w14:textId="193F64F9" w:rsidR="00C82F6D" w:rsidRDefault="009C6B55" w:rsidP="00CD4263">
      <w:pPr>
        <w:jc w:val="both"/>
      </w:pPr>
      <w:r>
        <w:t>ED</w:t>
      </w:r>
      <w:r w:rsidR="00E345AC">
        <w:t xml:space="preserve"> </w:t>
      </w:r>
      <w:r w:rsidR="001C11DE">
        <w:t xml:space="preserve">is the </w:t>
      </w:r>
      <w:r w:rsidR="001A6642">
        <w:t xml:space="preserve">absolute </w:t>
      </w:r>
      <w:r w:rsidR="001C11DE">
        <w:t xml:space="preserve">mean difference between all non-zero cell values of weighted endemism maps calculated using </w:t>
      </w:r>
      <w:r w:rsidR="002C54BC">
        <w:t xml:space="preserve">AOO and EOO </w:t>
      </w:r>
      <w:r w:rsidR="001A6642">
        <w:t>(</w:t>
      </w:r>
      <w:r w:rsidR="001A186A">
        <w:t>E</w:t>
      </w:r>
      <w:r w:rsidR="001A6642">
        <w:t>q</w:t>
      </w:r>
      <w:r w:rsidR="00FF08F8">
        <w:t>uation</w:t>
      </w:r>
      <w:r w:rsidR="001A6642">
        <w:t xml:space="preserve"> 1)</w:t>
      </w:r>
      <w:r w:rsidR="001C11DE">
        <w:t>.</w:t>
      </w:r>
    </w:p>
    <w:p w14:paraId="4B5E3253" w14:textId="0B475AC8" w:rsidR="00F67205" w:rsidRDefault="002F7ED4" w:rsidP="00CD4263">
      <w:pPr>
        <w:jc w:val="both"/>
        <w:rPr>
          <w:rFonts w:eastAsiaTheme="minorEastAsia"/>
          <w:szCs w:val="20"/>
        </w:rPr>
      </w:pPr>
      <w:bookmarkStart w:id="0" w:name="_Hlk41145333"/>
      <m:oMath>
        <m:r>
          <m:rPr>
            <m:sty m:val="p"/>
          </m:rPr>
          <w:rPr>
            <w:rFonts w:ascii="Cambria Math" w:hAnsi="Cambria Math"/>
            <w:sz w:val="24"/>
          </w:rPr>
          <m:t>ED</m:t>
        </m:r>
        <m:r>
          <w:rPr>
            <w:rFonts w:ascii="Cambria Math" w:hAnsi="Cambria Math"/>
            <w:sz w:val="24"/>
          </w:rPr>
          <m:t>=</m:t>
        </m:r>
        <w:bookmarkStart w:id="1" w:name="_Hlk41374233"/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WE(AOO)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WE(EOO)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bookmarkStart w:id="2" w:name="_Hlk41152665"/>
      <w:bookmarkEnd w:id="0"/>
      <w:r w:rsidR="00342321">
        <w:rPr>
          <w:rFonts w:eastAsiaTheme="minorEastAsia"/>
          <w:szCs w:val="20"/>
        </w:rPr>
        <w:t xml:space="preserve"> </w:t>
      </w:r>
      <w:bookmarkEnd w:id="1"/>
      <w:bookmarkEnd w:id="2"/>
      <w:r w:rsidR="00F67205">
        <w:rPr>
          <w:rFonts w:eastAsiaTheme="minorEastAsia"/>
          <w:szCs w:val="20"/>
        </w:rPr>
        <w:t>,</w:t>
      </w:r>
      <w:r w:rsidR="00F67205">
        <w:rPr>
          <w:rFonts w:eastAsiaTheme="minorEastAsia"/>
          <w:szCs w:val="20"/>
        </w:rPr>
        <w:tab/>
      </w:r>
      <w:r w:rsidR="00F67205" w:rsidRPr="00F67205">
        <w:rPr>
          <w:rFonts w:eastAsiaTheme="minorEastAsia"/>
          <w:szCs w:val="20"/>
        </w:rPr>
        <w:tab/>
      </w:r>
      <w:r w:rsidR="00F67205" w:rsidRPr="00F67205">
        <w:rPr>
          <w:rFonts w:eastAsiaTheme="minorEastAsia"/>
          <w:szCs w:val="20"/>
        </w:rPr>
        <w:tab/>
      </w:r>
      <w:r w:rsidR="00F67205" w:rsidRPr="00F67205">
        <w:rPr>
          <w:rFonts w:eastAsiaTheme="minorEastAsia"/>
          <w:szCs w:val="20"/>
        </w:rPr>
        <w:tab/>
      </w:r>
      <w:r w:rsidR="00F67205" w:rsidRPr="00F67205">
        <w:rPr>
          <w:rFonts w:eastAsiaTheme="minorEastAsia"/>
          <w:szCs w:val="20"/>
        </w:rPr>
        <w:tab/>
      </w:r>
      <w:r w:rsidR="00F67205" w:rsidRPr="00F67205">
        <w:rPr>
          <w:rFonts w:eastAsiaTheme="minorEastAsia"/>
          <w:szCs w:val="20"/>
        </w:rPr>
        <w:tab/>
      </w:r>
      <w:r w:rsidR="00F67205" w:rsidRPr="00F67205">
        <w:rPr>
          <w:rFonts w:eastAsiaTheme="minorEastAsia"/>
          <w:szCs w:val="20"/>
        </w:rPr>
        <w:tab/>
      </w:r>
      <w:r w:rsidR="005B0A97">
        <w:rPr>
          <w:rFonts w:eastAsiaTheme="minorEastAsia"/>
          <w:szCs w:val="20"/>
        </w:rPr>
        <w:tab/>
      </w:r>
      <w:r w:rsidR="005B0A97">
        <w:rPr>
          <w:rFonts w:eastAsiaTheme="minorEastAsia"/>
          <w:szCs w:val="20"/>
        </w:rPr>
        <w:tab/>
      </w:r>
      <w:r w:rsidR="00F67205" w:rsidRPr="00F67205">
        <w:rPr>
          <w:rFonts w:eastAsiaTheme="minorEastAsia"/>
          <w:szCs w:val="20"/>
        </w:rPr>
        <w:t xml:space="preserve"> (1)</w:t>
      </w:r>
    </w:p>
    <w:p w14:paraId="6DE7BDB8" w14:textId="6601AF56" w:rsidR="00220D3F" w:rsidRDefault="00220D3F" w:rsidP="00CD4263">
      <w:pPr>
        <w:jc w:val="both"/>
      </w:pPr>
      <w:r>
        <w:t xml:space="preserve">where </w:t>
      </w:r>
      <w:r w:rsidR="00396D3C">
        <w:t>WE(AOO) and WE(EOO)</w:t>
      </w:r>
      <w:r>
        <w:t xml:space="preserve"> </w:t>
      </w:r>
      <w:r w:rsidR="00396D3C">
        <w:t xml:space="preserve">are the two gridded </w:t>
      </w:r>
      <w:r w:rsidR="002252DE">
        <w:t>WE</w:t>
      </w:r>
      <w:r w:rsidR="00396D3C">
        <w:t xml:space="preserve"> maps </w:t>
      </w:r>
      <w:r>
        <w:t xml:space="preserve">generated using each method, </w:t>
      </w:r>
      <w:proofErr w:type="spellStart"/>
      <w:r w:rsidR="005B0A97">
        <w:t>i</w:t>
      </w:r>
      <w:proofErr w:type="spellEnd"/>
      <w:r>
        <w:t xml:space="preserve"> is the position of the corresponding cells within each </w:t>
      </w:r>
      <w:r w:rsidR="00197AE6">
        <w:t xml:space="preserve">WE </w:t>
      </w:r>
      <w:r w:rsidR="004A6B9C">
        <w:t>grid</w:t>
      </w:r>
      <w:r>
        <w:t xml:space="preserve"> and n is the total number of </w:t>
      </w:r>
      <w:r w:rsidR="004A6B9C">
        <w:t>non-zero grid</w:t>
      </w:r>
      <w:r>
        <w:t xml:space="preserve"> cells (per </w:t>
      </w:r>
      <w:r w:rsidR="004A6B9C">
        <w:t>grid</w:t>
      </w:r>
      <w:r>
        <w:t xml:space="preserve">). </w:t>
      </w:r>
      <w:r w:rsidR="00B136D1">
        <w:t xml:space="preserve">This metric is useful in understanding the </w:t>
      </w:r>
      <w:r w:rsidR="00F64CDA">
        <w:t>overall</w:t>
      </w:r>
      <w:r w:rsidR="005B0A97">
        <w:t>,</w:t>
      </w:r>
      <w:r w:rsidR="00F64CDA">
        <w:t xml:space="preserve"> more general</w:t>
      </w:r>
      <w:r w:rsidR="005B0A97">
        <w:t>,</w:t>
      </w:r>
      <w:r w:rsidR="00F64CDA">
        <w:t xml:space="preserve"> differences between patterns of WE generated using EOO and AOO.</w:t>
      </w:r>
    </w:p>
    <w:p w14:paraId="6C6ADEAE" w14:textId="69B0722C" w:rsidR="00395060" w:rsidRDefault="00E345AC" w:rsidP="00CD4263">
      <w:pPr>
        <w:jc w:val="both"/>
      </w:pPr>
      <w:r>
        <w:t>HD</w:t>
      </w:r>
      <w:r w:rsidR="00395060" w:rsidRPr="00395060">
        <w:t xml:space="preserve"> is the percent difference in selection of endemic hotspots based on weighted endemism maps calculated using </w:t>
      </w:r>
      <w:r w:rsidR="002C54BC">
        <w:t>AOO and EOO</w:t>
      </w:r>
      <w:r w:rsidR="00395060" w:rsidRPr="00395060">
        <w:t xml:space="preserve">. </w:t>
      </w:r>
      <w:r w:rsidR="00887151">
        <w:t>I</w:t>
      </w:r>
      <w:r w:rsidR="002B017F">
        <w:t xml:space="preserve"> identified hotspots</w:t>
      </w:r>
      <w:r w:rsidR="00FE164B">
        <w:t xml:space="preserve"> through selecting the highest value</w:t>
      </w:r>
      <w:r w:rsidR="00061B94">
        <w:t>d</w:t>
      </w:r>
      <w:r w:rsidR="00FE164B">
        <w:t xml:space="preserve"> cells that make up </w:t>
      </w:r>
      <w:r w:rsidR="00BA3B53">
        <w:t>5%</w:t>
      </w:r>
      <w:r w:rsidR="001A186A">
        <w:t xml:space="preserve"> </w:t>
      </w:r>
      <w:r w:rsidR="00FE164B">
        <w:t>(</w:t>
      </w:r>
      <w:r w:rsidR="00061B94" w:rsidRPr="00061B94">
        <w:t>384,414 square kilometres</w:t>
      </w:r>
      <w:r w:rsidR="00061B94">
        <w:t>)</w:t>
      </w:r>
      <w:r w:rsidR="00FE164B">
        <w:t xml:space="preserve"> of the total </w:t>
      </w:r>
      <w:r w:rsidR="00AD5BED">
        <w:t xml:space="preserve">land </w:t>
      </w:r>
      <w:r w:rsidR="00FE164B">
        <w:t xml:space="preserve">area </w:t>
      </w:r>
      <w:proofErr w:type="gramStart"/>
      <w:r w:rsidR="00FE164B">
        <w:t>being analysed</w:t>
      </w:r>
      <w:proofErr w:type="gramEnd"/>
      <w:r w:rsidR="00FE164B">
        <w:t xml:space="preserve">. This percentage </w:t>
      </w:r>
      <w:r w:rsidR="00305BB2">
        <w:t>is one commonly chosen in</w:t>
      </w:r>
      <w:r w:rsidR="00285BFF">
        <w:t xml:space="preserve"> regional studies of </w:t>
      </w:r>
      <w:r w:rsidR="00395060" w:rsidRPr="00395060">
        <w:t xml:space="preserve">roughly the same </w:t>
      </w:r>
      <w:r w:rsidR="00415F8A">
        <w:t>size</w:t>
      </w:r>
      <w:r w:rsidR="00401035">
        <w:t xml:space="preserve"> </w:t>
      </w:r>
      <w:r w:rsidR="00401035" w:rsidRPr="00401035">
        <w:t>(Huang et al., 2012; Huang et al., 2016)</w:t>
      </w:r>
      <w:r w:rsidR="00395060" w:rsidRPr="00395060">
        <w:t xml:space="preserve">. </w:t>
      </w:r>
      <w:r w:rsidR="00305BB2">
        <w:t>HD</w:t>
      </w:r>
      <w:r w:rsidR="00395060" w:rsidRPr="00395060">
        <w:t xml:space="preserve"> values of zero indicate that every cell chosen using one method </w:t>
      </w:r>
      <w:proofErr w:type="gramStart"/>
      <w:r w:rsidR="00395060" w:rsidRPr="00395060">
        <w:t>was also chosen</w:t>
      </w:r>
      <w:proofErr w:type="gramEnd"/>
      <w:r w:rsidR="00395060" w:rsidRPr="00395060">
        <w:t xml:space="preserve"> using the other</w:t>
      </w:r>
      <w:r w:rsidR="000D1706">
        <w:t xml:space="preserve">. </w:t>
      </w:r>
      <w:r w:rsidR="00395060" w:rsidRPr="00395060">
        <w:t xml:space="preserve">This metric is particularly useful in understanding how the method and scale chosen can significantly impact identification of hotspots and therefore </w:t>
      </w:r>
      <w:r w:rsidR="00B30376">
        <w:t xml:space="preserve">recommendations for conservation planning and </w:t>
      </w:r>
      <w:r w:rsidR="00395060" w:rsidRPr="00395060">
        <w:t>management</w:t>
      </w:r>
      <w:r w:rsidR="00B30376">
        <w:t>.</w:t>
      </w:r>
    </w:p>
    <w:p w14:paraId="297E373B" w14:textId="3118EC75" w:rsidR="00663FDE" w:rsidRDefault="00FF5D17" w:rsidP="00CD4263">
      <w:pPr>
        <w:jc w:val="both"/>
      </w:pPr>
      <w:r>
        <w:t xml:space="preserve">To test the impact of scale, </w:t>
      </w:r>
      <w:r w:rsidR="00887151">
        <w:t>I</w:t>
      </w:r>
      <w:r w:rsidR="00663FDE">
        <w:t xml:space="preserve"> calculated </w:t>
      </w:r>
      <w:r w:rsidR="004F267B">
        <w:t xml:space="preserve">ED and HD using </w:t>
      </w:r>
      <w:r w:rsidR="00076981">
        <w:t>31</w:t>
      </w:r>
      <w:r w:rsidR="00544C1D">
        <w:t xml:space="preserve"> </w:t>
      </w:r>
      <w:r w:rsidR="00D361CE">
        <w:t xml:space="preserve">different </w:t>
      </w:r>
      <w:r w:rsidR="00544C1D">
        <w:t>grid cell sizes</w:t>
      </w:r>
      <w:r w:rsidR="00F43856">
        <w:t xml:space="preserve"> </w:t>
      </w:r>
      <w:r w:rsidR="00B25E11">
        <w:t xml:space="preserve">ranging from </w:t>
      </w:r>
      <w:r w:rsidR="005E7EE4">
        <w:t>1</w:t>
      </w:r>
      <w:r w:rsidR="006E4628">
        <w:t xml:space="preserve"> to 2</w:t>
      </w:r>
      <w:r w:rsidR="00076981">
        <w:t>0</w:t>
      </w:r>
      <w:r w:rsidR="006E4628">
        <w:t>,</w:t>
      </w:r>
      <w:r w:rsidR="00076981">
        <w:t>00</w:t>
      </w:r>
      <w:r w:rsidR="006E4628">
        <w:t>0 square kilometres</w:t>
      </w:r>
      <w:r w:rsidR="00D06451">
        <w:t xml:space="preserve">. </w:t>
      </w:r>
      <w:r w:rsidR="006E4628">
        <w:t xml:space="preserve">This range encompassed </w:t>
      </w:r>
      <w:r w:rsidR="000D1706">
        <w:t>most</w:t>
      </w:r>
      <w:r w:rsidR="006E4628">
        <w:t xml:space="preserve"> </w:t>
      </w:r>
      <w:r w:rsidR="0044402B">
        <w:t xml:space="preserve">scales </w:t>
      </w:r>
      <w:r w:rsidR="00C3463B">
        <w:t xml:space="preserve">observed </w:t>
      </w:r>
      <w:r w:rsidR="0044402B">
        <w:t xml:space="preserve">in the literature </w:t>
      </w:r>
      <w:r w:rsidR="00551B20">
        <w:t>review</w:t>
      </w:r>
      <w:r w:rsidR="0044402B">
        <w:t xml:space="preserve"> described </w:t>
      </w:r>
      <w:r w:rsidR="00551B20">
        <w:t>earlier.</w:t>
      </w:r>
    </w:p>
    <w:p w14:paraId="503DD5E4" w14:textId="3814E542" w:rsidR="006C5594" w:rsidRPr="005A5AD5" w:rsidRDefault="005A5AD5" w:rsidP="00CD4263">
      <w:pPr>
        <w:jc w:val="both"/>
        <w:rPr>
          <w:b/>
          <w:bCs/>
        </w:rPr>
      </w:pPr>
      <w:r w:rsidRPr="005A5AD5">
        <w:rPr>
          <w:b/>
          <w:bCs/>
        </w:rPr>
        <w:t>2.4 |</w:t>
      </w:r>
      <w:r w:rsidR="008458C8">
        <w:rPr>
          <w:b/>
          <w:bCs/>
        </w:rPr>
        <w:t xml:space="preserve"> M</w:t>
      </w:r>
      <w:r w:rsidR="006C5594" w:rsidRPr="005A5AD5">
        <w:rPr>
          <w:b/>
          <w:bCs/>
        </w:rPr>
        <w:t xml:space="preserve">ethods for </w:t>
      </w:r>
      <w:r w:rsidR="002F25AD" w:rsidRPr="005A5AD5">
        <w:rPr>
          <w:b/>
          <w:bCs/>
        </w:rPr>
        <w:t>dealing with minimal occurrence</w:t>
      </w:r>
      <w:r w:rsidR="00AF14CA" w:rsidRPr="005A5AD5">
        <w:rPr>
          <w:b/>
          <w:bCs/>
        </w:rPr>
        <w:t xml:space="preserve"> record </w:t>
      </w:r>
      <w:r w:rsidR="002F25AD" w:rsidRPr="005A5AD5">
        <w:rPr>
          <w:b/>
          <w:bCs/>
        </w:rPr>
        <w:t>species</w:t>
      </w:r>
    </w:p>
    <w:p w14:paraId="4F05EDC5" w14:textId="2434229E" w:rsidR="005D6AB7" w:rsidRDefault="009B0012" w:rsidP="00CD4263">
      <w:pPr>
        <w:jc w:val="both"/>
      </w:pPr>
      <w:r>
        <w:t xml:space="preserve">For genera containing species with occurrence records that cannot </w:t>
      </w:r>
      <w:r w:rsidR="00634E4D">
        <w:t xml:space="preserve">generate a polygon </w:t>
      </w:r>
      <w:r w:rsidR="00D06451">
        <w:t xml:space="preserve">(relevant </w:t>
      </w:r>
      <w:r w:rsidR="00634E4D">
        <w:t>for EOO</w:t>
      </w:r>
      <w:r w:rsidR="00D06451">
        <w:t xml:space="preserve"> only)</w:t>
      </w:r>
      <w:r w:rsidR="00634E4D">
        <w:t xml:space="preserve">, </w:t>
      </w:r>
      <w:r w:rsidR="00887151">
        <w:t>I</w:t>
      </w:r>
      <w:r w:rsidR="00236294">
        <w:t xml:space="preserve"> tested four different minimal occurrence methods: removal</w:t>
      </w:r>
      <w:r w:rsidR="008F25AC">
        <w:t xml:space="preserve"> </w:t>
      </w:r>
      <w:r w:rsidR="00236294">
        <w:t>from data set, assign</w:t>
      </w:r>
      <w:r w:rsidR="001E18B8">
        <w:t xml:space="preserve">ing </w:t>
      </w:r>
      <w:r w:rsidR="00236294">
        <w:t xml:space="preserve">a set </w:t>
      </w:r>
      <w:r w:rsidR="00C0689A">
        <w:t>area per record</w:t>
      </w:r>
      <w:r w:rsidR="00236294">
        <w:t xml:space="preserve">, </w:t>
      </w:r>
      <w:r w:rsidR="007710C7">
        <w:t>distance</w:t>
      </w:r>
      <w:r w:rsidR="00382882">
        <w:t xml:space="preserve"> between </w:t>
      </w:r>
      <w:r w:rsidR="007710C7">
        <w:t>records</w:t>
      </w:r>
      <w:r w:rsidR="00382882">
        <w:t xml:space="preserve"> and </w:t>
      </w:r>
      <w:r w:rsidR="001E18B8">
        <w:t xml:space="preserve">record </w:t>
      </w:r>
      <w:r w:rsidR="00382882">
        <w:t xml:space="preserve">jittering (see </w:t>
      </w:r>
      <w:r w:rsidR="002F25AD">
        <w:t>T</w:t>
      </w:r>
      <w:r w:rsidR="00382882">
        <w:t xml:space="preserve">able </w:t>
      </w:r>
      <w:r w:rsidR="00E5736C">
        <w:t>1</w:t>
      </w:r>
      <w:r w:rsidR="00382882">
        <w:t xml:space="preserve"> for details on each method). </w:t>
      </w:r>
      <w:r w:rsidR="005604EE" w:rsidRPr="005604EE">
        <w:t xml:space="preserve">The number of species in which these methods </w:t>
      </w:r>
      <w:proofErr w:type="gramStart"/>
      <w:r w:rsidR="005604EE" w:rsidRPr="005604EE">
        <w:t>were applied</w:t>
      </w:r>
      <w:proofErr w:type="gramEnd"/>
      <w:r w:rsidR="005604EE" w:rsidRPr="005604EE">
        <w:t xml:space="preserve"> was eight in </w:t>
      </w:r>
      <w:r w:rsidR="005604EE" w:rsidRPr="007710C7">
        <w:rPr>
          <w:i/>
          <w:iCs/>
        </w:rPr>
        <w:t>Eucalyptus</w:t>
      </w:r>
      <w:r w:rsidR="005604EE" w:rsidRPr="005604EE">
        <w:t xml:space="preserve">, three in </w:t>
      </w:r>
      <w:r w:rsidR="005604EE" w:rsidRPr="007710C7">
        <w:rPr>
          <w:i/>
          <w:iCs/>
        </w:rPr>
        <w:t>Melaleuca</w:t>
      </w:r>
      <w:r w:rsidR="005604EE" w:rsidRPr="005604EE">
        <w:t xml:space="preserve"> and one in </w:t>
      </w:r>
      <w:r w:rsidR="005604EE" w:rsidRPr="007710C7">
        <w:rPr>
          <w:i/>
          <w:iCs/>
        </w:rPr>
        <w:t>Leptospermum</w:t>
      </w:r>
      <w:r w:rsidR="005604EE" w:rsidRPr="005604EE">
        <w:t xml:space="preserve">, approximately </w:t>
      </w:r>
      <w:r w:rsidR="002F25AD">
        <w:t>one</w:t>
      </w:r>
      <w:r w:rsidR="005604EE" w:rsidRPr="005604EE">
        <w:t xml:space="preserve"> percent of total species in all three cases.</w:t>
      </w:r>
      <w:r w:rsidR="005604EE">
        <w:t xml:space="preserve"> </w:t>
      </w:r>
      <w:r w:rsidR="005604EE" w:rsidRPr="005604EE">
        <w:t xml:space="preserve">The impact of using each method </w:t>
      </w:r>
      <w:proofErr w:type="gramStart"/>
      <w:r w:rsidR="005604EE" w:rsidRPr="005604EE">
        <w:t>was assessed</w:t>
      </w:r>
      <w:proofErr w:type="gramEnd"/>
      <w:r w:rsidR="005604EE" w:rsidRPr="005604EE">
        <w:t xml:space="preserve"> only on </w:t>
      </w:r>
      <w:r w:rsidR="00E345AC">
        <w:t>HD.</w:t>
      </w:r>
    </w:p>
    <w:p w14:paraId="68BB018B" w14:textId="77777777" w:rsidR="00D76DC8" w:rsidRDefault="00D76DC8" w:rsidP="00CD4263">
      <w:pPr>
        <w:jc w:val="both"/>
        <w:rPr>
          <w:b/>
          <w:bCs/>
          <w:sz w:val="24"/>
          <w:szCs w:val="24"/>
        </w:rPr>
      </w:pPr>
    </w:p>
    <w:p w14:paraId="063A2E37" w14:textId="70C8F710" w:rsidR="00FA08FD" w:rsidRPr="005A5AD5" w:rsidRDefault="005A5AD5" w:rsidP="00CD4263">
      <w:pPr>
        <w:jc w:val="both"/>
        <w:rPr>
          <w:b/>
          <w:bCs/>
          <w:sz w:val="24"/>
          <w:szCs w:val="24"/>
        </w:rPr>
      </w:pPr>
      <w:r w:rsidRPr="005A5AD5">
        <w:rPr>
          <w:b/>
          <w:bCs/>
          <w:sz w:val="24"/>
          <w:szCs w:val="24"/>
        </w:rPr>
        <w:t xml:space="preserve">3 | </w:t>
      </w:r>
      <w:r w:rsidR="00FA08FD" w:rsidRPr="005A5AD5">
        <w:rPr>
          <w:b/>
          <w:bCs/>
          <w:sz w:val="24"/>
          <w:szCs w:val="24"/>
        </w:rPr>
        <w:t>Results</w:t>
      </w:r>
    </w:p>
    <w:p w14:paraId="1097049B" w14:textId="7F20C044" w:rsidR="00B179FA" w:rsidRPr="005A5AD5" w:rsidRDefault="005A5AD5" w:rsidP="00CD4263">
      <w:pPr>
        <w:jc w:val="both"/>
        <w:rPr>
          <w:b/>
          <w:bCs/>
        </w:rPr>
      </w:pPr>
      <w:r w:rsidRPr="005A5AD5">
        <w:rPr>
          <w:b/>
          <w:bCs/>
        </w:rPr>
        <w:t xml:space="preserve">3.1 | </w:t>
      </w:r>
      <w:r w:rsidR="00D352A5" w:rsidRPr="005A5AD5">
        <w:rPr>
          <w:b/>
          <w:bCs/>
        </w:rPr>
        <w:t>T</w:t>
      </w:r>
      <w:r w:rsidR="00B179FA" w:rsidRPr="005A5AD5">
        <w:rPr>
          <w:b/>
          <w:bCs/>
        </w:rPr>
        <w:t>he effect of scale on</w:t>
      </w:r>
      <w:r w:rsidR="00155312" w:rsidRPr="005A5AD5">
        <w:rPr>
          <w:b/>
          <w:bCs/>
        </w:rPr>
        <w:t xml:space="preserve"> AOO </w:t>
      </w:r>
      <w:r w:rsidRPr="005A5AD5">
        <w:rPr>
          <w:b/>
          <w:bCs/>
        </w:rPr>
        <w:t>versus</w:t>
      </w:r>
      <w:r w:rsidR="00155312" w:rsidRPr="005A5AD5">
        <w:rPr>
          <w:b/>
          <w:bCs/>
        </w:rPr>
        <w:t xml:space="preserve"> EOO</w:t>
      </w:r>
    </w:p>
    <w:p w14:paraId="06F17990" w14:textId="267CEBBD" w:rsidR="00B179FA" w:rsidRPr="005379EA" w:rsidRDefault="002F3E8A" w:rsidP="00CD4263">
      <w:pPr>
        <w:jc w:val="both"/>
      </w:pPr>
      <w:r>
        <w:t>In general, t</w:t>
      </w:r>
      <w:r w:rsidR="006B377E" w:rsidRPr="006B377E">
        <w:t xml:space="preserve">he </w:t>
      </w:r>
      <w:r w:rsidR="00296E39">
        <w:t xml:space="preserve">percent of species for which extent of occurrence (EOO) </w:t>
      </w:r>
      <w:r w:rsidR="002D31E5">
        <w:t>was larger</w:t>
      </w:r>
      <w:r w:rsidR="00296E39">
        <w:t xml:space="preserve"> than area of occupancy (AOO) </w:t>
      </w:r>
      <w:r w:rsidR="003841F0">
        <w:t>decreased with increasing grid cell size</w:t>
      </w:r>
      <w:r w:rsidR="009A53E9">
        <w:t xml:space="preserve"> (Table 2)</w:t>
      </w:r>
      <w:r w:rsidR="00A2015D">
        <w:t xml:space="preserve">. </w:t>
      </w:r>
      <w:r w:rsidR="00B05459">
        <w:t xml:space="preserve">At the largest </w:t>
      </w:r>
      <w:r w:rsidR="00C218E7">
        <w:t xml:space="preserve">cell size </w:t>
      </w:r>
      <w:r w:rsidR="00470996">
        <w:t>analysed</w:t>
      </w:r>
      <w:r w:rsidR="00A2015D">
        <w:t xml:space="preserve"> (20,000 square kilometres)</w:t>
      </w:r>
      <w:r w:rsidR="00C218E7">
        <w:t xml:space="preserve">, more than 50 percent of species </w:t>
      </w:r>
      <w:r w:rsidR="002D31E5">
        <w:t xml:space="preserve">had </w:t>
      </w:r>
      <w:r w:rsidR="00BF1B5A">
        <w:t>E</w:t>
      </w:r>
      <w:r w:rsidR="00C218E7">
        <w:t xml:space="preserve">OO </w:t>
      </w:r>
      <w:r w:rsidR="002D31E5">
        <w:t xml:space="preserve">ranges </w:t>
      </w:r>
      <w:r w:rsidR="00BF1B5A">
        <w:t>smaller th</w:t>
      </w:r>
      <w:r w:rsidR="003A0F3C">
        <w:t>a</w:t>
      </w:r>
      <w:r w:rsidR="00BF1B5A">
        <w:t>n</w:t>
      </w:r>
      <w:r w:rsidR="00C218E7">
        <w:t xml:space="preserve"> </w:t>
      </w:r>
      <w:r w:rsidR="00BF1B5A">
        <w:t>A</w:t>
      </w:r>
      <w:r w:rsidR="00C218E7">
        <w:t xml:space="preserve">OO </w:t>
      </w:r>
      <w:r w:rsidR="00BF1B5A">
        <w:t>r</w:t>
      </w:r>
      <w:r w:rsidR="00C218E7">
        <w:t xml:space="preserve">anges </w:t>
      </w:r>
      <w:r w:rsidR="00470996">
        <w:t xml:space="preserve">in all </w:t>
      </w:r>
      <w:r w:rsidR="00BF1B5A">
        <w:t>genera</w:t>
      </w:r>
      <w:r w:rsidR="00470996">
        <w:t xml:space="preserve"> </w:t>
      </w:r>
      <w:r w:rsidR="00C218E7">
        <w:t xml:space="preserve">excluding </w:t>
      </w:r>
      <w:r w:rsidR="00C218E7" w:rsidRPr="007A27E6">
        <w:rPr>
          <w:i/>
          <w:iCs/>
        </w:rPr>
        <w:t>Corymbia</w:t>
      </w:r>
      <w:r w:rsidR="009A53E9">
        <w:t xml:space="preserve"> (Table 2)</w:t>
      </w:r>
      <w:r w:rsidR="00C218E7">
        <w:t>.</w:t>
      </w:r>
    </w:p>
    <w:p w14:paraId="3EFECF5C" w14:textId="216C6F07" w:rsidR="00954768" w:rsidRPr="005A5AD5" w:rsidRDefault="005A5AD5" w:rsidP="00CD4263">
      <w:pPr>
        <w:jc w:val="both"/>
        <w:rPr>
          <w:b/>
          <w:bCs/>
        </w:rPr>
      </w:pPr>
      <w:r w:rsidRPr="005A5AD5">
        <w:rPr>
          <w:b/>
          <w:bCs/>
        </w:rPr>
        <w:t xml:space="preserve">3.2 | </w:t>
      </w:r>
      <w:r w:rsidR="00AF14CA" w:rsidRPr="005A5AD5">
        <w:rPr>
          <w:b/>
          <w:bCs/>
        </w:rPr>
        <w:t>T</w:t>
      </w:r>
      <w:r w:rsidR="00954768" w:rsidRPr="005A5AD5">
        <w:rPr>
          <w:b/>
          <w:bCs/>
        </w:rPr>
        <w:t>he joint effect of method and scale on weighted endemism</w:t>
      </w:r>
    </w:p>
    <w:p w14:paraId="57043243" w14:textId="3066310B" w:rsidR="00C64FDE" w:rsidRDefault="00B60721" w:rsidP="00CD4263">
      <w:pPr>
        <w:jc w:val="both"/>
      </w:pPr>
      <w:r>
        <w:t xml:space="preserve">Both endemism difference (ED) and hotspot difference (HD) increased as cell size increased for all genera (Figure 4). </w:t>
      </w:r>
      <w:r w:rsidR="005115F0">
        <w:t>Th</w:t>
      </w:r>
      <w:r w:rsidR="00A55661">
        <w:t xml:space="preserve">e magnitude off this effect was </w:t>
      </w:r>
      <w:r w:rsidR="00FF6BE8">
        <w:t xml:space="preserve">however highly variable and genera specific </w:t>
      </w:r>
      <w:r w:rsidR="009A53E9">
        <w:t>(Figure 4)</w:t>
      </w:r>
      <w:r w:rsidR="00895A01">
        <w:t xml:space="preserve">. </w:t>
      </w:r>
      <w:r w:rsidR="00A55661">
        <w:t>Notably, a</w:t>
      </w:r>
      <w:r w:rsidR="002A65D5">
        <w:t xml:space="preserve">t larger cell sizes, </w:t>
      </w:r>
      <w:r w:rsidR="00FB24FF">
        <w:t xml:space="preserve">Eucalyptus had considerably </w:t>
      </w:r>
      <w:r w:rsidR="0013541E">
        <w:t xml:space="preserve">larger </w:t>
      </w:r>
      <w:r w:rsidR="00FB24FF">
        <w:t>HD values</w:t>
      </w:r>
      <w:r w:rsidR="00603F19">
        <w:t>,</w:t>
      </w:r>
      <w:r w:rsidR="00FB24FF">
        <w:t xml:space="preserve"> up to 70</w:t>
      </w:r>
      <w:r w:rsidR="00295D2F">
        <w:t xml:space="preserve"> percent</w:t>
      </w:r>
      <w:r w:rsidR="008C199C">
        <w:t>,</w:t>
      </w:r>
      <w:r w:rsidR="00324462">
        <w:t xml:space="preserve"> </w:t>
      </w:r>
      <w:r w:rsidR="00802999">
        <w:lastRenderedPageBreak/>
        <w:t xml:space="preserve">generating considerable differences in </w:t>
      </w:r>
      <w:r w:rsidR="00603F19">
        <w:t>which</w:t>
      </w:r>
      <w:r w:rsidR="00802999">
        <w:t xml:space="preserve"> cells </w:t>
      </w:r>
      <w:proofErr w:type="gramStart"/>
      <w:r w:rsidR="00603F19">
        <w:t xml:space="preserve">were </w:t>
      </w:r>
      <w:r w:rsidR="00802999">
        <w:t>chosen</w:t>
      </w:r>
      <w:proofErr w:type="gramEnd"/>
      <w:r w:rsidR="00802999">
        <w:t xml:space="preserve"> as endemic hotspots </w:t>
      </w:r>
      <w:r w:rsidR="00603F19">
        <w:t xml:space="preserve">using each method </w:t>
      </w:r>
      <w:r w:rsidR="00802999">
        <w:t>(</w:t>
      </w:r>
      <w:r w:rsidR="00044B79">
        <w:t xml:space="preserve">Figure </w:t>
      </w:r>
      <w:proofErr w:type="spellStart"/>
      <w:r w:rsidR="00044B79">
        <w:t>4a</w:t>
      </w:r>
      <w:proofErr w:type="spellEnd"/>
      <w:r w:rsidR="00044B79">
        <w:t xml:space="preserve">, </w:t>
      </w:r>
      <w:r w:rsidR="00802999">
        <w:t>Figure 5).</w:t>
      </w:r>
    </w:p>
    <w:p w14:paraId="33B5C813" w14:textId="7745F3DD" w:rsidR="00D370E0" w:rsidRPr="008458C8" w:rsidRDefault="005A5AD5" w:rsidP="00CD4263">
      <w:pPr>
        <w:jc w:val="both"/>
        <w:rPr>
          <w:b/>
          <w:bCs/>
        </w:rPr>
      </w:pPr>
      <w:r w:rsidRPr="008458C8">
        <w:rPr>
          <w:b/>
          <w:bCs/>
        </w:rPr>
        <w:t xml:space="preserve">3.3 | </w:t>
      </w:r>
      <w:r w:rsidR="008458C8">
        <w:rPr>
          <w:b/>
          <w:bCs/>
        </w:rPr>
        <w:t>Methods</w:t>
      </w:r>
      <w:r w:rsidR="006C5594" w:rsidRPr="008458C8">
        <w:rPr>
          <w:b/>
          <w:bCs/>
        </w:rPr>
        <w:t xml:space="preserve"> for d</w:t>
      </w:r>
      <w:r w:rsidR="00155312" w:rsidRPr="008458C8">
        <w:rPr>
          <w:b/>
          <w:bCs/>
        </w:rPr>
        <w:t xml:space="preserve">ealing </w:t>
      </w:r>
      <w:r w:rsidR="00D370E0" w:rsidRPr="008458C8">
        <w:rPr>
          <w:b/>
          <w:bCs/>
        </w:rPr>
        <w:t>with minimal occurrence</w:t>
      </w:r>
      <w:r w:rsidR="00AF14CA" w:rsidRPr="008458C8">
        <w:rPr>
          <w:b/>
          <w:bCs/>
        </w:rPr>
        <w:t xml:space="preserve"> record </w:t>
      </w:r>
      <w:r w:rsidR="002F25AD" w:rsidRPr="008458C8">
        <w:rPr>
          <w:b/>
          <w:bCs/>
        </w:rPr>
        <w:t>species</w:t>
      </w:r>
    </w:p>
    <w:p w14:paraId="71D63412" w14:textId="1B0665ED" w:rsidR="00F56F28" w:rsidRPr="001B6E9E" w:rsidRDefault="00810334" w:rsidP="00CD4263">
      <w:pPr>
        <w:jc w:val="both"/>
      </w:pPr>
      <w:r>
        <w:t>Choice of m</w:t>
      </w:r>
      <w:r w:rsidR="00D370E0" w:rsidRPr="001B6E9E">
        <w:t xml:space="preserve">inimal </w:t>
      </w:r>
      <w:r>
        <w:t xml:space="preserve">occurrence </w:t>
      </w:r>
      <w:r w:rsidR="00D370E0" w:rsidRPr="001B6E9E">
        <w:t xml:space="preserve">method had no considerable impact on </w:t>
      </w:r>
      <w:r w:rsidR="00BA3704">
        <w:t xml:space="preserve">HD </w:t>
      </w:r>
      <w:r w:rsidR="001B6E9E" w:rsidRPr="001B6E9E">
        <w:t xml:space="preserve">across all </w:t>
      </w:r>
      <w:r w:rsidR="001B6E9E">
        <w:t>cell sizes</w:t>
      </w:r>
      <w:r w:rsidR="001B6E9E" w:rsidRPr="001B6E9E">
        <w:t xml:space="preserve"> in each </w:t>
      </w:r>
      <w:r w:rsidR="005E482D">
        <w:t>of the three relevant genera.</w:t>
      </w:r>
    </w:p>
    <w:p w14:paraId="776F72A3" w14:textId="77777777" w:rsidR="001A3311" w:rsidRDefault="001A3311" w:rsidP="00CD4263">
      <w:pPr>
        <w:jc w:val="both"/>
        <w:rPr>
          <w:b/>
          <w:bCs/>
          <w:sz w:val="24"/>
          <w:szCs w:val="24"/>
        </w:rPr>
      </w:pPr>
    </w:p>
    <w:p w14:paraId="6704C1E0" w14:textId="5819F8ED" w:rsidR="00FA08FD" w:rsidRDefault="001D38F3" w:rsidP="00CD426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 | </w:t>
      </w:r>
      <w:r w:rsidR="00FA08FD" w:rsidRPr="001D38F3">
        <w:rPr>
          <w:b/>
          <w:bCs/>
          <w:sz w:val="24"/>
          <w:szCs w:val="24"/>
        </w:rPr>
        <w:t>Discussion</w:t>
      </w:r>
    </w:p>
    <w:p w14:paraId="04EAE9A8" w14:textId="6F5301FA" w:rsidR="001D38F3" w:rsidRPr="00442C7E" w:rsidRDefault="001D38F3" w:rsidP="00CD4263">
      <w:pPr>
        <w:jc w:val="both"/>
        <w:rPr>
          <w:b/>
          <w:bCs/>
        </w:rPr>
      </w:pPr>
      <w:r w:rsidRPr="00442C7E">
        <w:rPr>
          <w:b/>
          <w:bCs/>
        </w:rPr>
        <w:t>4.1 | The effect of scale on AOO versus EOO</w:t>
      </w:r>
    </w:p>
    <w:p w14:paraId="15B73985" w14:textId="4A963FC3" w:rsidR="00D912C9" w:rsidRDefault="00810334" w:rsidP="00CD4263">
      <w:pPr>
        <w:jc w:val="both"/>
      </w:pPr>
      <w:r>
        <w:t>Extent of occurrence (</w:t>
      </w:r>
      <w:r w:rsidR="0059081D">
        <w:t>EOO</w:t>
      </w:r>
      <w:r>
        <w:t xml:space="preserve">) </w:t>
      </w:r>
      <w:r w:rsidR="0035312C">
        <w:t xml:space="preserve">and </w:t>
      </w:r>
      <w:r>
        <w:t>area of occupancy (</w:t>
      </w:r>
      <w:r w:rsidR="00210C3D">
        <w:t>AOO</w:t>
      </w:r>
      <w:r>
        <w:t>)</w:t>
      </w:r>
      <w:r w:rsidR="0035312C">
        <w:t xml:space="preserve"> are </w:t>
      </w:r>
      <w:r w:rsidR="009B1475">
        <w:t>two fundamentally distinct methods of calculating a species range size</w:t>
      </w:r>
      <w:r w:rsidR="00514B8C">
        <w:t xml:space="preserve">, each </w:t>
      </w:r>
      <w:r w:rsidR="00210C3D">
        <w:t>serving different purposes</w:t>
      </w:r>
      <w:r w:rsidR="00026855">
        <w:t xml:space="preserve"> </w:t>
      </w:r>
      <w:r w:rsidR="0087305A">
        <w:t xml:space="preserve">and </w:t>
      </w:r>
      <w:r w:rsidR="00026855">
        <w:t>with different limitations</w:t>
      </w:r>
      <w:r w:rsidR="00325868">
        <w:t xml:space="preserve"> (Gaston &amp; Fuller, 2006)</w:t>
      </w:r>
      <w:r w:rsidR="00463313">
        <w:t xml:space="preserve">. </w:t>
      </w:r>
      <w:r w:rsidR="00393871">
        <w:t>Our</w:t>
      </w:r>
      <w:r w:rsidR="007D04D7">
        <w:t xml:space="preserve"> analysis of </w:t>
      </w:r>
      <w:r w:rsidR="000B665B">
        <w:t xml:space="preserve">the impact of scale on </w:t>
      </w:r>
      <w:r w:rsidR="00400F30">
        <w:t>AOO</w:t>
      </w:r>
      <w:r w:rsidR="00393871">
        <w:t xml:space="preserve"> and EOO range sizes </w:t>
      </w:r>
      <w:r w:rsidR="00C5159E">
        <w:t xml:space="preserve">generated </w:t>
      </w:r>
      <w:r w:rsidR="004221E7">
        <w:t>surprising</w:t>
      </w:r>
      <w:r w:rsidR="00C5159E">
        <w:t xml:space="preserve"> results.</w:t>
      </w:r>
      <w:r w:rsidR="00760974">
        <w:t xml:space="preserve"> By definition</w:t>
      </w:r>
      <w:r w:rsidR="00EE627F">
        <w:t>,</w:t>
      </w:r>
      <w:r w:rsidR="00760974">
        <w:t xml:space="preserve"> and throughout the </w:t>
      </w:r>
      <w:r w:rsidR="00C5159E">
        <w:t>literature</w:t>
      </w:r>
      <w:r w:rsidR="00400F30">
        <w:t>,</w:t>
      </w:r>
      <w:r w:rsidR="00C5159E">
        <w:t xml:space="preserve"> AOO </w:t>
      </w:r>
      <w:proofErr w:type="gramStart"/>
      <w:r w:rsidR="00C5159E">
        <w:t xml:space="preserve">is considered to </w:t>
      </w:r>
      <w:r w:rsidR="00A76F61">
        <w:t>be</w:t>
      </w:r>
      <w:proofErr w:type="gramEnd"/>
      <w:r w:rsidR="00A76F61">
        <w:t xml:space="preserve"> equal </w:t>
      </w:r>
      <w:r w:rsidR="00760974">
        <w:t>or less than</w:t>
      </w:r>
      <w:r w:rsidR="00C5159E">
        <w:t xml:space="preserve"> EOO</w:t>
      </w:r>
      <w:r w:rsidR="00A76F61">
        <w:t xml:space="preserve"> (Gaston &amp; Fuller, 2006</w:t>
      </w:r>
      <w:r w:rsidR="000C7809">
        <w:t>)</w:t>
      </w:r>
      <w:r w:rsidR="00C5159E">
        <w:t>. Based on that, it would be intuitive to predict that as scale increases</w:t>
      </w:r>
      <w:r w:rsidR="0089290B">
        <w:t>,</w:t>
      </w:r>
      <w:r w:rsidR="00C5159E">
        <w:t xml:space="preserve"> AOO</w:t>
      </w:r>
      <w:r w:rsidR="00B82858">
        <w:t xml:space="preserve"> would become more </w:t>
      </w:r>
      <w:proofErr w:type="gramStart"/>
      <w:r w:rsidR="00B82858">
        <w:t>similar to</w:t>
      </w:r>
      <w:proofErr w:type="gramEnd"/>
      <w:r w:rsidR="00B82858">
        <w:t xml:space="preserve"> EOO. </w:t>
      </w:r>
      <w:r w:rsidR="00A75C14">
        <w:t>Although inherently true a</w:t>
      </w:r>
      <w:r w:rsidR="00411B51">
        <w:t>t</w:t>
      </w:r>
      <w:r w:rsidR="00A75C14">
        <w:t xml:space="preserve"> miniscule scales</w:t>
      </w:r>
      <w:r w:rsidR="00D57591">
        <w:t xml:space="preserve">, for </w:t>
      </w:r>
      <w:r w:rsidR="00BB4026">
        <w:t xml:space="preserve">some </w:t>
      </w:r>
      <w:r w:rsidR="004221E7">
        <w:t xml:space="preserve">species </w:t>
      </w:r>
      <w:r w:rsidR="00B82858">
        <w:t>studied here,</w:t>
      </w:r>
      <w:r w:rsidR="00A33454">
        <w:t xml:space="preserve"> AOO </w:t>
      </w:r>
      <w:r w:rsidR="00400F30">
        <w:t>exceeded</w:t>
      </w:r>
      <w:r w:rsidR="00605D4A">
        <w:t xml:space="preserve"> EOO</w:t>
      </w:r>
      <w:r w:rsidR="004221E7">
        <w:t xml:space="preserve"> even at relatively </w:t>
      </w:r>
      <w:r w:rsidR="00400F30">
        <w:t>small</w:t>
      </w:r>
      <w:r w:rsidR="004221E7">
        <w:t xml:space="preserve"> cell sizes</w:t>
      </w:r>
      <w:r w:rsidR="00507EC5">
        <w:t xml:space="preserve"> (</w:t>
      </w:r>
      <w:r w:rsidR="00280212">
        <w:t>T</w:t>
      </w:r>
      <w:r w:rsidR="00507EC5">
        <w:t>able 2)</w:t>
      </w:r>
      <w:r w:rsidR="00605D4A">
        <w:t xml:space="preserve">. </w:t>
      </w:r>
      <w:r w:rsidR="00205B3B">
        <w:t xml:space="preserve">As </w:t>
      </w:r>
      <w:r w:rsidR="003113F9">
        <w:t xml:space="preserve">mentioned earlier, scales </w:t>
      </w:r>
      <w:r w:rsidR="00836F45">
        <w:t xml:space="preserve">that produce such effects would </w:t>
      </w:r>
      <w:proofErr w:type="gramStart"/>
      <w:r w:rsidR="00836F45">
        <w:t>be considered</w:t>
      </w:r>
      <w:proofErr w:type="gramEnd"/>
      <w:r w:rsidR="00836F45">
        <w:t xml:space="preserve"> </w:t>
      </w:r>
      <w:r w:rsidR="00FE07A9">
        <w:t>unsuitable</w:t>
      </w:r>
      <w:r w:rsidR="00836F45">
        <w:t xml:space="preserve"> for said species.</w:t>
      </w:r>
      <w:r w:rsidR="00451D24">
        <w:t xml:space="preserve"> This criticism may be appropriate for a single species analysis, </w:t>
      </w:r>
      <w:r w:rsidR="00D57591">
        <w:t>but</w:t>
      </w:r>
      <w:r w:rsidR="00451D24">
        <w:t xml:space="preserve"> when applying such method</w:t>
      </w:r>
      <w:r w:rsidR="00EA0045">
        <w:t>s</w:t>
      </w:r>
      <w:r w:rsidR="00451D24">
        <w:t xml:space="preserve"> to measurements of biodiversity, </w:t>
      </w:r>
      <w:r w:rsidR="00EA0045">
        <w:t>whe</w:t>
      </w:r>
      <w:r w:rsidR="00D57591">
        <w:t>re</w:t>
      </w:r>
      <w:r w:rsidR="00EA0045">
        <w:t xml:space="preserve"> </w:t>
      </w:r>
      <w:r w:rsidR="007D7611">
        <w:t xml:space="preserve">only a single cell size can </w:t>
      </w:r>
      <w:proofErr w:type="gramStart"/>
      <w:r w:rsidR="007D7611">
        <w:t xml:space="preserve">be </w:t>
      </w:r>
      <w:r w:rsidR="001C6A13">
        <w:t>applied</w:t>
      </w:r>
      <w:proofErr w:type="gramEnd"/>
      <w:r w:rsidR="007D7611">
        <w:t xml:space="preserve">, </w:t>
      </w:r>
      <w:r w:rsidR="00EA0045">
        <w:t xml:space="preserve">such criticism </w:t>
      </w:r>
      <w:r w:rsidR="00615B66">
        <w:t xml:space="preserve">is </w:t>
      </w:r>
      <w:r w:rsidR="001110F1">
        <w:t>less supported</w:t>
      </w:r>
      <w:r w:rsidR="00615B66">
        <w:t xml:space="preserve">. </w:t>
      </w:r>
      <w:r w:rsidR="007D7611">
        <w:t xml:space="preserve"> </w:t>
      </w:r>
      <w:r w:rsidR="00F40C7D">
        <w:t xml:space="preserve">Using </w:t>
      </w:r>
      <w:r w:rsidR="00F40C7D" w:rsidRPr="00E40F4B">
        <w:rPr>
          <w:i/>
          <w:iCs/>
        </w:rPr>
        <w:t xml:space="preserve">Melaleuca </w:t>
      </w:r>
      <w:proofErr w:type="spellStart"/>
      <w:r w:rsidR="00F40C7D" w:rsidRPr="00E40F4B">
        <w:rPr>
          <w:i/>
          <w:iCs/>
        </w:rPr>
        <w:t>lophocoracorum</w:t>
      </w:r>
      <w:proofErr w:type="spellEnd"/>
      <w:r w:rsidR="00D912C9">
        <w:t xml:space="preserve"> as an example</w:t>
      </w:r>
      <w:r w:rsidR="00F40C7D">
        <w:t>, a species known only to occur in a small area of the Ravenshoe State Forest (QLD)</w:t>
      </w:r>
      <w:r w:rsidR="00D912C9">
        <w:t xml:space="preserve">, </w:t>
      </w:r>
      <w:r w:rsidR="008C0E8A">
        <w:t xml:space="preserve">even at </w:t>
      </w:r>
      <w:r w:rsidR="000458A8">
        <w:t>cell</w:t>
      </w:r>
      <w:r w:rsidR="008C0E8A">
        <w:t xml:space="preserve"> sizes of </w:t>
      </w:r>
      <w:r w:rsidR="00F40C7D">
        <w:t>1 square kil</w:t>
      </w:r>
      <w:r w:rsidR="00AF6EF3">
        <w:t>ometr</w:t>
      </w:r>
      <w:r w:rsidR="00E321CF">
        <w:t>e</w:t>
      </w:r>
      <w:r w:rsidR="00D912C9">
        <w:t xml:space="preserve"> AOO </w:t>
      </w:r>
      <w:r w:rsidR="00E40F4B">
        <w:t>exceeded</w:t>
      </w:r>
      <w:r w:rsidR="00D912C9">
        <w:t xml:space="preserve"> EOO.</w:t>
      </w:r>
      <w:r w:rsidR="00FE2A2C">
        <w:t xml:space="preserve"> </w:t>
      </w:r>
      <w:r w:rsidR="00BB4026">
        <w:t xml:space="preserve">By </w:t>
      </w:r>
      <w:r w:rsidR="00CA7B60">
        <w:t xml:space="preserve">contrast, for species such as </w:t>
      </w:r>
      <w:r w:rsidR="00E321CF" w:rsidRPr="00E40F4B">
        <w:rPr>
          <w:i/>
          <w:iCs/>
        </w:rPr>
        <w:t>M</w:t>
      </w:r>
      <w:r w:rsidR="00FB199B">
        <w:rPr>
          <w:i/>
          <w:iCs/>
        </w:rPr>
        <w:t>.</w:t>
      </w:r>
      <w:r w:rsidR="00E321CF" w:rsidRPr="00E40F4B">
        <w:rPr>
          <w:i/>
          <w:iCs/>
        </w:rPr>
        <w:t xml:space="preserve"> sericea</w:t>
      </w:r>
      <w:r w:rsidR="00FE2A2C">
        <w:t>, known to have quite a wide distribution in north</w:t>
      </w:r>
      <w:r w:rsidR="00A35113">
        <w:t>ern</w:t>
      </w:r>
      <w:r w:rsidR="00FE2A2C">
        <w:t xml:space="preserve"> WA</w:t>
      </w:r>
      <w:r w:rsidR="00A35113">
        <w:t xml:space="preserve"> and NT, </w:t>
      </w:r>
      <w:r w:rsidR="00AD4DB4">
        <w:t>AOO was less than EOO for most cell sizes</w:t>
      </w:r>
      <w:r w:rsidR="00F970D9">
        <w:t xml:space="preserve">. </w:t>
      </w:r>
      <w:r w:rsidR="005C183C">
        <w:t xml:space="preserve">Here, choice of a very small </w:t>
      </w:r>
      <w:r w:rsidR="009101C6">
        <w:t xml:space="preserve">scale suitable for </w:t>
      </w:r>
      <w:r w:rsidR="009101C6" w:rsidRPr="0099179A">
        <w:rPr>
          <w:i/>
          <w:iCs/>
        </w:rPr>
        <w:t xml:space="preserve">M. </w:t>
      </w:r>
      <w:proofErr w:type="spellStart"/>
      <w:r w:rsidR="009101C6" w:rsidRPr="0099179A">
        <w:rPr>
          <w:i/>
          <w:iCs/>
        </w:rPr>
        <w:t>lophocoracorum</w:t>
      </w:r>
      <w:proofErr w:type="spellEnd"/>
      <w:r w:rsidR="009101C6">
        <w:t xml:space="preserve"> would be </w:t>
      </w:r>
      <w:r w:rsidR="0099179A">
        <w:t>inappropriate</w:t>
      </w:r>
      <w:r w:rsidR="009101C6">
        <w:t xml:space="preserve"> for </w:t>
      </w:r>
      <w:r w:rsidR="009101C6" w:rsidRPr="0099179A">
        <w:rPr>
          <w:i/>
          <w:iCs/>
        </w:rPr>
        <w:t>M. sericea</w:t>
      </w:r>
      <w:r w:rsidR="009101C6">
        <w:t xml:space="preserve"> who</w:t>
      </w:r>
      <w:r w:rsidR="0099179A">
        <w:t xml:space="preserve"> due to sampling issues, may </w:t>
      </w:r>
      <w:r w:rsidR="009101C6">
        <w:t>have considerabl</w:t>
      </w:r>
      <w:r w:rsidR="00A35113">
        <w:t>e</w:t>
      </w:r>
      <w:r w:rsidR="00FB199B">
        <w:t xml:space="preserve"> unevenness in the distribution of </w:t>
      </w:r>
      <w:r w:rsidR="00E13880">
        <w:t xml:space="preserve">its </w:t>
      </w:r>
      <w:r w:rsidR="0099179A">
        <w:t>occurrences</w:t>
      </w:r>
      <w:r w:rsidR="00E13880">
        <w:t xml:space="preserve">. </w:t>
      </w:r>
      <w:r w:rsidR="003F13AF">
        <w:t xml:space="preserve">For </w:t>
      </w:r>
      <w:r w:rsidR="00163A63">
        <w:t>such cases</w:t>
      </w:r>
      <w:r w:rsidR="003F13AF">
        <w:t>, choosing a</w:t>
      </w:r>
      <w:r w:rsidR="00B66805">
        <w:t xml:space="preserve"> single</w:t>
      </w:r>
      <w:r w:rsidR="003F13AF">
        <w:t xml:space="preserve"> </w:t>
      </w:r>
      <w:r w:rsidR="00B66805">
        <w:t xml:space="preserve">cell size </w:t>
      </w:r>
      <w:r w:rsidR="003F13AF">
        <w:t>presents a somewhat win-lose situation</w:t>
      </w:r>
      <w:r w:rsidR="00B66805">
        <w:t xml:space="preserve">. </w:t>
      </w:r>
      <w:r w:rsidR="00AA3458">
        <w:t xml:space="preserve">Despite </w:t>
      </w:r>
      <w:r w:rsidR="005F3ABC">
        <w:t xml:space="preserve">this, </w:t>
      </w:r>
      <w:r w:rsidR="00887151">
        <w:t>I</w:t>
      </w:r>
      <w:r w:rsidR="00DA0C68">
        <w:t xml:space="preserve"> found no evidence of discussion on such effects in the weighted endemism literature. </w:t>
      </w:r>
      <w:r w:rsidR="00F8236C">
        <w:t>In fu</w:t>
      </w:r>
      <w:r w:rsidR="00C46D65">
        <w:t>ture studies</w:t>
      </w:r>
      <w:r w:rsidR="005177D4" w:rsidRPr="005177D4">
        <w:t xml:space="preserve">, </w:t>
      </w:r>
      <w:r w:rsidR="00C46D65">
        <w:t xml:space="preserve">perhaps </w:t>
      </w:r>
      <w:r w:rsidR="005177D4" w:rsidRPr="005177D4">
        <w:t xml:space="preserve">final selection of a scale or method </w:t>
      </w:r>
      <w:r w:rsidR="0008555B">
        <w:t>should</w:t>
      </w:r>
      <w:r w:rsidR="005177D4" w:rsidRPr="005177D4">
        <w:t xml:space="preserve"> be one that minimises </w:t>
      </w:r>
      <w:r w:rsidR="00F8236C">
        <w:t xml:space="preserve">some of these unwanted, </w:t>
      </w:r>
      <w:r w:rsidR="00C46D65">
        <w:t>misrepresenting</w:t>
      </w:r>
      <w:r w:rsidR="00F8236C">
        <w:t>, effects.</w:t>
      </w:r>
    </w:p>
    <w:p w14:paraId="4B9A93BC" w14:textId="2269798A" w:rsidR="001D38F3" w:rsidRPr="001D38F3" w:rsidRDefault="001D38F3" w:rsidP="00CD4263">
      <w:pPr>
        <w:jc w:val="both"/>
        <w:rPr>
          <w:b/>
          <w:bCs/>
        </w:rPr>
      </w:pPr>
      <w:r w:rsidRPr="001D38F3">
        <w:rPr>
          <w:b/>
          <w:bCs/>
        </w:rPr>
        <w:t>4.2</w:t>
      </w:r>
      <w:r w:rsidR="00772097">
        <w:rPr>
          <w:b/>
          <w:bCs/>
        </w:rPr>
        <w:t>.1</w:t>
      </w:r>
      <w:r w:rsidRPr="001D38F3">
        <w:rPr>
          <w:b/>
          <w:bCs/>
        </w:rPr>
        <w:t xml:space="preserve"> | The joint effect of method and scale on weighted endemism</w:t>
      </w:r>
      <w:r w:rsidR="00772097">
        <w:rPr>
          <w:b/>
          <w:bCs/>
        </w:rPr>
        <w:t xml:space="preserve"> (ED)</w:t>
      </w:r>
    </w:p>
    <w:p w14:paraId="75854776" w14:textId="39181C68" w:rsidR="003F7AE9" w:rsidRDefault="000B60CF" w:rsidP="00CD4263">
      <w:pPr>
        <w:jc w:val="both"/>
      </w:pPr>
      <w:r>
        <w:t xml:space="preserve">As you </w:t>
      </w:r>
      <w:r w:rsidR="00DE14E3">
        <w:t>may</w:t>
      </w:r>
      <w:r>
        <w:t xml:space="preserve"> </w:t>
      </w:r>
      <w:r w:rsidR="007766FC">
        <w:t xml:space="preserve">intuitively </w:t>
      </w:r>
      <w:r>
        <w:t xml:space="preserve">predict that </w:t>
      </w:r>
      <w:r w:rsidR="002A37AC">
        <w:t xml:space="preserve">AOO becomes more </w:t>
      </w:r>
      <w:proofErr w:type="gramStart"/>
      <w:r w:rsidR="002A37AC">
        <w:t>similar to</w:t>
      </w:r>
      <w:proofErr w:type="gramEnd"/>
      <w:r w:rsidR="002A37AC">
        <w:t xml:space="preserve"> EOO</w:t>
      </w:r>
      <w:r w:rsidR="00A261AF">
        <w:t xml:space="preserve"> with increasing cell size</w:t>
      </w:r>
      <w:r w:rsidR="002A37AC">
        <w:t>, you would also predict</w:t>
      </w:r>
      <w:r w:rsidR="00A261AF">
        <w:t xml:space="preserve"> the same for </w:t>
      </w:r>
      <w:r w:rsidR="00032874">
        <w:t xml:space="preserve">the </w:t>
      </w:r>
      <w:r w:rsidR="002A37AC">
        <w:t>patterns of</w:t>
      </w:r>
      <w:r w:rsidR="00F64217">
        <w:t xml:space="preserve"> weighted endemism</w:t>
      </w:r>
      <w:r w:rsidR="002A37AC">
        <w:t xml:space="preserve"> </w:t>
      </w:r>
      <w:r w:rsidR="00F64217">
        <w:t>(</w:t>
      </w:r>
      <w:r w:rsidR="002A37AC">
        <w:t>WE</w:t>
      </w:r>
      <w:r w:rsidR="00F64217">
        <w:t>)</w:t>
      </w:r>
      <w:r w:rsidR="002A37AC">
        <w:t xml:space="preserve"> </w:t>
      </w:r>
      <w:r w:rsidR="00551269">
        <w:t xml:space="preserve">generated </w:t>
      </w:r>
      <w:r w:rsidR="002A37AC">
        <w:t>using each method</w:t>
      </w:r>
      <w:r w:rsidR="00A261AF">
        <w:t xml:space="preserve">. </w:t>
      </w:r>
      <w:r w:rsidR="00FD1CA4">
        <w:t xml:space="preserve">As the former prediction </w:t>
      </w:r>
      <w:r w:rsidR="0099594E">
        <w:t>is not</w:t>
      </w:r>
      <w:r w:rsidR="0010449E">
        <w:t xml:space="preserve"> so straightforward in </w:t>
      </w:r>
      <w:r w:rsidR="00152ECF">
        <w:t>this</w:t>
      </w:r>
      <w:r w:rsidR="009C08A5">
        <w:t xml:space="preserve"> case</w:t>
      </w:r>
      <w:r w:rsidR="0010449E">
        <w:t xml:space="preserve">, </w:t>
      </w:r>
      <w:r w:rsidR="00504B49">
        <w:t xml:space="preserve">it </w:t>
      </w:r>
      <w:r w:rsidR="0010449E">
        <w:t>is not surpris</w:t>
      </w:r>
      <w:r w:rsidR="009C08A5">
        <w:t xml:space="preserve">ing </w:t>
      </w:r>
      <w:r w:rsidR="0010449E">
        <w:t xml:space="preserve">that </w:t>
      </w:r>
      <w:r w:rsidR="00152ECF">
        <w:t>we</w:t>
      </w:r>
      <w:r w:rsidR="0010449E">
        <w:t xml:space="preserve"> </w:t>
      </w:r>
      <w:r w:rsidR="001E3428">
        <w:t xml:space="preserve">did not </w:t>
      </w:r>
      <w:r w:rsidR="0010449E">
        <w:t xml:space="preserve">see endemism difference (ED) converge towards zero as </w:t>
      </w:r>
      <w:r w:rsidR="00AE0CD8">
        <w:t>cell size</w:t>
      </w:r>
      <w:r w:rsidR="0010449E">
        <w:t xml:space="preserve"> increased. </w:t>
      </w:r>
      <w:r w:rsidR="00504B49">
        <w:t>Here,</w:t>
      </w:r>
      <w:r w:rsidR="00006A16">
        <w:t xml:space="preserve"> a</w:t>
      </w:r>
      <w:r w:rsidR="00551269">
        <w:t>s cell size increased</w:t>
      </w:r>
      <w:r w:rsidR="00006A16">
        <w:t>,</w:t>
      </w:r>
      <w:r w:rsidR="00551269">
        <w:t xml:space="preserve"> </w:t>
      </w:r>
      <w:r w:rsidR="00715DC0">
        <w:t xml:space="preserve">and </w:t>
      </w:r>
      <w:r w:rsidR="0010449E">
        <w:t xml:space="preserve">more species </w:t>
      </w:r>
      <w:r w:rsidR="00A37A96">
        <w:t>had AOO exceeding EOO,</w:t>
      </w:r>
      <w:r w:rsidR="00F64217">
        <w:t xml:space="preserve"> </w:t>
      </w:r>
      <w:r w:rsidR="00146CFE">
        <w:t>ED</w:t>
      </w:r>
      <w:r w:rsidR="006028CD">
        <w:t xml:space="preserve"> generally increased. </w:t>
      </w:r>
      <w:r w:rsidR="00146CFE">
        <w:t xml:space="preserve">Essentially, </w:t>
      </w:r>
      <w:r w:rsidR="003E6F97">
        <w:t xml:space="preserve">these species </w:t>
      </w:r>
      <w:r w:rsidR="00146CFE">
        <w:t>were de</w:t>
      </w:r>
      <w:r w:rsidR="001B1BA1">
        <w:t>-</w:t>
      </w:r>
      <w:r w:rsidR="00146CFE">
        <w:t xml:space="preserve">weighted, and </w:t>
      </w:r>
      <w:r w:rsidR="001B1BA1">
        <w:t xml:space="preserve">became less ‘endemic’ </w:t>
      </w:r>
      <w:r w:rsidR="00596F76">
        <w:t xml:space="preserve">compared to their EOO equivalents </w:t>
      </w:r>
      <w:r w:rsidR="001B1BA1">
        <w:t xml:space="preserve">as scale increased. </w:t>
      </w:r>
      <w:r w:rsidR="0084107F">
        <w:t>T</w:t>
      </w:r>
      <w:r w:rsidR="001B1BA1">
        <w:t xml:space="preserve">his pattern was taxa specific, likely due to some genera having </w:t>
      </w:r>
      <w:proofErr w:type="gramStart"/>
      <w:r w:rsidR="001B1BA1">
        <w:t>more or less scale</w:t>
      </w:r>
      <w:proofErr w:type="gramEnd"/>
      <w:r w:rsidR="001B1BA1">
        <w:t xml:space="preserve"> sensitive species.</w:t>
      </w:r>
      <w:r w:rsidR="00442C7E">
        <w:t xml:space="preserve"> </w:t>
      </w:r>
      <w:r w:rsidR="00CB7A9B">
        <w:t xml:space="preserve">In addition to taxa specificity, there was also </w:t>
      </w:r>
      <w:r w:rsidR="003A6854">
        <w:t xml:space="preserve">considerable variation </w:t>
      </w:r>
      <w:r w:rsidR="00C53085">
        <w:t xml:space="preserve">in ED </w:t>
      </w:r>
      <w:r w:rsidR="003A6854">
        <w:t xml:space="preserve">from one cell size to the next. A likely explanation for this is </w:t>
      </w:r>
      <w:r w:rsidR="00B45F2F">
        <w:t>in how the grid structure, critical to AOO calculations, is allocated over each species distribution</w:t>
      </w:r>
      <w:r w:rsidR="007643C9">
        <w:t>.</w:t>
      </w:r>
      <w:r w:rsidR="008D2985">
        <w:t xml:space="preserve"> </w:t>
      </w:r>
      <w:r w:rsidR="00220AA4">
        <w:t xml:space="preserve">If you imagine </w:t>
      </w:r>
      <w:r w:rsidR="008F357D">
        <w:t>four</w:t>
      </w:r>
      <w:r w:rsidR="00220AA4">
        <w:t xml:space="preserve"> cells of equal </w:t>
      </w:r>
      <w:r w:rsidR="00324462">
        <w:t>1</w:t>
      </w:r>
      <w:r w:rsidR="008D2985">
        <w:t xml:space="preserve"> square kilometre </w:t>
      </w:r>
      <w:r w:rsidR="00220AA4">
        <w:t>size</w:t>
      </w:r>
      <w:r w:rsidR="0009753A">
        <w:t xml:space="preserve">, </w:t>
      </w:r>
      <w:r w:rsidR="00A5165B">
        <w:t xml:space="preserve">coming </w:t>
      </w:r>
      <w:r w:rsidR="00FD7891">
        <w:t xml:space="preserve">together </w:t>
      </w:r>
      <w:r w:rsidR="00A5165B">
        <w:t xml:space="preserve">to form </w:t>
      </w:r>
      <w:r w:rsidR="00FD7891">
        <w:t xml:space="preserve">a grid, </w:t>
      </w:r>
      <w:r w:rsidR="00220AA4">
        <w:t xml:space="preserve">there is a single point of intercept </w:t>
      </w:r>
      <w:r w:rsidR="00FD7891">
        <w:t xml:space="preserve">at the centre of </w:t>
      </w:r>
      <w:r w:rsidR="00A518A1">
        <w:t xml:space="preserve">the </w:t>
      </w:r>
      <w:r w:rsidR="008F357D">
        <w:t xml:space="preserve">grid </w:t>
      </w:r>
      <w:r w:rsidR="00A518A1">
        <w:t>block.</w:t>
      </w:r>
      <w:r w:rsidR="00FD7891">
        <w:t xml:space="preserve"> If this point of intercept occurs within the centre of </w:t>
      </w:r>
      <w:r w:rsidR="00310FB8">
        <w:t xml:space="preserve">a species </w:t>
      </w:r>
      <w:r w:rsidR="0009753A">
        <w:t>distribution</w:t>
      </w:r>
      <w:r w:rsidR="00310FB8">
        <w:t xml:space="preserve">, </w:t>
      </w:r>
      <w:r w:rsidR="008F357D">
        <w:t>occurrences would occupy each cell</w:t>
      </w:r>
      <w:r w:rsidR="00582038">
        <w:t>,</w:t>
      </w:r>
      <w:r w:rsidR="008F357D">
        <w:t xml:space="preserve"> </w:t>
      </w:r>
      <w:r w:rsidR="0009753A">
        <w:t xml:space="preserve">and the </w:t>
      </w:r>
      <w:r w:rsidR="00A5165B">
        <w:t xml:space="preserve">AOO </w:t>
      </w:r>
      <w:r w:rsidR="00A518A1">
        <w:t xml:space="preserve">range </w:t>
      </w:r>
      <w:r w:rsidR="00A5165B">
        <w:t xml:space="preserve">would be </w:t>
      </w:r>
      <w:r w:rsidR="00833BEB">
        <w:t>4</w:t>
      </w:r>
      <w:r w:rsidR="00A518A1">
        <w:t xml:space="preserve"> </w:t>
      </w:r>
      <w:r w:rsidR="00704647">
        <w:t xml:space="preserve">square kilometres </w:t>
      </w:r>
      <w:r w:rsidR="00A518A1">
        <w:t xml:space="preserve">(Figure </w:t>
      </w:r>
      <w:proofErr w:type="spellStart"/>
      <w:r w:rsidR="00A518A1">
        <w:t>6</w:t>
      </w:r>
      <w:r w:rsidR="00DF03E3">
        <w:t>a</w:t>
      </w:r>
      <w:proofErr w:type="spellEnd"/>
      <w:r w:rsidR="00A518A1">
        <w:t>)</w:t>
      </w:r>
      <w:r w:rsidR="003625E4">
        <w:t>. Now let</w:t>
      </w:r>
      <w:r w:rsidR="00AC2176">
        <w:t>’</w:t>
      </w:r>
      <w:r w:rsidR="003625E4">
        <w:t>s say we increase the size of those grids</w:t>
      </w:r>
      <w:r w:rsidR="000516A8">
        <w:t xml:space="preserve"> to </w:t>
      </w:r>
      <w:r w:rsidR="00B97E48">
        <w:t>3</w:t>
      </w:r>
      <w:r w:rsidR="00ED0F94">
        <w:t xml:space="preserve"> square kilometres</w:t>
      </w:r>
      <w:r w:rsidR="003625E4">
        <w:t xml:space="preserve">, and the single point of </w:t>
      </w:r>
      <w:r w:rsidR="00ED0F94">
        <w:t>intercept</w:t>
      </w:r>
      <w:r w:rsidR="003625E4">
        <w:t xml:space="preserve"> shift</w:t>
      </w:r>
      <w:r w:rsidR="00582038">
        <w:t>s</w:t>
      </w:r>
      <w:r w:rsidR="003625E4">
        <w:t xml:space="preserve"> to just outside the </w:t>
      </w:r>
      <w:r w:rsidR="003625E4">
        <w:lastRenderedPageBreak/>
        <w:t>species range</w:t>
      </w:r>
      <w:r w:rsidR="000516A8">
        <w:t>, meaning all of its occurrences</w:t>
      </w:r>
      <w:r w:rsidR="00CF3E05">
        <w:t xml:space="preserve"> now</w:t>
      </w:r>
      <w:r w:rsidR="000516A8">
        <w:t xml:space="preserve"> sit within </w:t>
      </w:r>
      <w:r w:rsidR="009D0EAD">
        <w:t>a single</w:t>
      </w:r>
      <w:r w:rsidR="000516A8">
        <w:t xml:space="preserve"> grid cell</w:t>
      </w:r>
      <w:r w:rsidR="0037780B">
        <w:t xml:space="preserve">, the AOO range would be </w:t>
      </w:r>
      <w:r w:rsidR="00833BEB">
        <w:t>3</w:t>
      </w:r>
      <w:r w:rsidR="00704647">
        <w:t xml:space="preserve"> square kilometres</w:t>
      </w:r>
      <w:r w:rsidR="00DF03E3">
        <w:t xml:space="preserve"> (Figure </w:t>
      </w:r>
      <w:proofErr w:type="spellStart"/>
      <w:r w:rsidR="00DF03E3">
        <w:t>6b</w:t>
      </w:r>
      <w:proofErr w:type="spellEnd"/>
      <w:r w:rsidR="00DF03E3">
        <w:t>)</w:t>
      </w:r>
      <w:r w:rsidR="0037780B">
        <w:t xml:space="preserve">. In this case, an increase in cell size decreased AOO. The extreme variation in ED </w:t>
      </w:r>
      <w:r w:rsidR="00F7471C">
        <w:t xml:space="preserve">for each </w:t>
      </w:r>
      <w:r w:rsidR="00962709">
        <w:t>genus</w:t>
      </w:r>
      <w:r w:rsidR="00F7471C">
        <w:t xml:space="preserve"> </w:t>
      </w:r>
      <w:r w:rsidR="00CF3E05">
        <w:t xml:space="preserve">across cell size </w:t>
      </w:r>
      <w:r w:rsidR="004065E6">
        <w:t>could be due to this</w:t>
      </w:r>
      <w:r w:rsidR="005A5099">
        <w:t xml:space="preserve"> </w:t>
      </w:r>
      <w:r w:rsidR="00ED0F94">
        <w:t>grid allocation</w:t>
      </w:r>
      <w:r w:rsidR="004359B5">
        <w:t xml:space="preserve"> </w:t>
      </w:r>
      <w:r w:rsidR="005A5099">
        <w:t>effect,</w:t>
      </w:r>
      <w:r w:rsidR="004065E6">
        <w:t xml:space="preserve"> as </w:t>
      </w:r>
      <w:r w:rsidR="00083905">
        <w:t>some species</w:t>
      </w:r>
      <w:r w:rsidR="006612ED">
        <w:t xml:space="preserve"> had </w:t>
      </w:r>
      <w:r w:rsidR="00D02CFC">
        <w:t xml:space="preserve">AOO </w:t>
      </w:r>
      <w:r w:rsidR="004065E6">
        <w:t xml:space="preserve">ranges increase at one cell size </w:t>
      </w:r>
      <w:r w:rsidR="00C4689B">
        <w:t xml:space="preserve">(diverging from EOO) </w:t>
      </w:r>
      <w:r w:rsidR="004065E6">
        <w:t>but decrease in the next</w:t>
      </w:r>
      <w:r w:rsidR="00C4689B">
        <w:t xml:space="preserve"> (converging towards EOO)</w:t>
      </w:r>
      <w:r w:rsidR="004359B5">
        <w:t xml:space="preserve">. </w:t>
      </w:r>
      <w:r w:rsidR="00AD1BD8">
        <w:t xml:space="preserve">Future studies should further </w:t>
      </w:r>
      <w:r w:rsidR="00B10861">
        <w:t>explor</w:t>
      </w:r>
      <w:r w:rsidR="00AD1BD8">
        <w:t xml:space="preserve">e </w:t>
      </w:r>
      <w:r w:rsidR="00B10861">
        <w:t xml:space="preserve">this </w:t>
      </w:r>
      <w:r w:rsidR="002275AF">
        <w:t>effect</w:t>
      </w:r>
      <w:r w:rsidR="007D2E37">
        <w:t xml:space="preserve"> </w:t>
      </w:r>
      <w:r w:rsidR="00AD1BD8">
        <w:t>with real species</w:t>
      </w:r>
      <w:r w:rsidR="0045648A">
        <w:t xml:space="preserve"> distributions</w:t>
      </w:r>
      <w:r w:rsidR="007D2E37">
        <w:t xml:space="preserve">, </w:t>
      </w:r>
      <w:r w:rsidR="0054416F">
        <w:t>in R and other software</w:t>
      </w:r>
      <w:r w:rsidR="004F23A6">
        <w:t xml:space="preserve"> </w:t>
      </w:r>
      <w:r w:rsidR="007D2E37">
        <w:t xml:space="preserve">commonly </w:t>
      </w:r>
      <w:r w:rsidR="004F23A6">
        <w:t>used</w:t>
      </w:r>
      <w:r w:rsidR="00140DFF">
        <w:t xml:space="preserve">. </w:t>
      </w:r>
    </w:p>
    <w:p w14:paraId="4A4ECDBB" w14:textId="403E19B5" w:rsidR="00772097" w:rsidRPr="00772097" w:rsidRDefault="00772097" w:rsidP="00CD4263">
      <w:pPr>
        <w:jc w:val="both"/>
        <w:rPr>
          <w:b/>
          <w:bCs/>
        </w:rPr>
      </w:pPr>
      <w:r w:rsidRPr="00772097">
        <w:rPr>
          <w:b/>
          <w:bCs/>
        </w:rPr>
        <w:t>4.2.</w:t>
      </w:r>
      <w:r>
        <w:rPr>
          <w:b/>
          <w:bCs/>
        </w:rPr>
        <w:t>2</w:t>
      </w:r>
      <w:r w:rsidRPr="00772097">
        <w:rPr>
          <w:b/>
          <w:bCs/>
        </w:rPr>
        <w:t xml:space="preserve"> | The joint effect of method and scale on weighted endemism (HD)</w:t>
      </w:r>
    </w:p>
    <w:p w14:paraId="00B26505" w14:textId="3B2A3888" w:rsidR="0070254C" w:rsidRDefault="003E7337" w:rsidP="00CD4263">
      <w:pPr>
        <w:jc w:val="both"/>
      </w:pPr>
      <w:r>
        <w:t xml:space="preserve">Logically, the </w:t>
      </w:r>
      <w:r w:rsidR="00F75E23">
        <w:t xml:space="preserve">effects of cell size on </w:t>
      </w:r>
      <w:r w:rsidR="002F2DD2">
        <w:t>ED</w:t>
      </w:r>
      <w:r w:rsidR="00F75E23">
        <w:t xml:space="preserve"> would </w:t>
      </w:r>
      <w:r w:rsidR="000F57AF">
        <w:t>be similar for</w:t>
      </w:r>
      <w:r w:rsidR="00F75E23">
        <w:t xml:space="preserve"> </w:t>
      </w:r>
      <w:r w:rsidR="00F154F1">
        <w:t>hotspot difference (</w:t>
      </w:r>
      <w:r w:rsidR="00F75E23">
        <w:t>HD</w:t>
      </w:r>
      <w:r w:rsidR="00F154F1">
        <w:t>)</w:t>
      </w:r>
      <w:r w:rsidR="00F75E23">
        <w:t xml:space="preserve"> and </w:t>
      </w:r>
      <w:r w:rsidR="00783103">
        <w:t xml:space="preserve">here </w:t>
      </w:r>
      <w:r w:rsidR="00F75E23">
        <w:t xml:space="preserve">we see evidence of that. </w:t>
      </w:r>
      <w:r w:rsidR="002F2DD2">
        <w:t xml:space="preserve">Although highly </w:t>
      </w:r>
      <w:r w:rsidR="001F2579">
        <w:t>taxa</w:t>
      </w:r>
      <w:r w:rsidR="002F2DD2">
        <w:t xml:space="preserve"> specific, the percent difference in t</w:t>
      </w:r>
      <w:r w:rsidR="00F154F1">
        <w:t xml:space="preserve">he selection of endemic hotspots increased with cell size. </w:t>
      </w:r>
      <w:r w:rsidR="00023F51">
        <w:t xml:space="preserve">As </w:t>
      </w:r>
      <w:r w:rsidR="009B3DAF">
        <w:t xml:space="preserve">many </w:t>
      </w:r>
      <w:r w:rsidR="00023F51">
        <w:t xml:space="preserve">AOO range sizes increasingly surpassed those of EOO, de-weighting </w:t>
      </w:r>
      <w:r w:rsidR="00071EA3">
        <w:t>and up-weighting</w:t>
      </w:r>
      <w:r w:rsidR="00984EBA">
        <w:t xml:space="preserve"> </w:t>
      </w:r>
      <w:r w:rsidR="009A16B3">
        <w:t>certain cells,</w:t>
      </w:r>
      <w:r w:rsidR="00980396">
        <w:t xml:space="preserve"> there would be a considerable shift in </w:t>
      </w:r>
      <w:r w:rsidR="009A16B3">
        <w:t xml:space="preserve">which </w:t>
      </w:r>
      <w:r w:rsidR="00980396">
        <w:t xml:space="preserve">cells </w:t>
      </w:r>
      <w:r w:rsidR="000F57AF">
        <w:t>are</w:t>
      </w:r>
      <w:r w:rsidR="007E6988">
        <w:t xml:space="preserve"> </w:t>
      </w:r>
      <w:r w:rsidR="00980396">
        <w:t xml:space="preserve">chosen </w:t>
      </w:r>
      <w:r w:rsidR="009A16B3">
        <w:t>as hots</w:t>
      </w:r>
      <w:r w:rsidR="007E6988">
        <w:t>p</w:t>
      </w:r>
      <w:r w:rsidR="009A16B3">
        <w:t xml:space="preserve">ots </w:t>
      </w:r>
      <w:r w:rsidR="00561B7B">
        <w:t>from</w:t>
      </w:r>
      <w:r w:rsidR="007E6988">
        <w:t xml:space="preserve"> </w:t>
      </w:r>
      <w:r w:rsidR="001F2579">
        <w:t xml:space="preserve">each </w:t>
      </w:r>
      <w:r w:rsidR="007E6988">
        <w:t xml:space="preserve">AOO </w:t>
      </w:r>
      <w:r w:rsidR="00561B7B">
        <w:t xml:space="preserve">and </w:t>
      </w:r>
      <w:r w:rsidR="007E6988">
        <w:t xml:space="preserve">EOO WE </w:t>
      </w:r>
      <w:proofErr w:type="gramStart"/>
      <w:r w:rsidR="007E6988">
        <w:t>maps</w:t>
      </w:r>
      <w:proofErr w:type="gramEnd"/>
      <w:r w:rsidR="007E6988">
        <w:t xml:space="preserve">. </w:t>
      </w:r>
      <w:r w:rsidR="00CE01D8">
        <w:t>In assessing th</w:t>
      </w:r>
      <w:r w:rsidR="00E9545C">
        <w:t xml:space="preserve">is scale-method effect on HD for </w:t>
      </w:r>
      <w:r w:rsidR="001C1555" w:rsidRPr="00B268BB">
        <w:rPr>
          <w:i/>
          <w:iCs/>
        </w:rPr>
        <w:t>Eucaly</w:t>
      </w:r>
      <w:r w:rsidR="007F6829" w:rsidRPr="00B268BB">
        <w:rPr>
          <w:i/>
          <w:iCs/>
        </w:rPr>
        <w:t>p</w:t>
      </w:r>
      <w:r w:rsidR="001C1555" w:rsidRPr="00B268BB">
        <w:rPr>
          <w:i/>
          <w:iCs/>
        </w:rPr>
        <w:t>tus</w:t>
      </w:r>
      <w:r w:rsidR="00D82A72">
        <w:t xml:space="preserve"> </w:t>
      </w:r>
      <w:r w:rsidR="00561B7B">
        <w:t>specifically</w:t>
      </w:r>
      <w:r w:rsidR="001C1555">
        <w:t xml:space="preserve">, </w:t>
      </w:r>
      <w:r w:rsidR="007F6829">
        <w:t xml:space="preserve">we see that </w:t>
      </w:r>
      <w:r w:rsidR="006845A1">
        <w:t xml:space="preserve">less cells </w:t>
      </w:r>
      <w:proofErr w:type="gramStart"/>
      <w:r w:rsidR="002D5BAB">
        <w:t xml:space="preserve">are </w:t>
      </w:r>
      <w:r w:rsidR="006845A1">
        <w:t>chosen</w:t>
      </w:r>
      <w:proofErr w:type="gramEnd"/>
      <w:r w:rsidR="006845A1">
        <w:t xml:space="preserve"> by both methods at larger scales. In a situation where these analyses </w:t>
      </w:r>
      <w:proofErr w:type="gramStart"/>
      <w:r w:rsidR="009E6B57">
        <w:t>are</w:t>
      </w:r>
      <w:r w:rsidR="006845A1">
        <w:t xml:space="preserve"> used</w:t>
      </w:r>
      <w:proofErr w:type="gramEnd"/>
      <w:r w:rsidR="006845A1">
        <w:t xml:space="preserve"> to make </w:t>
      </w:r>
      <w:r w:rsidR="009E6B57">
        <w:t xml:space="preserve">recommendations for conservation or management, the high disparity between AOO and EOO selected </w:t>
      </w:r>
      <w:r w:rsidR="00862A67">
        <w:t>cells</w:t>
      </w:r>
      <w:r w:rsidR="009E6B57">
        <w:t xml:space="preserve">, even at intermediate </w:t>
      </w:r>
      <w:r w:rsidR="00862A67">
        <w:t>cell sizes, is con</w:t>
      </w:r>
      <w:r w:rsidR="00A34FC4">
        <w:t>fronting</w:t>
      </w:r>
      <w:r w:rsidR="00862A67">
        <w:t>.</w:t>
      </w:r>
      <w:r w:rsidR="00EB4DBA">
        <w:t xml:space="preserve"> </w:t>
      </w:r>
      <w:r w:rsidR="002D5BAB">
        <w:t xml:space="preserve">Although </w:t>
      </w:r>
      <w:r w:rsidR="005604EE">
        <w:t xml:space="preserve">a considerable limitation </w:t>
      </w:r>
      <w:r w:rsidR="00471D0B">
        <w:t xml:space="preserve">of EOO </w:t>
      </w:r>
      <w:r w:rsidR="007615B1">
        <w:t xml:space="preserve">is with range size allocation to non-polygon occurring species, </w:t>
      </w:r>
      <w:r w:rsidR="009D6843">
        <w:t xml:space="preserve">as only a small percentage of all species </w:t>
      </w:r>
      <w:r w:rsidR="00F6075F">
        <w:t xml:space="preserve">had this problem, </w:t>
      </w:r>
      <w:r w:rsidR="0070254C">
        <w:t>the effects of scale on HD w</w:t>
      </w:r>
      <w:r w:rsidR="002C323E">
        <w:t xml:space="preserve">ere </w:t>
      </w:r>
      <w:r w:rsidR="0070254C">
        <w:t xml:space="preserve">not </w:t>
      </w:r>
      <w:r w:rsidR="003E7CF5">
        <w:t xml:space="preserve">further influenced </w:t>
      </w:r>
      <w:r w:rsidR="0070254C">
        <w:t>by the method chosen to deal with these species.</w:t>
      </w:r>
    </w:p>
    <w:p w14:paraId="233D765E" w14:textId="32EBBBA1" w:rsidR="008458C8" w:rsidRPr="0018105E" w:rsidRDefault="0018105E" w:rsidP="00CD4263">
      <w:pPr>
        <w:jc w:val="both"/>
        <w:rPr>
          <w:b/>
          <w:bCs/>
        </w:rPr>
      </w:pPr>
      <w:r w:rsidRPr="0018105E">
        <w:rPr>
          <w:b/>
          <w:bCs/>
        </w:rPr>
        <w:t>4.3 | Implications and future directions</w:t>
      </w:r>
    </w:p>
    <w:p w14:paraId="571B9F74" w14:textId="5D19DBD9" w:rsidR="0012519B" w:rsidRDefault="00EC4717" w:rsidP="00CD4263">
      <w:pPr>
        <w:jc w:val="both"/>
      </w:pPr>
      <w:r>
        <w:t xml:space="preserve">To the ignorance of all patterns </w:t>
      </w:r>
      <w:r w:rsidR="00754826">
        <w:t xml:space="preserve">described above, </w:t>
      </w:r>
      <w:r w:rsidR="00A47A5F">
        <w:t xml:space="preserve">AOO </w:t>
      </w:r>
      <w:proofErr w:type="gramStart"/>
      <w:r w:rsidR="00A47A5F">
        <w:t>is used</w:t>
      </w:r>
      <w:proofErr w:type="gramEnd"/>
      <w:r w:rsidR="00A47A5F">
        <w:t xml:space="preserve"> </w:t>
      </w:r>
      <w:r w:rsidR="001B18CD">
        <w:t xml:space="preserve">almost exclusively </w:t>
      </w:r>
      <w:r w:rsidR="00A34FC4">
        <w:t xml:space="preserve">throughout the </w:t>
      </w:r>
      <w:r w:rsidR="000866E6">
        <w:t xml:space="preserve">weighted endemism </w:t>
      </w:r>
      <w:r w:rsidR="00A34FC4">
        <w:t>literature</w:t>
      </w:r>
      <w:r w:rsidR="007073FF">
        <w:t>,</w:t>
      </w:r>
      <w:r w:rsidR="00551823">
        <w:t xml:space="preserve"> and in most cases,</w:t>
      </w:r>
      <w:r w:rsidR="007073FF">
        <w:t xml:space="preserve"> without </w:t>
      </w:r>
      <w:r w:rsidR="00D54DBE">
        <w:t>consider</w:t>
      </w:r>
      <w:r w:rsidR="009D4328">
        <w:t>ation</w:t>
      </w:r>
      <w:r w:rsidR="00A9439A">
        <w:t xml:space="preserve"> of </w:t>
      </w:r>
      <w:r w:rsidR="00D54DBE">
        <w:t>the appropriate</w:t>
      </w:r>
      <w:r w:rsidR="009D4328">
        <w:t xml:space="preserve">ness of </w:t>
      </w:r>
      <w:r w:rsidR="00D54DBE">
        <w:t xml:space="preserve">scale </w:t>
      </w:r>
      <w:r w:rsidR="009D4328">
        <w:t>on</w:t>
      </w:r>
      <w:r w:rsidR="00D54DBE">
        <w:t xml:space="preserve"> </w:t>
      </w:r>
      <w:r w:rsidR="00551823">
        <w:t xml:space="preserve">the study taxa. </w:t>
      </w:r>
      <w:r w:rsidR="001C5101">
        <w:t>A</w:t>
      </w:r>
      <w:r w:rsidR="00926DC0">
        <w:t xml:space="preserve">s it is evident that </w:t>
      </w:r>
      <w:r w:rsidR="00C15736">
        <w:t xml:space="preserve">the relationship between AOO and EOO at increasing scales is not as </w:t>
      </w:r>
      <w:r w:rsidR="003B7888">
        <w:t>simple</w:t>
      </w:r>
      <w:r w:rsidR="00C15736">
        <w:t xml:space="preserve"> as originally thought, </w:t>
      </w:r>
      <w:r w:rsidR="00520DBF">
        <w:t>and that this can have considerable impacts on patterns of weighted endemism</w:t>
      </w:r>
      <w:r w:rsidR="00986E72">
        <w:t xml:space="preserve"> and selection of hotspots</w:t>
      </w:r>
      <w:r w:rsidR="00520DBF">
        <w:t xml:space="preserve">, </w:t>
      </w:r>
      <w:r w:rsidR="00085C2C">
        <w:t xml:space="preserve">moving forward </w:t>
      </w:r>
      <w:r w:rsidR="00C15736">
        <w:t xml:space="preserve">it is critical that </w:t>
      </w:r>
      <w:r w:rsidR="004C4100">
        <w:t>we more closely exam</w:t>
      </w:r>
      <w:r w:rsidR="00ED2E12">
        <w:t>ine</w:t>
      </w:r>
      <w:r w:rsidR="004C4100">
        <w:t xml:space="preserve"> this </w:t>
      </w:r>
      <w:r w:rsidR="00085C2C">
        <w:t>relationship</w:t>
      </w:r>
      <w:r w:rsidR="004C4100">
        <w:t xml:space="preserve"> </w:t>
      </w:r>
      <w:r w:rsidR="00F142F0">
        <w:t>for all species being analysed</w:t>
      </w:r>
      <w:r w:rsidR="009E405A">
        <w:t xml:space="preserve">. </w:t>
      </w:r>
      <w:r w:rsidR="00CB0030">
        <w:t xml:space="preserve">In doing this we can make more informed decisions about the scale </w:t>
      </w:r>
      <w:r w:rsidR="00D07A56">
        <w:t xml:space="preserve">and range size method </w:t>
      </w:r>
      <w:r w:rsidR="00B803FE">
        <w:t xml:space="preserve">we </w:t>
      </w:r>
      <w:r w:rsidR="000A53D0">
        <w:t>use</w:t>
      </w:r>
      <w:r w:rsidR="00A141F3">
        <w:t xml:space="preserve"> </w:t>
      </w:r>
      <w:r w:rsidR="00FE5B91">
        <w:t xml:space="preserve">and </w:t>
      </w:r>
      <w:r w:rsidR="003F7756">
        <w:t xml:space="preserve">better understand </w:t>
      </w:r>
      <w:r w:rsidR="00FE5B91">
        <w:t xml:space="preserve">what this </w:t>
      </w:r>
      <w:r w:rsidR="003F7756">
        <w:t>really</w:t>
      </w:r>
      <w:r w:rsidR="00FE5B91">
        <w:t xml:space="preserve"> means for the type of ‘restriction’ in range we are trying to explore. </w:t>
      </w:r>
      <w:r w:rsidR="00450A59">
        <w:t>Although this paper has focussed on the idea of</w:t>
      </w:r>
      <w:r w:rsidR="00A06F6F">
        <w:t xml:space="preserve"> using just one method</w:t>
      </w:r>
      <w:r w:rsidR="004C760C">
        <w:t xml:space="preserve"> </w:t>
      </w:r>
      <w:r w:rsidR="000A53D0">
        <w:t xml:space="preserve">depending on the question asked, </w:t>
      </w:r>
      <w:r w:rsidR="00450A59">
        <w:t>f</w:t>
      </w:r>
      <w:r w:rsidR="007D0C33">
        <w:t xml:space="preserve">uture studies </w:t>
      </w:r>
      <w:r w:rsidR="008E3187">
        <w:t>could</w:t>
      </w:r>
      <w:r w:rsidR="007D0C33">
        <w:t xml:space="preserve"> </w:t>
      </w:r>
      <w:r w:rsidR="001025D4">
        <w:t xml:space="preserve">investigate the viability </w:t>
      </w:r>
      <w:r w:rsidR="008E3187">
        <w:t xml:space="preserve">and benefits of </w:t>
      </w:r>
      <w:r w:rsidR="00B25C3A">
        <w:t xml:space="preserve">using </w:t>
      </w:r>
      <w:r w:rsidR="00132FA9">
        <w:t>both</w:t>
      </w:r>
      <w:r w:rsidR="008E3187">
        <w:t xml:space="preserve"> AOO and EOO methods</w:t>
      </w:r>
      <w:r w:rsidR="00B25C3A">
        <w:t xml:space="preserve"> together</w:t>
      </w:r>
      <w:r w:rsidR="00132FA9">
        <w:t>,</w:t>
      </w:r>
      <w:r w:rsidR="008E3187">
        <w:t xml:space="preserve"> </w:t>
      </w:r>
      <w:r w:rsidR="00CD5986">
        <w:t>i</w:t>
      </w:r>
      <w:r w:rsidR="008431D6">
        <w:t xml:space="preserve">n much the same way that groups such as the </w:t>
      </w:r>
      <w:r w:rsidR="00986E72" w:rsidRPr="00986E72">
        <w:t>International Union for Conservation of Nature (IUCN)</w:t>
      </w:r>
      <w:r w:rsidR="008431D6">
        <w:t xml:space="preserve"> use both methods </w:t>
      </w:r>
      <w:r w:rsidR="00986E72" w:rsidRPr="00986E72">
        <w:t>in classifying threatened species on their Red List</w:t>
      </w:r>
      <w:r w:rsidR="00706276">
        <w:t xml:space="preserve"> (</w:t>
      </w:r>
      <w:r w:rsidR="00207130" w:rsidRPr="00207130">
        <w:t>IUCN Standards and Petitions Subcommittee</w:t>
      </w:r>
      <w:r w:rsidR="00207130">
        <w:t xml:space="preserve">, </w:t>
      </w:r>
      <w:r w:rsidR="00207130" w:rsidRPr="00207130">
        <w:t>2019)</w:t>
      </w:r>
      <w:r w:rsidR="00986E72">
        <w:t xml:space="preserve">. </w:t>
      </w:r>
      <w:r w:rsidR="007D4DFC">
        <w:t xml:space="preserve">To conclude, </w:t>
      </w:r>
      <w:r w:rsidR="00420DA9">
        <w:t xml:space="preserve">this study </w:t>
      </w:r>
      <w:r w:rsidR="0012519B" w:rsidRPr="0012519B">
        <w:t>highlight</w:t>
      </w:r>
      <w:r w:rsidR="0009580C">
        <w:t>s</w:t>
      </w:r>
      <w:r w:rsidR="0012519B" w:rsidRPr="0012519B">
        <w:t xml:space="preserve"> the importance of </w:t>
      </w:r>
      <w:r w:rsidR="004C760C">
        <w:t>more thorough</w:t>
      </w:r>
      <w:r w:rsidR="0012519B" w:rsidRPr="0012519B">
        <w:t xml:space="preserve"> discussion and investigation of these </w:t>
      </w:r>
      <w:r w:rsidR="00450A59">
        <w:t xml:space="preserve">scale-method </w:t>
      </w:r>
      <w:r w:rsidR="0012519B" w:rsidRPr="0012519B">
        <w:t>effects</w:t>
      </w:r>
      <w:r w:rsidR="0009580C">
        <w:t xml:space="preserve">, </w:t>
      </w:r>
      <w:r w:rsidR="0012519B" w:rsidRPr="0012519B">
        <w:t xml:space="preserve">ensuring that if any conservation recommendations </w:t>
      </w:r>
      <w:proofErr w:type="gramStart"/>
      <w:r w:rsidR="0012519B" w:rsidRPr="0012519B">
        <w:t>are made</w:t>
      </w:r>
      <w:proofErr w:type="gramEnd"/>
      <w:r w:rsidR="0012519B" w:rsidRPr="0012519B">
        <w:t>, we can be confident that biodiversity is being represented in the way we intended.</w:t>
      </w:r>
    </w:p>
    <w:p w14:paraId="029A92D0" w14:textId="77777777" w:rsidR="00D76DC8" w:rsidRDefault="00D76DC8" w:rsidP="00CD4263">
      <w:pPr>
        <w:jc w:val="both"/>
        <w:rPr>
          <w:b/>
          <w:bCs/>
          <w:sz w:val="24"/>
          <w:szCs w:val="24"/>
        </w:rPr>
      </w:pPr>
    </w:p>
    <w:p w14:paraId="4CDB5DA3" w14:textId="69371E84" w:rsidR="00CE0AED" w:rsidRPr="00324CA7" w:rsidRDefault="00CE0AED" w:rsidP="00CD4263">
      <w:pPr>
        <w:jc w:val="both"/>
        <w:rPr>
          <w:b/>
          <w:bCs/>
          <w:sz w:val="24"/>
          <w:szCs w:val="24"/>
        </w:rPr>
      </w:pPr>
      <w:r w:rsidRPr="00324CA7">
        <w:rPr>
          <w:b/>
          <w:bCs/>
          <w:sz w:val="24"/>
          <w:szCs w:val="24"/>
        </w:rPr>
        <w:t>Acknowledgments</w:t>
      </w:r>
    </w:p>
    <w:p w14:paraId="799255FC" w14:textId="7F0FC76D" w:rsidR="00704A54" w:rsidRDefault="00704A54" w:rsidP="00CD4263">
      <w:pPr>
        <w:jc w:val="both"/>
      </w:pPr>
      <w:r>
        <w:t xml:space="preserve">I would like the acknowledge the contribution and guidance of </w:t>
      </w:r>
      <w:r w:rsidR="00D27828">
        <w:t xml:space="preserve">my supervisors </w:t>
      </w:r>
      <w:r>
        <w:t>Professor</w:t>
      </w:r>
      <w:r w:rsidR="00E32746">
        <w:t>s</w:t>
      </w:r>
      <w:r>
        <w:t xml:space="preserve"> </w:t>
      </w:r>
      <w:r w:rsidR="0018457E">
        <w:t xml:space="preserve">Richard Fuller and </w:t>
      </w:r>
      <w:r>
        <w:t>Marg</w:t>
      </w:r>
      <w:r w:rsidR="00E32746">
        <w:t>aret</w:t>
      </w:r>
      <w:r>
        <w:t xml:space="preserve"> Mayf</w:t>
      </w:r>
      <w:r w:rsidR="00E32746">
        <w:t>ield</w:t>
      </w:r>
      <w:r w:rsidR="0018457E">
        <w:t xml:space="preserve">. </w:t>
      </w:r>
    </w:p>
    <w:p w14:paraId="114DD832" w14:textId="77777777" w:rsidR="00D76DC8" w:rsidRDefault="00D76DC8" w:rsidP="00CD4263">
      <w:pPr>
        <w:jc w:val="both"/>
        <w:rPr>
          <w:b/>
          <w:bCs/>
          <w:sz w:val="24"/>
          <w:szCs w:val="24"/>
        </w:rPr>
      </w:pPr>
    </w:p>
    <w:p w14:paraId="25D0DBD7" w14:textId="482CE2E7" w:rsidR="00D76DC8" w:rsidRDefault="00D76DC8" w:rsidP="00CD4263">
      <w:pPr>
        <w:jc w:val="both"/>
        <w:rPr>
          <w:b/>
          <w:bCs/>
          <w:sz w:val="24"/>
          <w:szCs w:val="24"/>
        </w:rPr>
      </w:pPr>
    </w:p>
    <w:p w14:paraId="7D09A54F" w14:textId="77777777" w:rsidR="008A5129" w:rsidRDefault="008A5129" w:rsidP="00CD4263">
      <w:pPr>
        <w:jc w:val="both"/>
        <w:rPr>
          <w:b/>
          <w:bCs/>
          <w:sz w:val="24"/>
          <w:szCs w:val="24"/>
        </w:rPr>
      </w:pPr>
    </w:p>
    <w:p w14:paraId="566F8068" w14:textId="726B9F72" w:rsidR="00907100" w:rsidRDefault="0072411B" w:rsidP="00CD4263">
      <w:pPr>
        <w:jc w:val="both"/>
      </w:pPr>
      <w:r w:rsidRPr="00600465">
        <w:rPr>
          <w:b/>
          <w:bCs/>
          <w:sz w:val="24"/>
          <w:szCs w:val="24"/>
        </w:rPr>
        <w:lastRenderedPageBreak/>
        <w:t>References</w:t>
      </w:r>
    </w:p>
    <w:p w14:paraId="4A431D29" w14:textId="77777777" w:rsidR="00593786" w:rsidRDefault="00593786" w:rsidP="001C6A13">
      <w:r>
        <w:t>ALA</w:t>
      </w:r>
      <w:r w:rsidRPr="00446657">
        <w:t xml:space="preserve"> (20</w:t>
      </w:r>
      <w:r>
        <w:t>20</w:t>
      </w:r>
      <w:r w:rsidRPr="00446657">
        <w:t xml:space="preserve">). </w:t>
      </w:r>
      <w:r>
        <w:t xml:space="preserve">Atlas of Living Australia (ALA). Available at: </w:t>
      </w:r>
      <w:hyperlink r:id="rId7" w:history="1">
        <w:r w:rsidRPr="0039075F">
          <w:rPr>
            <w:rStyle w:val="Hyperlink"/>
          </w:rPr>
          <w:t>http://www.ala.org.au</w:t>
        </w:r>
      </w:hyperlink>
      <w:r>
        <w:t xml:space="preserve"> </w:t>
      </w:r>
      <w:r w:rsidRPr="00D26C49">
        <w:t>(accessed June 2020).</w:t>
      </w:r>
    </w:p>
    <w:p w14:paraId="0BC27947" w14:textId="1BE6FA4E" w:rsidR="00593786" w:rsidRDefault="00593786" w:rsidP="001C6A13">
      <w:r w:rsidRPr="009E4269">
        <w:t xml:space="preserve">Anderson, S. (1994). Area and endemism. </w:t>
      </w:r>
      <w:r w:rsidRPr="00C455C7">
        <w:rPr>
          <w:i/>
          <w:iCs/>
        </w:rPr>
        <w:t>Quarterly Review of Biology, 69</w:t>
      </w:r>
      <w:r w:rsidRPr="009E4269">
        <w:t xml:space="preserve">(4), 451–471. </w:t>
      </w:r>
      <w:hyperlink r:id="rId8" w:history="1">
        <w:r w:rsidRPr="0039075F">
          <w:rPr>
            <w:rStyle w:val="Hyperlink"/>
          </w:rPr>
          <w:t>https://doi.org/10.1086/418743</w:t>
        </w:r>
      </w:hyperlink>
    </w:p>
    <w:p w14:paraId="3EB341EE" w14:textId="071D3EE2" w:rsidR="00593786" w:rsidRDefault="00593786" w:rsidP="001C6A13">
      <w:r w:rsidRPr="00697613">
        <w:t xml:space="preserve">Crisp, M. D., Laffan, S., Linder, H. P., &amp; </w:t>
      </w:r>
      <w:proofErr w:type="spellStart"/>
      <w:r w:rsidRPr="00697613">
        <w:t>Monro</w:t>
      </w:r>
      <w:proofErr w:type="spellEnd"/>
      <w:r w:rsidRPr="00697613">
        <w:t xml:space="preserve">, A. (2001). Endemism in the Australian flora. </w:t>
      </w:r>
      <w:r w:rsidRPr="002274EA">
        <w:rPr>
          <w:i/>
          <w:iCs/>
        </w:rPr>
        <w:t>Journal of Biogeography, 28</w:t>
      </w:r>
      <w:r w:rsidRPr="00697613">
        <w:t xml:space="preserve">(2), 183–198. </w:t>
      </w:r>
      <w:hyperlink r:id="rId9" w:history="1">
        <w:r w:rsidRPr="0039075F">
          <w:rPr>
            <w:rStyle w:val="Hyperlink"/>
          </w:rPr>
          <w:t>https://doi.org/10.1046/j.1365-2699.2001.00524.x</w:t>
        </w:r>
      </w:hyperlink>
    </w:p>
    <w:p w14:paraId="7DF51695" w14:textId="08021CFA" w:rsidR="00593786" w:rsidRDefault="00593786" w:rsidP="001C6A13">
      <w:r w:rsidRPr="00477837">
        <w:t xml:space="preserve">Du Toit, J. T. (2010). Considerations of scale in biodiversity conservation. </w:t>
      </w:r>
      <w:r w:rsidRPr="00976791">
        <w:rPr>
          <w:i/>
          <w:iCs/>
        </w:rPr>
        <w:t>Animal Conservation, 13</w:t>
      </w:r>
      <w:r w:rsidRPr="00477837">
        <w:t xml:space="preserve">(3), 229–236. </w:t>
      </w:r>
      <w:hyperlink r:id="rId10" w:history="1">
        <w:r w:rsidRPr="0039075F">
          <w:rPr>
            <w:rStyle w:val="Hyperlink"/>
          </w:rPr>
          <w:t>https://doi.org/10.1111/j.1469-1795.2010.00355.x</w:t>
        </w:r>
      </w:hyperlink>
    </w:p>
    <w:p w14:paraId="3E704B23" w14:textId="541E5120" w:rsidR="00593786" w:rsidRDefault="00593786" w:rsidP="001C6A13">
      <w:r w:rsidRPr="00B22BD1">
        <w:t xml:space="preserve">Gaston, K. J., &amp; Fuller, R. A. (2009). The sizes of species’ geographic ranges. </w:t>
      </w:r>
      <w:r w:rsidRPr="002274EA">
        <w:rPr>
          <w:i/>
          <w:iCs/>
        </w:rPr>
        <w:t>Journal of Applied Ecology, 46</w:t>
      </w:r>
      <w:r w:rsidRPr="00B22BD1">
        <w:t xml:space="preserve">(1), 1–9. </w:t>
      </w:r>
      <w:hyperlink r:id="rId11" w:history="1">
        <w:r w:rsidRPr="0039075F">
          <w:rPr>
            <w:rStyle w:val="Hyperlink"/>
          </w:rPr>
          <w:t>https://doi.org/10.1111/j.1365-2664.2008.01596.x</w:t>
        </w:r>
      </w:hyperlink>
    </w:p>
    <w:p w14:paraId="74FF650A" w14:textId="77777777" w:rsidR="00593786" w:rsidRDefault="00593786" w:rsidP="001C6A13">
      <w:r w:rsidRPr="005E2C38">
        <w:t xml:space="preserve">Gaston, K. J., Quinn, R. M., Wood, S., &amp; Arnold, H. R. (1996). Measures of geographic range size: the effects of sample size. </w:t>
      </w:r>
      <w:proofErr w:type="spellStart"/>
      <w:r w:rsidRPr="002274EA">
        <w:rPr>
          <w:i/>
          <w:iCs/>
        </w:rPr>
        <w:t>Ecography</w:t>
      </w:r>
      <w:proofErr w:type="spellEnd"/>
      <w:r w:rsidRPr="002274EA">
        <w:rPr>
          <w:i/>
          <w:iCs/>
        </w:rPr>
        <w:t>, 19</w:t>
      </w:r>
      <w:r w:rsidRPr="005E2C38">
        <w:t xml:space="preserve">(3), 259–268. </w:t>
      </w:r>
      <w:hyperlink r:id="rId12" w:history="1">
        <w:r w:rsidRPr="0039075F">
          <w:rPr>
            <w:rStyle w:val="Hyperlink"/>
          </w:rPr>
          <w:t>https://doi.org/10.1111/j.1600-0587.1996.tb01253.x</w:t>
        </w:r>
      </w:hyperlink>
    </w:p>
    <w:p w14:paraId="04D41CFC" w14:textId="2A1B1C35" w:rsidR="00593786" w:rsidRDefault="00593786" w:rsidP="001C6A13">
      <w:r w:rsidRPr="00095A24">
        <w:t xml:space="preserve">Guerin, G. R., </w:t>
      </w:r>
      <w:proofErr w:type="spellStart"/>
      <w:r w:rsidRPr="00095A24">
        <w:t>Ruokolainen</w:t>
      </w:r>
      <w:proofErr w:type="spellEnd"/>
      <w:r w:rsidRPr="00095A24">
        <w:t xml:space="preserve">, L., &amp; Lowe, A. J. (2015). A georeferenced implementation of weighted endemism. </w:t>
      </w:r>
      <w:r w:rsidRPr="002274EA">
        <w:rPr>
          <w:i/>
          <w:iCs/>
        </w:rPr>
        <w:t>Methods in Ecology and Evolution, 6</w:t>
      </w:r>
      <w:r w:rsidRPr="00095A24">
        <w:t xml:space="preserve">(7), 845–852. </w:t>
      </w:r>
      <w:hyperlink r:id="rId13" w:history="1">
        <w:r w:rsidRPr="0039075F">
          <w:rPr>
            <w:rStyle w:val="Hyperlink"/>
          </w:rPr>
          <w:t>https://doi.org/10.1111/2041-210X.12361</w:t>
        </w:r>
      </w:hyperlink>
    </w:p>
    <w:p w14:paraId="586895D6" w14:textId="6D15E016" w:rsidR="00593786" w:rsidRDefault="00593786" w:rsidP="001C6A13">
      <w:r w:rsidRPr="008B7E70">
        <w:t xml:space="preserve">Huang, J., Chen, B., Liu, C., Lai, J., Zhang, J., &amp; Ma, K. (2012). Identifying hotspots of endemic woody seed plant diversity in China. </w:t>
      </w:r>
      <w:r w:rsidRPr="00976791">
        <w:rPr>
          <w:i/>
          <w:iCs/>
        </w:rPr>
        <w:t>Diversity and Distributions, 18</w:t>
      </w:r>
      <w:r w:rsidRPr="008B7E70">
        <w:t xml:space="preserve">(7), 673–688. </w:t>
      </w:r>
      <w:hyperlink r:id="rId14" w:history="1">
        <w:r w:rsidRPr="0039075F">
          <w:rPr>
            <w:rStyle w:val="Hyperlink"/>
          </w:rPr>
          <w:t>https://doi.org/10.1111/j.1472-4642.2011.00845.x</w:t>
        </w:r>
      </w:hyperlink>
    </w:p>
    <w:p w14:paraId="3F49059D" w14:textId="7B42AD17" w:rsidR="00593786" w:rsidRDefault="00593786" w:rsidP="001C6A13">
      <w:r w:rsidRPr="00401035">
        <w:t xml:space="preserve">Huang, </w:t>
      </w:r>
      <w:proofErr w:type="spellStart"/>
      <w:r w:rsidRPr="00401035">
        <w:t>Jihong</w:t>
      </w:r>
      <w:proofErr w:type="spellEnd"/>
      <w:r w:rsidRPr="00401035">
        <w:t xml:space="preserve">, Huang, Jianhua, Liu, </w:t>
      </w:r>
      <w:proofErr w:type="spellStart"/>
      <w:r w:rsidRPr="00401035">
        <w:t>Canran</w:t>
      </w:r>
      <w:proofErr w:type="spellEnd"/>
      <w:r w:rsidRPr="00401035">
        <w:t xml:space="preserve">, Zhang, </w:t>
      </w:r>
      <w:proofErr w:type="spellStart"/>
      <w:r w:rsidRPr="00401035">
        <w:t>Jinlong</w:t>
      </w:r>
      <w:proofErr w:type="spellEnd"/>
      <w:r w:rsidRPr="00401035">
        <w:t xml:space="preserve">, Lu, </w:t>
      </w:r>
      <w:proofErr w:type="spellStart"/>
      <w:r w:rsidRPr="00401035">
        <w:t>Xinghui</w:t>
      </w:r>
      <w:proofErr w:type="spellEnd"/>
      <w:r w:rsidRPr="00401035">
        <w:t xml:space="preserve">, &amp; Ma, </w:t>
      </w:r>
      <w:proofErr w:type="spellStart"/>
      <w:r w:rsidRPr="00401035">
        <w:t>Keping</w:t>
      </w:r>
      <w:proofErr w:type="spellEnd"/>
      <w:r w:rsidRPr="00401035">
        <w:t xml:space="preserve">. (2016). Diversity hotspots and conservation gaps for the Chinese endemic seed flora. </w:t>
      </w:r>
      <w:r w:rsidRPr="00D8354E">
        <w:rPr>
          <w:i/>
          <w:iCs/>
        </w:rPr>
        <w:t>Biological Conservation, 198</w:t>
      </w:r>
      <w:r w:rsidRPr="00401035">
        <w:t xml:space="preserve">, 104–112. </w:t>
      </w:r>
      <w:hyperlink r:id="rId15" w:history="1">
        <w:r w:rsidRPr="0039075F">
          <w:rPr>
            <w:rStyle w:val="Hyperlink"/>
          </w:rPr>
          <w:t>https://doi.org/10.1016/j.biocon.2016.04.007</w:t>
        </w:r>
      </w:hyperlink>
    </w:p>
    <w:p w14:paraId="6F692DD3" w14:textId="47F74A5C" w:rsidR="00593786" w:rsidRDefault="00593786" w:rsidP="003C620A">
      <w:r w:rsidRPr="00F96A2E">
        <w:t>IUCN Standards and Petitions Subcommittee (201</w:t>
      </w:r>
      <w:r>
        <w:t>9</w:t>
      </w:r>
      <w:r w:rsidRPr="00F96A2E">
        <w:t>). Guidelines for Using the IUCN Red List Categories and Criteria (Version 1</w:t>
      </w:r>
      <w:r>
        <w:t>4</w:t>
      </w:r>
      <w:r w:rsidRPr="00F96A2E">
        <w:t xml:space="preserve">). </w:t>
      </w:r>
      <w:r>
        <w:t>Prepared by the Standards and Petitions Committee. Retrieved from</w:t>
      </w:r>
      <w:r w:rsidRPr="00F96A2E">
        <w:t xml:space="preserve">: </w:t>
      </w:r>
      <w:hyperlink r:id="rId16" w:history="1">
        <w:r w:rsidRPr="0039075F">
          <w:rPr>
            <w:rStyle w:val="Hyperlink"/>
          </w:rPr>
          <w:t>http://www.iucnredlist.org/documents/RedListGuidelines.pdf</w:t>
        </w:r>
      </w:hyperlink>
    </w:p>
    <w:p w14:paraId="310FF708" w14:textId="53F98E35" w:rsidR="00593786" w:rsidRDefault="00593786" w:rsidP="001C6A13">
      <w:r w:rsidRPr="001E3477">
        <w:t xml:space="preserve">Kier, G., &amp; </w:t>
      </w:r>
      <w:proofErr w:type="spellStart"/>
      <w:r w:rsidRPr="001E3477">
        <w:t>Barthlott</w:t>
      </w:r>
      <w:proofErr w:type="spellEnd"/>
      <w:r w:rsidRPr="001E3477">
        <w:t xml:space="preserve">, W. (2001). Measuring and mapping endemism and species richness: a new methodological approach and its application on the flora of Africa. </w:t>
      </w:r>
      <w:r w:rsidRPr="00976791">
        <w:rPr>
          <w:i/>
          <w:iCs/>
        </w:rPr>
        <w:t>Biodiversity &amp; Conservation, 10</w:t>
      </w:r>
      <w:r w:rsidRPr="001E3477">
        <w:t xml:space="preserve">(9), 1513–1529. </w:t>
      </w:r>
      <w:hyperlink r:id="rId17" w:history="1">
        <w:r w:rsidRPr="0039075F">
          <w:rPr>
            <w:rStyle w:val="Hyperlink"/>
          </w:rPr>
          <w:t>https://doi.org/10.1023/A:1011812528849</w:t>
        </w:r>
      </w:hyperlink>
    </w:p>
    <w:p w14:paraId="685ADB39" w14:textId="3014B4C6" w:rsidR="00115AD5" w:rsidRDefault="00115AD5" w:rsidP="001C6A13">
      <w:r w:rsidRPr="00115AD5">
        <w:t>R Core Team (20</w:t>
      </w:r>
      <w:r>
        <w:t>20</w:t>
      </w:r>
      <w:r w:rsidRPr="00115AD5">
        <w:t xml:space="preserve">). R: A language and environment for statistical computing. R Foundation for Statistical Computing, Vienna, Austria. Available at: </w:t>
      </w:r>
      <w:hyperlink r:id="rId18" w:history="1">
        <w:r w:rsidRPr="0039075F">
          <w:rPr>
            <w:rStyle w:val="Hyperlink"/>
          </w:rPr>
          <w:t>https://www.R-project.org/</w:t>
        </w:r>
      </w:hyperlink>
    </w:p>
    <w:p w14:paraId="4C84BFA7" w14:textId="2567D431" w:rsidR="00593786" w:rsidRDefault="00593786" w:rsidP="001C6A13">
      <w:proofErr w:type="spellStart"/>
      <w:r w:rsidRPr="00AB4DCB">
        <w:t>Slatyer</w:t>
      </w:r>
      <w:proofErr w:type="spellEnd"/>
      <w:r w:rsidRPr="00AB4DCB">
        <w:t xml:space="preserve">, C., </w:t>
      </w:r>
      <w:proofErr w:type="spellStart"/>
      <w:r w:rsidRPr="00AB4DCB">
        <w:t>Rosauer</w:t>
      </w:r>
      <w:proofErr w:type="spellEnd"/>
      <w:r w:rsidRPr="00AB4DCB">
        <w:t xml:space="preserve">, D., &amp; </w:t>
      </w:r>
      <w:proofErr w:type="spellStart"/>
      <w:r w:rsidRPr="00AB4DCB">
        <w:t>Lemckert</w:t>
      </w:r>
      <w:proofErr w:type="spellEnd"/>
      <w:r w:rsidRPr="00AB4DCB">
        <w:t xml:space="preserve">, F. (2007). An assessment of endemism and species richness patterns in the Australian </w:t>
      </w:r>
      <w:proofErr w:type="spellStart"/>
      <w:r w:rsidRPr="00AB4DCB">
        <w:t>Anura</w:t>
      </w:r>
      <w:proofErr w:type="spellEnd"/>
      <w:r w:rsidRPr="00AB4DCB">
        <w:t xml:space="preserve">. </w:t>
      </w:r>
      <w:r w:rsidRPr="002947FC">
        <w:rPr>
          <w:i/>
          <w:iCs/>
        </w:rPr>
        <w:t>Journal of Biogeography, 34</w:t>
      </w:r>
      <w:r w:rsidRPr="00AB4DCB">
        <w:t xml:space="preserve">(4), 583–596. </w:t>
      </w:r>
      <w:hyperlink r:id="rId19" w:history="1">
        <w:r w:rsidRPr="0039075F">
          <w:rPr>
            <w:rStyle w:val="Hyperlink"/>
          </w:rPr>
          <w:t>https://doi.org/10.1111/j.1365-2699.2006.01647.x</w:t>
        </w:r>
      </w:hyperlink>
    </w:p>
    <w:p w14:paraId="2E5E36CD" w14:textId="77777777" w:rsidR="00593786" w:rsidRDefault="00593786" w:rsidP="00CD426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0F90652" w14:textId="710D82C2" w:rsidR="0072411B" w:rsidRPr="00600465" w:rsidRDefault="0072411B">
      <w:pPr>
        <w:rPr>
          <w:b/>
          <w:bCs/>
          <w:sz w:val="24"/>
          <w:szCs w:val="24"/>
        </w:rPr>
      </w:pPr>
      <w:r w:rsidRPr="00600465">
        <w:rPr>
          <w:b/>
          <w:bCs/>
          <w:sz w:val="24"/>
          <w:szCs w:val="24"/>
        </w:rPr>
        <w:lastRenderedPageBreak/>
        <w:t>Tables</w:t>
      </w:r>
    </w:p>
    <w:p w14:paraId="20D5C388" w14:textId="35768151" w:rsidR="00DD515F" w:rsidRDefault="00DD515F" w:rsidP="00DD515F">
      <w:pPr>
        <w:spacing w:after="0"/>
      </w:pPr>
      <w:r w:rsidRPr="00933000">
        <w:rPr>
          <w:b/>
          <w:bCs/>
        </w:rPr>
        <w:t xml:space="preserve">Table </w:t>
      </w:r>
      <w:r w:rsidR="00340505" w:rsidRPr="00933000">
        <w:rPr>
          <w:b/>
          <w:bCs/>
        </w:rPr>
        <w:t>1</w:t>
      </w:r>
      <w:r>
        <w:t xml:space="preserve"> Description</w:t>
      </w:r>
      <w:r w:rsidR="00F4788B">
        <w:t>s</w:t>
      </w:r>
      <w:r>
        <w:t xml:space="preserve"> of four </w:t>
      </w:r>
      <w:r w:rsidR="00F4788B">
        <w:t xml:space="preserve">alternative </w:t>
      </w:r>
      <w:r>
        <w:t>minimal occurrence methods</w:t>
      </w:r>
      <w:r w:rsidR="00F4788B">
        <w:t xml:space="preserve"> </w:t>
      </w:r>
      <w:r w:rsidR="00012BD0">
        <w:t xml:space="preserve">used for </w:t>
      </w:r>
      <w:r w:rsidR="009C6E82">
        <w:t xml:space="preserve">calculation of extent of occurrence (EOO) </w:t>
      </w:r>
      <w:r w:rsidR="0007411F">
        <w:t xml:space="preserve">in </w:t>
      </w:r>
      <w:r w:rsidR="00012BD0">
        <w:t>non-polygon occurring species</w:t>
      </w:r>
      <w:r w:rsidR="0007411F">
        <w:t xml:space="preserve">. </w:t>
      </w:r>
      <w:r w:rsidR="009C6E8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D515F" w14:paraId="76E410CE" w14:textId="77777777" w:rsidTr="00987907">
        <w:tc>
          <w:tcPr>
            <w:tcW w:w="2830" w:type="dxa"/>
            <w:shd w:val="clear" w:color="auto" w:fill="D9D9D9" w:themeFill="background1" w:themeFillShade="D9"/>
          </w:tcPr>
          <w:p w14:paraId="43BAF732" w14:textId="77777777" w:rsidR="00DD515F" w:rsidRDefault="00DD515F" w:rsidP="007E6988">
            <w:r>
              <w:t>Minimal occurrence method</w:t>
            </w:r>
          </w:p>
        </w:tc>
        <w:tc>
          <w:tcPr>
            <w:tcW w:w="6186" w:type="dxa"/>
            <w:shd w:val="clear" w:color="auto" w:fill="D9D9D9" w:themeFill="background1" w:themeFillShade="D9"/>
          </w:tcPr>
          <w:p w14:paraId="76AA1B3E" w14:textId="77777777" w:rsidR="00DD515F" w:rsidRDefault="00DD515F" w:rsidP="007E6988">
            <w:r>
              <w:t>Description</w:t>
            </w:r>
          </w:p>
        </w:tc>
      </w:tr>
      <w:tr w:rsidR="00DD515F" w14:paraId="4092A3FA" w14:textId="77777777" w:rsidTr="00987907">
        <w:tc>
          <w:tcPr>
            <w:tcW w:w="2830" w:type="dxa"/>
            <w:shd w:val="clear" w:color="auto" w:fill="D9D9D9" w:themeFill="background1" w:themeFillShade="D9"/>
          </w:tcPr>
          <w:p w14:paraId="2665B5A2" w14:textId="77777777" w:rsidR="00DD515F" w:rsidRDefault="00DD515F" w:rsidP="007E6988">
            <w:r>
              <w:t>Removal from data set</w:t>
            </w:r>
          </w:p>
        </w:tc>
        <w:tc>
          <w:tcPr>
            <w:tcW w:w="6186" w:type="dxa"/>
          </w:tcPr>
          <w:p w14:paraId="26F5D900" w14:textId="140A5B62" w:rsidR="00DD515F" w:rsidRDefault="00F4788B" w:rsidP="007E6988">
            <w:r>
              <w:t xml:space="preserve">Species that cannot generate a convex hull polygon </w:t>
            </w:r>
            <w:proofErr w:type="gramStart"/>
            <w:r>
              <w:t xml:space="preserve">are </w:t>
            </w:r>
            <w:r w:rsidR="00AB74C1">
              <w:t>removed</w:t>
            </w:r>
            <w:proofErr w:type="gramEnd"/>
            <w:r w:rsidR="00AB74C1">
              <w:t xml:space="preserve"> from the data set and excluded from the analysis. </w:t>
            </w:r>
          </w:p>
        </w:tc>
      </w:tr>
      <w:tr w:rsidR="00DD515F" w14:paraId="029E3067" w14:textId="77777777" w:rsidTr="00987907">
        <w:tc>
          <w:tcPr>
            <w:tcW w:w="2830" w:type="dxa"/>
            <w:shd w:val="clear" w:color="auto" w:fill="D9D9D9" w:themeFill="background1" w:themeFillShade="D9"/>
          </w:tcPr>
          <w:p w14:paraId="54A97287" w14:textId="77777777" w:rsidR="00DD515F" w:rsidRDefault="00DD515F" w:rsidP="007E6988">
            <w:r>
              <w:t>Assigning a set area per record</w:t>
            </w:r>
          </w:p>
        </w:tc>
        <w:tc>
          <w:tcPr>
            <w:tcW w:w="6186" w:type="dxa"/>
          </w:tcPr>
          <w:p w14:paraId="039B948A" w14:textId="57C793C8" w:rsidR="00DD515F" w:rsidRDefault="00DD515F" w:rsidP="007E6988">
            <w:r>
              <w:t xml:space="preserve">Species </w:t>
            </w:r>
            <w:proofErr w:type="gramStart"/>
            <w:r>
              <w:t>are assigned</w:t>
            </w:r>
            <w:proofErr w:type="gramEnd"/>
            <w:r>
              <w:t xml:space="preserve"> a range size of x area </w:t>
            </w:r>
            <w:r w:rsidR="00F33179">
              <w:t>multiplied by</w:t>
            </w:r>
            <w:r>
              <w:t xml:space="preserve"> the number of </w:t>
            </w:r>
            <w:r w:rsidR="00F33179">
              <w:t xml:space="preserve">its </w:t>
            </w:r>
            <w:r>
              <w:t xml:space="preserve">records. For this analysis, 3 values of </w:t>
            </w:r>
            <w:r w:rsidR="006C3441">
              <w:t xml:space="preserve">x </w:t>
            </w:r>
            <w:proofErr w:type="gramStart"/>
            <w:r>
              <w:t>were explored</w:t>
            </w:r>
            <w:proofErr w:type="gramEnd"/>
            <w:r>
              <w:t xml:space="preserve">: 0.1, 1 and 10 </w:t>
            </w:r>
            <w:r w:rsidR="00CC2145">
              <w:rPr>
                <w:rFonts w:cstheme="minorHAnsi"/>
              </w:rPr>
              <w:t>km</w:t>
            </w:r>
            <w:r w:rsidR="00CC2145" w:rsidRPr="000C5E41">
              <w:rPr>
                <w:rFonts w:cstheme="minorHAnsi"/>
                <w:vertAlign w:val="superscript"/>
              </w:rPr>
              <w:t>2</w:t>
            </w:r>
            <w:r w:rsidR="00CC2145">
              <w:rPr>
                <w:rFonts w:cstheme="minorHAnsi"/>
              </w:rPr>
              <w:t>.</w:t>
            </w:r>
          </w:p>
        </w:tc>
      </w:tr>
      <w:tr w:rsidR="00DD515F" w14:paraId="1B270BD7" w14:textId="77777777" w:rsidTr="00987907">
        <w:tc>
          <w:tcPr>
            <w:tcW w:w="2830" w:type="dxa"/>
            <w:shd w:val="clear" w:color="auto" w:fill="D9D9D9" w:themeFill="background1" w:themeFillShade="D9"/>
          </w:tcPr>
          <w:p w14:paraId="09B390B9" w14:textId="0127E43D" w:rsidR="00DD515F" w:rsidRDefault="00027D1A" w:rsidP="007E6988">
            <w:r>
              <w:t>D</w:t>
            </w:r>
            <w:r w:rsidR="00DD515F">
              <w:t xml:space="preserve">istance between </w:t>
            </w:r>
            <w:r>
              <w:t>records</w:t>
            </w:r>
          </w:p>
        </w:tc>
        <w:tc>
          <w:tcPr>
            <w:tcW w:w="6186" w:type="dxa"/>
          </w:tcPr>
          <w:p w14:paraId="48C3D09E" w14:textId="1B821EEB" w:rsidR="00DD515F" w:rsidRDefault="00DD515F" w:rsidP="007E6988">
            <w:r>
              <w:t xml:space="preserve">Species with two or more records </w:t>
            </w:r>
            <w:proofErr w:type="gramStart"/>
            <w:r>
              <w:t>are assigned</w:t>
            </w:r>
            <w:proofErr w:type="gramEnd"/>
            <w:r>
              <w:t xml:space="preserve"> a range size of the distance between the two furthest records in kilometres. Species with one record </w:t>
            </w:r>
            <w:proofErr w:type="gramStart"/>
            <w:r>
              <w:t>are assigned</w:t>
            </w:r>
            <w:proofErr w:type="gramEnd"/>
            <w:r>
              <w:t xml:space="preserve"> a range size of 1 </w:t>
            </w:r>
            <w:r w:rsidR="00CC2145">
              <w:rPr>
                <w:rFonts w:cstheme="minorHAnsi"/>
              </w:rPr>
              <w:t>km</w:t>
            </w:r>
            <w:r w:rsidR="00CC2145" w:rsidRPr="000C5E41">
              <w:rPr>
                <w:rFonts w:cstheme="minorHAnsi"/>
                <w:vertAlign w:val="superscript"/>
              </w:rPr>
              <w:t>2</w:t>
            </w:r>
            <w:r w:rsidR="00CC2145">
              <w:rPr>
                <w:rFonts w:cstheme="minorHAnsi"/>
              </w:rPr>
              <w:t>.</w:t>
            </w:r>
          </w:p>
        </w:tc>
      </w:tr>
      <w:tr w:rsidR="00DD515F" w14:paraId="7C4BC73C" w14:textId="77777777" w:rsidTr="00987907">
        <w:tc>
          <w:tcPr>
            <w:tcW w:w="2830" w:type="dxa"/>
            <w:shd w:val="clear" w:color="auto" w:fill="D9D9D9" w:themeFill="background1" w:themeFillShade="D9"/>
          </w:tcPr>
          <w:p w14:paraId="43FE087A" w14:textId="77777777" w:rsidR="00DD515F" w:rsidRDefault="00DD515F" w:rsidP="007E6988">
            <w:r>
              <w:t>Record jittering</w:t>
            </w:r>
          </w:p>
        </w:tc>
        <w:tc>
          <w:tcPr>
            <w:tcW w:w="6186" w:type="dxa"/>
          </w:tcPr>
          <w:p w14:paraId="03981434" w14:textId="26E37DE4" w:rsidR="00DD515F" w:rsidRPr="00CC2145" w:rsidRDefault="00DD515F" w:rsidP="007E6988">
            <w:r>
              <w:t xml:space="preserve">For species with three or more occurrences, one randomly chosen record is jittered by a factor of 0.1 in either longitude or latitude. Species with two occurrences </w:t>
            </w:r>
            <w:proofErr w:type="gramStart"/>
            <w:r>
              <w:t>are assigned</w:t>
            </w:r>
            <w:proofErr w:type="gramEnd"/>
            <w:r>
              <w:t xml:space="preserve"> </w:t>
            </w:r>
            <w:r w:rsidRPr="008B4311">
              <w:t xml:space="preserve">a range size of the distance between </w:t>
            </w:r>
            <w:r>
              <w:t>them</w:t>
            </w:r>
            <w:r w:rsidRPr="008B4311">
              <w:t xml:space="preserve"> in kilometres. Species with one record </w:t>
            </w:r>
            <w:proofErr w:type="gramStart"/>
            <w:r w:rsidRPr="008B4311">
              <w:t>are assigned</w:t>
            </w:r>
            <w:proofErr w:type="gramEnd"/>
            <w:r w:rsidRPr="008B4311">
              <w:t xml:space="preserve"> a range size of 1 </w:t>
            </w:r>
            <w:r w:rsidR="00CC2145">
              <w:rPr>
                <w:rFonts w:cstheme="minorHAnsi"/>
              </w:rPr>
              <w:t>km</w:t>
            </w:r>
            <w:r w:rsidR="00CC2145" w:rsidRPr="000C5E41">
              <w:rPr>
                <w:rFonts w:cstheme="minorHAnsi"/>
                <w:vertAlign w:val="superscript"/>
              </w:rPr>
              <w:t>2</w:t>
            </w:r>
            <w:r w:rsidR="00CC2145">
              <w:rPr>
                <w:rFonts w:cstheme="minorHAnsi"/>
              </w:rPr>
              <w:t>.</w:t>
            </w:r>
          </w:p>
        </w:tc>
      </w:tr>
    </w:tbl>
    <w:p w14:paraId="758E275A" w14:textId="77777777" w:rsidR="000E2B3C" w:rsidRDefault="000E2B3C" w:rsidP="00F907E1"/>
    <w:p w14:paraId="635ACB9E" w14:textId="72EF4249" w:rsidR="00DD515F" w:rsidRDefault="00DD515F" w:rsidP="00DD515F">
      <w:pPr>
        <w:spacing w:after="0"/>
      </w:pPr>
      <w:r w:rsidRPr="00933000">
        <w:rPr>
          <w:b/>
          <w:bCs/>
        </w:rPr>
        <w:t xml:space="preserve">Table </w:t>
      </w:r>
      <w:r w:rsidR="00340505" w:rsidRPr="00933000">
        <w:rPr>
          <w:b/>
          <w:bCs/>
        </w:rPr>
        <w:t>2</w:t>
      </w:r>
      <w:r>
        <w:t xml:space="preserve"> The percent of all species for which extent of occurrence (EOO) </w:t>
      </w:r>
      <w:r w:rsidR="00DB5123">
        <w:t xml:space="preserve">was </w:t>
      </w:r>
      <w:r>
        <w:t>larger than area of occupancy (</w:t>
      </w:r>
      <w:proofErr w:type="spellStart"/>
      <w:r>
        <w:t>AOO</w:t>
      </w:r>
      <w:proofErr w:type="spellEnd"/>
      <w:r>
        <w:t xml:space="preserve">), for five </w:t>
      </w:r>
      <w:proofErr w:type="spellStart"/>
      <w:r>
        <w:t>Myrtaceae</w:t>
      </w:r>
      <w:proofErr w:type="spellEnd"/>
      <w:r>
        <w:t xml:space="preserve"> genera </w:t>
      </w:r>
      <w:r w:rsidR="00E878F5">
        <w:t>at</w:t>
      </w:r>
      <w:r>
        <w:t xml:space="preserve"> four </w:t>
      </w:r>
      <w:r w:rsidR="00E878F5">
        <w:t xml:space="preserve">different </w:t>
      </w:r>
      <w:r>
        <w:t xml:space="preserve">grid cell sizes.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D515F" w14:paraId="023F8D28" w14:textId="77777777" w:rsidTr="007E6988">
        <w:tc>
          <w:tcPr>
            <w:tcW w:w="1803" w:type="dxa"/>
            <w:shd w:val="clear" w:color="auto" w:fill="D9D9D9" w:themeFill="background1" w:themeFillShade="D9"/>
          </w:tcPr>
          <w:p w14:paraId="2D425B38" w14:textId="77777777" w:rsidR="00DD515F" w:rsidRPr="005A3E68" w:rsidRDefault="00DD515F" w:rsidP="007E6988"/>
        </w:tc>
        <w:tc>
          <w:tcPr>
            <w:tcW w:w="7213" w:type="dxa"/>
            <w:gridSpan w:val="4"/>
            <w:shd w:val="clear" w:color="auto" w:fill="D9D9D9" w:themeFill="background1" w:themeFillShade="D9"/>
          </w:tcPr>
          <w:p w14:paraId="65B23F9E" w14:textId="6DA0F07D" w:rsidR="00DD515F" w:rsidRPr="005A3E68" w:rsidRDefault="00DD515F" w:rsidP="007E6988">
            <w:pPr>
              <w:jc w:val="center"/>
            </w:pPr>
            <w:r w:rsidRPr="005A3E68">
              <w:t>Grid cell size (</w:t>
            </w:r>
            <w:r w:rsidR="00CC2145">
              <w:rPr>
                <w:rFonts w:cstheme="minorHAnsi"/>
              </w:rPr>
              <w:t>km</w:t>
            </w:r>
            <w:r w:rsidR="00CC2145" w:rsidRPr="000C5E41">
              <w:rPr>
                <w:rFonts w:cstheme="minorHAnsi"/>
                <w:vertAlign w:val="superscript"/>
              </w:rPr>
              <w:t>2</w:t>
            </w:r>
            <w:r w:rsidRPr="005A3E68">
              <w:t>)</w:t>
            </w:r>
          </w:p>
        </w:tc>
      </w:tr>
      <w:tr w:rsidR="00DD515F" w14:paraId="3850EE6E" w14:textId="77777777" w:rsidTr="007E6988">
        <w:tc>
          <w:tcPr>
            <w:tcW w:w="1803" w:type="dxa"/>
            <w:shd w:val="clear" w:color="auto" w:fill="D9D9D9" w:themeFill="background1" w:themeFillShade="D9"/>
          </w:tcPr>
          <w:p w14:paraId="5B16FB91" w14:textId="77777777" w:rsidR="00DD515F" w:rsidRPr="005A3E68" w:rsidRDefault="00DD515F" w:rsidP="007E6988">
            <w:r>
              <w:t>Genera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14:paraId="1BBDC0D3" w14:textId="77777777" w:rsidR="00DD515F" w:rsidRPr="005A3E68" w:rsidRDefault="00DD515F" w:rsidP="007E6988">
            <w:pPr>
              <w:jc w:val="center"/>
            </w:pPr>
            <w:r w:rsidRPr="005A3E68">
              <w:rPr>
                <w:rFonts w:cstheme="minorHAnsi"/>
              </w:rPr>
              <w:t>1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14:paraId="599B0C48" w14:textId="77777777" w:rsidR="00DD515F" w:rsidRPr="005A3E68" w:rsidRDefault="00DD515F" w:rsidP="007E6988">
            <w:pPr>
              <w:jc w:val="center"/>
            </w:pPr>
            <w:r w:rsidRPr="005A3E68">
              <w:rPr>
                <w:rFonts w:cstheme="minorHAnsi"/>
              </w:rPr>
              <w:t>110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14:paraId="2C3317C0" w14:textId="77777777" w:rsidR="00DD515F" w:rsidRPr="005A3E68" w:rsidRDefault="00DD515F" w:rsidP="007E6988">
            <w:pPr>
              <w:jc w:val="center"/>
            </w:pPr>
            <w:r w:rsidRPr="005A3E68">
              <w:rPr>
                <w:rFonts w:cstheme="minorHAnsi"/>
              </w:rPr>
              <w:t>11,000</w:t>
            </w:r>
          </w:p>
        </w:tc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3F22E250" w14:textId="77777777" w:rsidR="00DD515F" w:rsidRPr="005A3E68" w:rsidRDefault="00DD515F" w:rsidP="007E6988">
            <w:pPr>
              <w:jc w:val="center"/>
            </w:pPr>
            <w:r w:rsidRPr="005A3E68">
              <w:rPr>
                <w:rFonts w:cstheme="minorHAnsi"/>
              </w:rPr>
              <w:t>20,000</w:t>
            </w:r>
          </w:p>
        </w:tc>
      </w:tr>
      <w:tr w:rsidR="00DD515F" w14:paraId="4DCC79B5" w14:textId="77777777" w:rsidTr="007E6988">
        <w:tc>
          <w:tcPr>
            <w:tcW w:w="1803" w:type="dxa"/>
            <w:shd w:val="clear" w:color="auto" w:fill="D9D9D9" w:themeFill="background1" w:themeFillShade="D9"/>
          </w:tcPr>
          <w:p w14:paraId="13D7C3DC" w14:textId="77777777" w:rsidR="00DD515F" w:rsidRPr="000E2B3C" w:rsidRDefault="00DD515F" w:rsidP="007E6988">
            <w:pPr>
              <w:rPr>
                <w:i/>
                <w:iCs/>
              </w:rPr>
            </w:pPr>
            <w:r w:rsidRPr="000E2B3C">
              <w:rPr>
                <w:rFonts w:cstheme="minorHAnsi"/>
                <w:i/>
                <w:iCs/>
              </w:rPr>
              <w:t>Eucalyptus</w:t>
            </w:r>
          </w:p>
        </w:tc>
        <w:tc>
          <w:tcPr>
            <w:tcW w:w="1803" w:type="dxa"/>
            <w:vAlign w:val="center"/>
          </w:tcPr>
          <w:p w14:paraId="578196DA" w14:textId="77777777" w:rsidR="00DD515F" w:rsidRPr="005A3E68" w:rsidRDefault="00DD515F" w:rsidP="007E6988">
            <w:pPr>
              <w:jc w:val="center"/>
            </w:pPr>
            <w:r w:rsidRPr="005A3E68">
              <w:rPr>
                <w:rFonts w:cstheme="minorHAnsi"/>
              </w:rPr>
              <w:t>98</w:t>
            </w:r>
            <w:r>
              <w:rPr>
                <w:rFonts w:cstheme="minorHAnsi"/>
              </w:rPr>
              <w:t xml:space="preserve"> (702)</w:t>
            </w:r>
          </w:p>
        </w:tc>
        <w:tc>
          <w:tcPr>
            <w:tcW w:w="1803" w:type="dxa"/>
            <w:vAlign w:val="center"/>
          </w:tcPr>
          <w:p w14:paraId="2185116C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92 (660)</w:t>
            </w:r>
          </w:p>
        </w:tc>
        <w:tc>
          <w:tcPr>
            <w:tcW w:w="1803" w:type="dxa"/>
            <w:vAlign w:val="center"/>
          </w:tcPr>
          <w:p w14:paraId="08FA291D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40 (</w:t>
            </w:r>
            <w:r w:rsidRPr="005A3E68">
              <w:rPr>
                <w:rFonts w:cstheme="minorHAnsi"/>
              </w:rPr>
              <w:t>289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4" w:type="dxa"/>
            <w:vAlign w:val="center"/>
          </w:tcPr>
          <w:p w14:paraId="0007FEF4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44 (</w:t>
            </w:r>
            <w:r w:rsidRPr="005A3E68">
              <w:rPr>
                <w:rFonts w:cstheme="minorHAnsi"/>
              </w:rPr>
              <w:t>312</w:t>
            </w:r>
            <w:r>
              <w:rPr>
                <w:rFonts w:cstheme="minorHAnsi"/>
              </w:rPr>
              <w:t>)</w:t>
            </w:r>
          </w:p>
        </w:tc>
      </w:tr>
      <w:tr w:rsidR="00DD515F" w14:paraId="0A33A083" w14:textId="77777777" w:rsidTr="007E6988">
        <w:tc>
          <w:tcPr>
            <w:tcW w:w="1803" w:type="dxa"/>
            <w:shd w:val="clear" w:color="auto" w:fill="D9D9D9" w:themeFill="background1" w:themeFillShade="D9"/>
          </w:tcPr>
          <w:p w14:paraId="3865EEE5" w14:textId="77777777" w:rsidR="00DD515F" w:rsidRPr="000E2B3C" w:rsidRDefault="00DD515F" w:rsidP="007E6988">
            <w:pPr>
              <w:rPr>
                <w:i/>
                <w:iCs/>
              </w:rPr>
            </w:pPr>
            <w:r w:rsidRPr="000E2B3C">
              <w:rPr>
                <w:rFonts w:cstheme="minorHAnsi"/>
                <w:i/>
                <w:iCs/>
              </w:rPr>
              <w:t>Callistemon</w:t>
            </w:r>
          </w:p>
        </w:tc>
        <w:tc>
          <w:tcPr>
            <w:tcW w:w="1803" w:type="dxa"/>
            <w:vAlign w:val="center"/>
          </w:tcPr>
          <w:p w14:paraId="398A9C03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93 (</w:t>
            </w:r>
            <w:r w:rsidRPr="005A3E68">
              <w:rPr>
                <w:rFonts w:cstheme="minorHAnsi"/>
              </w:rPr>
              <w:t>41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3" w:type="dxa"/>
            <w:vAlign w:val="center"/>
          </w:tcPr>
          <w:p w14:paraId="158FEA3F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82 (</w:t>
            </w:r>
            <w:r w:rsidRPr="005A3E68">
              <w:rPr>
                <w:rFonts w:cstheme="minorHAnsi"/>
              </w:rPr>
              <w:t>36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3" w:type="dxa"/>
            <w:vAlign w:val="center"/>
          </w:tcPr>
          <w:p w14:paraId="4D1A2D7B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39 (</w:t>
            </w:r>
            <w:r w:rsidRPr="005A3E68">
              <w:rPr>
                <w:rFonts w:cstheme="minorHAnsi"/>
              </w:rPr>
              <w:t>17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4" w:type="dxa"/>
            <w:vAlign w:val="center"/>
          </w:tcPr>
          <w:p w14:paraId="004FA32D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34 (</w:t>
            </w:r>
            <w:r w:rsidRPr="005A3E68">
              <w:rPr>
                <w:rFonts w:cstheme="minorHAnsi"/>
              </w:rPr>
              <w:t>15</w:t>
            </w:r>
            <w:r>
              <w:rPr>
                <w:rFonts w:cstheme="minorHAnsi"/>
              </w:rPr>
              <w:t>)</w:t>
            </w:r>
          </w:p>
        </w:tc>
      </w:tr>
      <w:tr w:rsidR="00DD515F" w14:paraId="4CD328F7" w14:textId="77777777" w:rsidTr="007E6988">
        <w:tc>
          <w:tcPr>
            <w:tcW w:w="1803" w:type="dxa"/>
            <w:shd w:val="clear" w:color="auto" w:fill="D9D9D9" w:themeFill="background1" w:themeFillShade="D9"/>
          </w:tcPr>
          <w:p w14:paraId="79A166AD" w14:textId="77777777" w:rsidR="00DD515F" w:rsidRPr="000E2B3C" w:rsidRDefault="00DD515F" w:rsidP="007E6988">
            <w:pPr>
              <w:rPr>
                <w:i/>
                <w:iCs/>
              </w:rPr>
            </w:pPr>
            <w:r w:rsidRPr="000E2B3C">
              <w:rPr>
                <w:rFonts w:cstheme="minorHAnsi"/>
                <w:i/>
                <w:iCs/>
              </w:rPr>
              <w:t>Corymbia</w:t>
            </w:r>
          </w:p>
        </w:tc>
        <w:tc>
          <w:tcPr>
            <w:tcW w:w="1803" w:type="dxa"/>
            <w:vAlign w:val="center"/>
          </w:tcPr>
          <w:p w14:paraId="3FED060E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100 (</w:t>
            </w:r>
            <w:r w:rsidRPr="005A3E68">
              <w:rPr>
                <w:rFonts w:cstheme="minorHAnsi"/>
              </w:rPr>
              <w:t>93</w:t>
            </w:r>
            <w:r>
              <w:rPr>
                <w:rFonts w:cstheme="minorHAnsi"/>
              </w:rPr>
              <w:t>)</w:t>
            </w:r>
            <w:r w:rsidRPr="005A3E68">
              <w:rPr>
                <w:rFonts w:cstheme="minorHAnsi"/>
              </w:rPr>
              <w:t xml:space="preserve"> </w:t>
            </w:r>
          </w:p>
        </w:tc>
        <w:tc>
          <w:tcPr>
            <w:tcW w:w="1803" w:type="dxa"/>
            <w:vAlign w:val="center"/>
          </w:tcPr>
          <w:p w14:paraId="030E2487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100 (</w:t>
            </w:r>
            <w:r w:rsidRPr="005A3E68">
              <w:rPr>
                <w:rFonts w:cstheme="minorHAnsi"/>
              </w:rPr>
              <w:t>93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3" w:type="dxa"/>
            <w:vAlign w:val="center"/>
          </w:tcPr>
          <w:p w14:paraId="509BEF90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82 (</w:t>
            </w:r>
            <w:r w:rsidRPr="005A3E68">
              <w:rPr>
                <w:rFonts w:cstheme="minorHAnsi"/>
              </w:rPr>
              <w:t>76</w:t>
            </w:r>
            <w:r>
              <w:rPr>
                <w:rFonts w:cstheme="minorHAnsi"/>
              </w:rPr>
              <w:t>)</w:t>
            </w:r>
            <w:r w:rsidRPr="005A3E68">
              <w:rPr>
                <w:rFonts w:cstheme="minorHAnsi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14:paraId="09423AB7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69 (</w:t>
            </w:r>
            <w:r w:rsidRPr="005A3E68">
              <w:rPr>
                <w:rFonts w:cstheme="minorHAnsi"/>
              </w:rPr>
              <w:t>64</w:t>
            </w:r>
            <w:r>
              <w:rPr>
                <w:rFonts w:cstheme="minorHAnsi"/>
              </w:rPr>
              <w:t>)</w:t>
            </w:r>
          </w:p>
        </w:tc>
      </w:tr>
      <w:tr w:rsidR="00DD515F" w14:paraId="439BC682" w14:textId="77777777" w:rsidTr="007E6988">
        <w:tc>
          <w:tcPr>
            <w:tcW w:w="1803" w:type="dxa"/>
            <w:shd w:val="clear" w:color="auto" w:fill="D9D9D9" w:themeFill="background1" w:themeFillShade="D9"/>
          </w:tcPr>
          <w:p w14:paraId="5BD76532" w14:textId="77777777" w:rsidR="00DD515F" w:rsidRPr="000E2B3C" w:rsidRDefault="00DD515F" w:rsidP="007E6988">
            <w:pPr>
              <w:rPr>
                <w:i/>
                <w:iCs/>
              </w:rPr>
            </w:pPr>
            <w:r w:rsidRPr="000E2B3C">
              <w:rPr>
                <w:rFonts w:cstheme="minorHAnsi"/>
                <w:i/>
                <w:iCs/>
              </w:rPr>
              <w:t>Melaleuca</w:t>
            </w:r>
          </w:p>
        </w:tc>
        <w:tc>
          <w:tcPr>
            <w:tcW w:w="1803" w:type="dxa"/>
            <w:vAlign w:val="center"/>
          </w:tcPr>
          <w:p w14:paraId="7152045B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99 (100)</w:t>
            </w:r>
          </w:p>
        </w:tc>
        <w:tc>
          <w:tcPr>
            <w:tcW w:w="1803" w:type="dxa"/>
            <w:vAlign w:val="center"/>
          </w:tcPr>
          <w:p w14:paraId="727E050D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93 (</w:t>
            </w:r>
            <w:r w:rsidRPr="005A3E68">
              <w:rPr>
                <w:rFonts w:cstheme="minorHAnsi"/>
              </w:rPr>
              <w:t>229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3" w:type="dxa"/>
            <w:vAlign w:val="center"/>
          </w:tcPr>
          <w:p w14:paraId="6794B670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34 (</w:t>
            </w:r>
            <w:r w:rsidRPr="005A3E68">
              <w:rPr>
                <w:rFonts w:cstheme="minorHAnsi"/>
              </w:rPr>
              <w:t>84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4" w:type="dxa"/>
            <w:vAlign w:val="center"/>
          </w:tcPr>
          <w:p w14:paraId="4F27C41F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30 (</w:t>
            </w:r>
            <w:r w:rsidRPr="005A3E68">
              <w:rPr>
                <w:rFonts w:cstheme="minorHAnsi"/>
              </w:rPr>
              <w:t>74</w:t>
            </w:r>
            <w:r>
              <w:rPr>
                <w:rFonts w:cstheme="minorHAnsi"/>
              </w:rPr>
              <w:t>)</w:t>
            </w:r>
          </w:p>
        </w:tc>
      </w:tr>
      <w:tr w:rsidR="00DD515F" w14:paraId="1212CD89" w14:textId="77777777" w:rsidTr="007E6988">
        <w:tc>
          <w:tcPr>
            <w:tcW w:w="1803" w:type="dxa"/>
            <w:shd w:val="clear" w:color="auto" w:fill="D9D9D9" w:themeFill="background1" w:themeFillShade="D9"/>
          </w:tcPr>
          <w:p w14:paraId="4A1B3C9F" w14:textId="77777777" w:rsidR="00DD515F" w:rsidRPr="000E2B3C" w:rsidRDefault="00DD515F" w:rsidP="007E6988">
            <w:pPr>
              <w:rPr>
                <w:i/>
                <w:iCs/>
              </w:rPr>
            </w:pPr>
            <w:r w:rsidRPr="000E2B3C">
              <w:rPr>
                <w:rFonts w:cstheme="minorHAnsi"/>
                <w:i/>
                <w:iCs/>
              </w:rPr>
              <w:t>Leptospermum</w:t>
            </w:r>
          </w:p>
        </w:tc>
        <w:tc>
          <w:tcPr>
            <w:tcW w:w="1803" w:type="dxa"/>
            <w:vAlign w:val="center"/>
          </w:tcPr>
          <w:p w14:paraId="11F17FF9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98 (</w:t>
            </w:r>
            <w:r w:rsidRPr="005A3E68">
              <w:rPr>
                <w:rFonts w:cstheme="minorHAnsi"/>
              </w:rPr>
              <w:t>84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3" w:type="dxa"/>
            <w:vAlign w:val="center"/>
          </w:tcPr>
          <w:p w14:paraId="78C72F9F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85 (</w:t>
            </w:r>
            <w:r w:rsidRPr="005A3E68">
              <w:rPr>
                <w:rFonts w:cstheme="minorHAnsi"/>
              </w:rPr>
              <w:t>73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3" w:type="dxa"/>
            <w:vAlign w:val="center"/>
          </w:tcPr>
          <w:p w14:paraId="0C7AE17F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27 (</w:t>
            </w:r>
            <w:r w:rsidRPr="005A3E68">
              <w:rPr>
                <w:rFonts w:cstheme="minorHAnsi"/>
              </w:rPr>
              <w:t>23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4" w:type="dxa"/>
            <w:vAlign w:val="center"/>
          </w:tcPr>
          <w:p w14:paraId="61298CFE" w14:textId="77777777" w:rsidR="00DD515F" w:rsidRPr="005A3E68" w:rsidRDefault="00DD515F" w:rsidP="007E6988">
            <w:pPr>
              <w:jc w:val="center"/>
            </w:pPr>
            <w:r>
              <w:rPr>
                <w:rFonts w:cstheme="minorHAnsi"/>
              </w:rPr>
              <w:t>34 (</w:t>
            </w:r>
            <w:r w:rsidRPr="005A3E68">
              <w:rPr>
                <w:rFonts w:cstheme="minorHAnsi"/>
              </w:rPr>
              <w:t>29</w:t>
            </w:r>
            <w:r>
              <w:rPr>
                <w:rFonts w:cstheme="minorHAnsi"/>
              </w:rPr>
              <w:t>)</w:t>
            </w:r>
          </w:p>
        </w:tc>
      </w:tr>
    </w:tbl>
    <w:p w14:paraId="7663AB67" w14:textId="77777777" w:rsidR="00DD515F" w:rsidRDefault="00DD515F" w:rsidP="00DD515F">
      <w:r>
        <w:t xml:space="preserve">Notes: values in parentheses indicate number of species. </w:t>
      </w:r>
    </w:p>
    <w:p w14:paraId="28178118" w14:textId="77777777" w:rsidR="00DD515F" w:rsidRDefault="00DD515F"/>
    <w:p w14:paraId="47BBC63E" w14:textId="77777777" w:rsidR="00DD515F" w:rsidRDefault="00DD515F">
      <w:r>
        <w:br w:type="page"/>
      </w:r>
    </w:p>
    <w:p w14:paraId="5A1B1252" w14:textId="73D222C9" w:rsidR="0072411B" w:rsidRPr="00600465" w:rsidRDefault="0072411B">
      <w:pPr>
        <w:rPr>
          <w:b/>
          <w:bCs/>
          <w:sz w:val="24"/>
          <w:szCs w:val="24"/>
        </w:rPr>
      </w:pPr>
      <w:r w:rsidRPr="00600465">
        <w:rPr>
          <w:b/>
          <w:bCs/>
          <w:sz w:val="24"/>
          <w:szCs w:val="24"/>
        </w:rPr>
        <w:lastRenderedPageBreak/>
        <w:t xml:space="preserve">Figures </w:t>
      </w:r>
    </w:p>
    <w:p w14:paraId="08788A4F" w14:textId="77777777" w:rsidR="00516FE4" w:rsidRDefault="00516FE4" w:rsidP="00A733A4">
      <w:pPr>
        <w:spacing w:after="0"/>
      </w:pPr>
      <w:r>
        <w:rPr>
          <w:noProof/>
        </w:rPr>
        <w:drawing>
          <wp:inline distT="0" distB="0" distL="0" distR="0" wp14:anchorId="304DFF8D" wp14:editId="09BCDABD">
            <wp:extent cx="5619750" cy="4530263"/>
            <wp:effectExtent l="0" t="0" r="0" b="381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881" cy="455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A0DD" w14:textId="130A1366" w:rsidR="00516FE4" w:rsidRDefault="00516FE4" w:rsidP="00516FE4">
      <w:r w:rsidRPr="00933000">
        <w:rPr>
          <w:b/>
          <w:bCs/>
        </w:rPr>
        <w:t>Figure 1</w:t>
      </w:r>
      <w:r>
        <w:t xml:space="preserve"> </w:t>
      </w:r>
      <w:r w:rsidRPr="00400B48">
        <w:t xml:space="preserve">Schema representing the ranges of </w:t>
      </w:r>
      <w:proofErr w:type="spellStart"/>
      <w:r w:rsidRPr="001A20F5">
        <w:rPr>
          <w:i/>
          <w:iCs/>
        </w:rPr>
        <w:t>Corymbia</w:t>
      </w:r>
      <w:proofErr w:type="spellEnd"/>
      <w:r w:rsidRPr="001A20F5">
        <w:rPr>
          <w:i/>
          <w:iCs/>
        </w:rPr>
        <w:t xml:space="preserve"> </w:t>
      </w:r>
      <w:proofErr w:type="spellStart"/>
      <w:r w:rsidRPr="001A20F5">
        <w:rPr>
          <w:i/>
          <w:iCs/>
        </w:rPr>
        <w:t>blakei</w:t>
      </w:r>
      <w:proofErr w:type="spellEnd"/>
      <w:r>
        <w:t xml:space="preserve"> (a and c) and </w:t>
      </w:r>
      <w:proofErr w:type="spellStart"/>
      <w:r w:rsidRPr="001A20F5">
        <w:rPr>
          <w:i/>
          <w:iCs/>
        </w:rPr>
        <w:t>Corymbia</w:t>
      </w:r>
      <w:proofErr w:type="spellEnd"/>
      <w:r w:rsidRPr="001A20F5">
        <w:rPr>
          <w:i/>
          <w:iCs/>
        </w:rPr>
        <w:t xml:space="preserve"> </w:t>
      </w:r>
      <w:proofErr w:type="spellStart"/>
      <w:r w:rsidRPr="001A20F5">
        <w:rPr>
          <w:i/>
          <w:iCs/>
        </w:rPr>
        <w:t>papuana</w:t>
      </w:r>
      <w:proofErr w:type="spellEnd"/>
      <w:r>
        <w:t xml:space="preserve"> (b and d) </w:t>
      </w:r>
      <w:r w:rsidRPr="00400B48">
        <w:t xml:space="preserve">calculated using </w:t>
      </w:r>
      <w:r w:rsidR="009363D0">
        <w:t>extent of occurrence (</w:t>
      </w:r>
      <w:r>
        <w:t>blue</w:t>
      </w:r>
      <w:r w:rsidRPr="00400B48">
        <w:t xml:space="preserve"> – minimum convex hull polygon area) and </w:t>
      </w:r>
      <w:r w:rsidR="00DA649B">
        <w:t>area of occupancy</w:t>
      </w:r>
      <w:r w:rsidRPr="00400B48">
        <w:t xml:space="preserve"> (</w:t>
      </w:r>
      <w:r>
        <w:t xml:space="preserve">red </w:t>
      </w:r>
      <w:r w:rsidRPr="00400B48">
        <w:t xml:space="preserve">– total area of all cells occupied) </w:t>
      </w:r>
      <w:r>
        <w:t>using both</w:t>
      </w:r>
      <w:r w:rsidRPr="00400B48">
        <w:t xml:space="preserve"> smaller (a and </w:t>
      </w:r>
      <w:r>
        <w:t>b; approximately 5300 km</w:t>
      </w:r>
      <w:r w:rsidRPr="00961F79">
        <w:rPr>
          <w:vertAlign w:val="superscript"/>
        </w:rPr>
        <w:t>2</w:t>
      </w:r>
      <w:r w:rsidRPr="00400B48">
        <w:t>) and larger (</w:t>
      </w:r>
      <w:r>
        <w:t>c</w:t>
      </w:r>
      <w:r w:rsidRPr="00400B48">
        <w:t xml:space="preserve"> and d</w:t>
      </w:r>
      <w:r>
        <w:t xml:space="preserve">; </w:t>
      </w:r>
      <w:r w:rsidRPr="004523AD">
        <w:t xml:space="preserve">approximately </w:t>
      </w:r>
      <w:r>
        <w:t>18,300 km</w:t>
      </w:r>
      <w:r w:rsidRPr="00961F79">
        <w:rPr>
          <w:vertAlign w:val="superscript"/>
        </w:rPr>
        <w:t>2</w:t>
      </w:r>
      <w:r w:rsidRPr="00400B48">
        <w:t xml:space="preserve">) </w:t>
      </w:r>
      <w:r>
        <w:t>cell sizes</w:t>
      </w:r>
      <w:r w:rsidRPr="00400B48">
        <w:t>.</w:t>
      </w:r>
      <w:r>
        <w:t xml:space="preserve"> Green points indicate occurrence records for each species following outlier removal using the 95% centroid method. </w:t>
      </w:r>
    </w:p>
    <w:p w14:paraId="08117340" w14:textId="77777777" w:rsidR="00B857BE" w:rsidRDefault="00B857BE"/>
    <w:p w14:paraId="0F93CFC5" w14:textId="77777777" w:rsidR="00B857BE" w:rsidRDefault="00B857BE" w:rsidP="00C94F43">
      <w:pPr>
        <w:spacing w:after="0"/>
      </w:pPr>
      <w:r>
        <w:rPr>
          <w:noProof/>
        </w:rPr>
        <w:lastRenderedPageBreak/>
        <w:drawing>
          <wp:inline distT="0" distB="0" distL="0" distR="0" wp14:anchorId="0B59A10C" wp14:editId="2A67F3E7">
            <wp:extent cx="5683250" cy="3917347"/>
            <wp:effectExtent l="0" t="0" r="0" b="6985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w fig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82" cy="39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AD14" w14:textId="41C54F82" w:rsidR="0069467F" w:rsidRDefault="00B857BE" w:rsidP="00B857BE">
      <w:r w:rsidRPr="00933000">
        <w:rPr>
          <w:b/>
          <w:bCs/>
        </w:rPr>
        <w:t xml:space="preserve">Figure </w:t>
      </w:r>
      <w:r w:rsidR="00C94F43" w:rsidRPr="00933000">
        <w:rPr>
          <w:b/>
          <w:bCs/>
        </w:rPr>
        <w:t>2</w:t>
      </w:r>
      <w:r>
        <w:t xml:space="preserve"> Regional maps of weighted endemism for </w:t>
      </w:r>
      <w:r w:rsidRPr="006D20D2">
        <w:rPr>
          <w:i/>
          <w:iCs/>
        </w:rPr>
        <w:t>Eucalyptus</w:t>
      </w:r>
      <w:r>
        <w:t xml:space="preserve"> calculated using </w:t>
      </w:r>
      <w:r w:rsidR="00DA649B">
        <w:t>area of occupancy</w:t>
      </w:r>
      <w:r>
        <w:t xml:space="preserve"> (a and b) and </w:t>
      </w:r>
      <w:r w:rsidR="00DA649B">
        <w:t xml:space="preserve">extent of </w:t>
      </w:r>
      <w:r w:rsidR="00800703">
        <w:t>occurrence</w:t>
      </w:r>
      <w:r>
        <w:t xml:space="preserve"> (c and d) on both normalised (a and c) and logarithmic (b and d) scales. For all calculations, cell size was set to approximately 10</w:t>
      </w:r>
      <w:r>
        <w:rPr>
          <w:rFonts w:cstheme="minorHAnsi"/>
        </w:rPr>
        <w:t xml:space="preserve">,800 </w:t>
      </w:r>
      <w:bookmarkStart w:id="3" w:name="_Hlk41474984"/>
      <w:r>
        <w:rPr>
          <w:rFonts w:cstheme="minorHAnsi"/>
        </w:rPr>
        <w:t>km</w:t>
      </w:r>
      <w:r w:rsidRPr="000C5E41">
        <w:rPr>
          <w:rFonts w:cstheme="minorHAnsi"/>
          <w:vertAlign w:val="superscript"/>
        </w:rPr>
        <w:t>2</w:t>
      </w:r>
      <w:bookmarkEnd w:id="3"/>
      <w:r>
        <w:rPr>
          <w:rFonts w:cstheme="minorHAnsi"/>
        </w:rPr>
        <w:t xml:space="preserve"> (1° resolution)</w:t>
      </w:r>
      <w:r>
        <w:t xml:space="preserve"> and only Australian occurrence records </w:t>
      </w:r>
      <w:proofErr w:type="gramStart"/>
      <w:r>
        <w:t>were included</w:t>
      </w:r>
      <w:proofErr w:type="gramEnd"/>
      <w:r>
        <w:t xml:space="preserve"> following </w:t>
      </w:r>
      <w:r w:rsidRPr="00A66682">
        <w:t xml:space="preserve">outlier removal using the 95% </w:t>
      </w:r>
      <w:r>
        <w:t>centroid</w:t>
      </w:r>
      <w:r w:rsidRPr="00A66682">
        <w:t xml:space="preserve"> method.</w:t>
      </w:r>
      <w:r>
        <w:t xml:space="preserve"> For detailed cell-based comparisons of </w:t>
      </w:r>
      <w:r w:rsidR="000B12EA">
        <w:t xml:space="preserve">log </w:t>
      </w:r>
      <w:r>
        <w:t xml:space="preserve">values see appendix </w:t>
      </w:r>
      <w:proofErr w:type="spellStart"/>
      <w:r w:rsidR="00CB2162">
        <w:t>S2</w:t>
      </w:r>
      <w:proofErr w:type="spellEnd"/>
      <w:r>
        <w:t xml:space="preserve">. </w:t>
      </w:r>
    </w:p>
    <w:p w14:paraId="3FA6D8D8" w14:textId="77777777" w:rsidR="0069467F" w:rsidRDefault="0069467F" w:rsidP="00A336DC">
      <w:pPr>
        <w:spacing w:after="0"/>
      </w:pPr>
    </w:p>
    <w:p w14:paraId="26B38A34" w14:textId="492009A8" w:rsidR="0069467F" w:rsidRDefault="007D7225" w:rsidP="0008649D">
      <w:pPr>
        <w:spacing w:after="0"/>
      </w:pPr>
      <w:r>
        <w:rPr>
          <w:noProof/>
        </w:rPr>
        <w:drawing>
          <wp:inline distT="0" distB="0" distL="0" distR="0" wp14:anchorId="6D1F481F" wp14:editId="3BD7A4D5">
            <wp:extent cx="4045352" cy="259411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d cel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863" cy="26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D9C2" w14:textId="74FDE6A2" w:rsidR="00C66867" w:rsidRDefault="0069467F" w:rsidP="0069467F">
      <w:r w:rsidRPr="000D5C37">
        <w:rPr>
          <w:b/>
          <w:bCs/>
        </w:rPr>
        <w:t>Figure 3</w:t>
      </w:r>
      <w:r>
        <w:t xml:space="preserve"> </w:t>
      </w:r>
      <w:r w:rsidRPr="00AE22B1">
        <w:t xml:space="preserve">Frequency distribution of grid cell sizes </w:t>
      </w:r>
      <w:r>
        <w:t xml:space="preserve">used in </w:t>
      </w:r>
      <w:r w:rsidR="00DA649B">
        <w:t>23</w:t>
      </w:r>
      <w:r>
        <w:t xml:space="preserve"> studies measuring weighted endemism using cell-based range size methods (i.e. </w:t>
      </w:r>
      <w:r w:rsidR="006B2CF3">
        <w:t>area of occupancy</w:t>
      </w:r>
      <w:r>
        <w:t xml:space="preserve">).  The remaining </w:t>
      </w:r>
      <w:r w:rsidR="005250C0">
        <w:t xml:space="preserve">six studies investigated </w:t>
      </w:r>
      <w:r w:rsidR="00F45756">
        <w:t>(</w:t>
      </w:r>
      <w:r w:rsidR="00DA649B">
        <w:t>29</w:t>
      </w:r>
      <w:r w:rsidR="00F45756">
        <w:t xml:space="preserve"> total) </w:t>
      </w:r>
      <w:r w:rsidR="005250C0">
        <w:t>used non cell</w:t>
      </w:r>
      <w:r w:rsidR="00A336DC">
        <w:t>-</w:t>
      </w:r>
      <w:r w:rsidR="005250C0">
        <w:t xml:space="preserve">based methods such as </w:t>
      </w:r>
      <w:r w:rsidR="006B2CF3">
        <w:t>extent of occur</w:t>
      </w:r>
      <w:r w:rsidR="00FE384F">
        <w:t>r</w:t>
      </w:r>
      <w:r w:rsidR="006B2CF3">
        <w:t>ence</w:t>
      </w:r>
      <w:r w:rsidR="005250C0">
        <w:t xml:space="preserve"> </w:t>
      </w:r>
      <w:r w:rsidR="00A336DC">
        <w:t xml:space="preserve">and </w:t>
      </w:r>
      <w:r w:rsidR="00C66867">
        <w:t xml:space="preserve">other </w:t>
      </w:r>
      <w:r w:rsidR="00A336DC" w:rsidRPr="00A336DC">
        <w:t>operation</w:t>
      </w:r>
      <w:r w:rsidR="00C66867">
        <w:t>al</w:t>
      </w:r>
      <w:r w:rsidR="00A336DC" w:rsidRPr="00A336DC">
        <w:t xml:space="preserve"> geographical unit</w:t>
      </w:r>
      <w:r w:rsidR="00C66867">
        <w:t xml:space="preserve">s. </w:t>
      </w:r>
    </w:p>
    <w:p w14:paraId="2468AEE3" w14:textId="77777777" w:rsidR="00E04A73" w:rsidRDefault="00E04A73" w:rsidP="0008649D">
      <w:pPr>
        <w:spacing w:after="0"/>
      </w:pPr>
      <w:r>
        <w:rPr>
          <w:noProof/>
        </w:rPr>
        <w:lastRenderedPageBreak/>
        <w:drawing>
          <wp:inline distT="0" distB="0" distL="0" distR="0" wp14:anchorId="5BFB23EC" wp14:editId="735082EB">
            <wp:extent cx="5731510" cy="2223135"/>
            <wp:effectExtent l="0" t="0" r="2540" b="571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fig 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395" cy="22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B5C0" w14:textId="1DC059F5" w:rsidR="00FA2624" w:rsidRDefault="00E04A73" w:rsidP="0069467F">
      <w:r w:rsidRPr="000D5C37">
        <w:rPr>
          <w:b/>
          <w:bCs/>
        </w:rPr>
        <w:t>Figure 4</w:t>
      </w:r>
      <w:r w:rsidRPr="00E04A73">
        <w:t xml:space="preserve"> </w:t>
      </w:r>
      <w:r w:rsidR="001A705B">
        <w:t>Measurement</w:t>
      </w:r>
      <w:r w:rsidR="007A2CF9">
        <w:t>s</w:t>
      </w:r>
      <w:r w:rsidR="001A705B">
        <w:t xml:space="preserve"> of (a) h</w:t>
      </w:r>
      <w:r w:rsidR="00D77121">
        <w:t>otspot difference (</w:t>
      </w:r>
      <w:r w:rsidRPr="00E04A73">
        <w:t>HD)</w:t>
      </w:r>
      <w:r w:rsidR="00AA68B9">
        <w:t xml:space="preserve"> </w:t>
      </w:r>
      <w:r w:rsidRPr="00E04A73">
        <w:t xml:space="preserve">and </w:t>
      </w:r>
      <w:r w:rsidR="001A705B">
        <w:t xml:space="preserve">(b) endemism difference (ED) calculated </w:t>
      </w:r>
      <w:r w:rsidRPr="00E04A73">
        <w:t>over increasing grid cell size</w:t>
      </w:r>
      <w:r w:rsidR="00CA4CBA">
        <w:t xml:space="preserve"> </w:t>
      </w:r>
      <w:r w:rsidRPr="00E04A73">
        <w:t xml:space="preserve">for five </w:t>
      </w:r>
      <w:proofErr w:type="spellStart"/>
      <w:r w:rsidRPr="00E04A73">
        <w:t>Myrtaceae</w:t>
      </w:r>
      <w:proofErr w:type="spellEnd"/>
      <w:r w:rsidRPr="00E04A73">
        <w:t xml:space="preserve"> genera. For all taxa and calculations, only Australian occurrence records </w:t>
      </w:r>
      <w:proofErr w:type="gramStart"/>
      <w:r w:rsidRPr="00E04A73">
        <w:t>were included</w:t>
      </w:r>
      <w:proofErr w:type="gramEnd"/>
      <w:r w:rsidRPr="00E04A73">
        <w:t xml:space="preserve"> following outlier removal using </w:t>
      </w:r>
      <w:r w:rsidR="007A2CF9">
        <w:t xml:space="preserve">the </w:t>
      </w:r>
      <w:r w:rsidRPr="00E04A73">
        <w:t xml:space="preserve">95% centroid method. For all species with minimal occurrence records, </w:t>
      </w:r>
      <w:r w:rsidR="003E1A36">
        <w:t xml:space="preserve">EOO was set using the ‘distance between records’ method. </w:t>
      </w:r>
    </w:p>
    <w:p w14:paraId="2726178E" w14:textId="77777777" w:rsidR="00FA2624" w:rsidRDefault="00FA2624" w:rsidP="0069467F"/>
    <w:p w14:paraId="0828E68C" w14:textId="5D029C30" w:rsidR="0008649D" w:rsidRDefault="00B71671" w:rsidP="0008649D">
      <w:pPr>
        <w:spacing w:after="0"/>
      </w:pPr>
      <w:r>
        <w:rPr>
          <w:noProof/>
        </w:rPr>
        <w:drawing>
          <wp:inline distT="0" distB="0" distL="0" distR="0" wp14:anchorId="482EB3FB" wp14:editId="21083292">
            <wp:extent cx="5678838" cy="2276946"/>
            <wp:effectExtent l="0" t="0" r="0" b="952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new select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57" cy="22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D008" w14:textId="59F60A1A" w:rsidR="007D249D" w:rsidRDefault="007D249D" w:rsidP="0008649D">
      <w:pPr>
        <w:spacing w:after="0"/>
      </w:pPr>
      <w:r w:rsidRPr="000D5C37">
        <w:rPr>
          <w:b/>
          <w:bCs/>
        </w:rPr>
        <w:t>Figure 5</w:t>
      </w:r>
      <w:r>
        <w:t xml:space="preserve"> </w:t>
      </w:r>
      <w:r w:rsidR="00B71671">
        <w:t xml:space="preserve">The selection of </w:t>
      </w:r>
      <w:r w:rsidR="00064EC2" w:rsidRPr="00064EC2">
        <w:rPr>
          <w:i/>
          <w:iCs/>
        </w:rPr>
        <w:t>Eucalyptus</w:t>
      </w:r>
      <w:r w:rsidR="00064EC2">
        <w:t xml:space="preserve"> </w:t>
      </w:r>
      <w:r w:rsidR="00B71671">
        <w:t xml:space="preserve">endemic hotspots </w:t>
      </w:r>
      <w:r w:rsidR="0029605E">
        <w:t xml:space="preserve">based on weighted endemism cell values calculated using </w:t>
      </w:r>
      <w:r w:rsidR="006B2CF3">
        <w:t>extent of occurrence and area of occupancy</w:t>
      </w:r>
      <w:r w:rsidR="0029605E">
        <w:t xml:space="preserve"> </w:t>
      </w:r>
      <w:r w:rsidR="00C8309A">
        <w:t>at cell sizes of</w:t>
      </w:r>
      <w:r w:rsidR="008F0312">
        <w:t xml:space="preserve"> (a)</w:t>
      </w:r>
      <w:r w:rsidR="00C8309A">
        <w:t xml:space="preserve"> 5300 </w:t>
      </w:r>
      <w:r w:rsidR="008F0312">
        <w:t xml:space="preserve">and (b) 20,000 </w:t>
      </w:r>
      <w:r w:rsidR="00B62D30" w:rsidRPr="00B62D30">
        <w:t>km</w:t>
      </w:r>
      <w:r w:rsidR="00B62D30" w:rsidRPr="00B62D30">
        <w:rPr>
          <w:vertAlign w:val="superscript"/>
        </w:rPr>
        <w:t>2</w:t>
      </w:r>
      <w:r w:rsidR="008F0312">
        <w:t>.</w:t>
      </w:r>
      <w:r w:rsidR="002B5144">
        <w:t xml:space="preserve"> </w:t>
      </w:r>
      <w:r w:rsidR="007D2DCC">
        <w:t xml:space="preserve">Hotspot difference (HD) was 45 and 60 percent for (a) and (b) respectively. </w:t>
      </w:r>
      <w:r w:rsidR="00D06BCF">
        <w:t xml:space="preserve">Total area selected </w:t>
      </w:r>
      <w:r w:rsidR="00ED079C">
        <w:t xml:space="preserve">in both (a) and (b) </w:t>
      </w:r>
      <w:r w:rsidR="00D06BCF">
        <w:t xml:space="preserve">is approximately </w:t>
      </w:r>
      <w:r w:rsidR="00E62548" w:rsidRPr="00E62548">
        <w:t xml:space="preserve">384,414 </w:t>
      </w:r>
      <w:r w:rsidR="00B62D30">
        <w:rPr>
          <w:rFonts w:cstheme="minorHAnsi"/>
        </w:rPr>
        <w:t>km</w:t>
      </w:r>
      <w:r w:rsidR="00B62D30" w:rsidRPr="000C5E41">
        <w:rPr>
          <w:rFonts w:cstheme="minorHAnsi"/>
          <w:vertAlign w:val="superscript"/>
        </w:rPr>
        <w:t>2</w:t>
      </w:r>
      <w:r w:rsidR="00B62D30">
        <w:t xml:space="preserve"> </w:t>
      </w:r>
      <w:r w:rsidR="00E62548">
        <w:t>(five percent of Australia</w:t>
      </w:r>
      <w:r w:rsidR="00062EBB">
        <w:t>’s</w:t>
      </w:r>
      <w:r w:rsidR="00E62548">
        <w:t xml:space="preserve"> total land area). </w:t>
      </w:r>
    </w:p>
    <w:p w14:paraId="79CD700F" w14:textId="77777777" w:rsidR="00AD6578" w:rsidRDefault="00AD6578" w:rsidP="0069467F"/>
    <w:p w14:paraId="1079D1D4" w14:textId="77777777" w:rsidR="00AD6578" w:rsidRDefault="00AD6578" w:rsidP="0069467F"/>
    <w:p w14:paraId="6592DBB5" w14:textId="77777777" w:rsidR="00AD6578" w:rsidRDefault="00AD6578" w:rsidP="0069467F"/>
    <w:p w14:paraId="797956EE" w14:textId="77777777" w:rsidR="00AD6578" w:rsidRDefault="00AD6578" w:rsidP="0069467F"/>
    <w:p w14:paraId="5231C655" w14:textId="77777777" w:rsidR="00AD6578" w:rsidRDefault="00AD6578" w:rsidP="0069467F"/>
    <w:p w14:paraId="419044D2" w14:textId="77777777" w:rsidR="00AD6578" w:rsidRDefault="00AD6578" w:rsidP="0069467F">
      <w:r>
        <w:rPr>
          <w:noProof/>
        </w:rPr>
        <w:lastRenderedPageBreak/>
        <w:drawing>
          <wp:inline distT="0" distB="0" distL="0" distR="0" wp14:anchorId="4BF54B63" wp14:editId="6AB6459F">
            <wp:extent cx="5169529" cy="2337915"/>
            <wp:effectExtent l="0" t="0" r="2540" b="0"/>
            <wp:docPr id="7" name="Picture 7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id allocation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39" cy="21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A5A" w14:textId="06178CE0" w:rsidR="00F56F28" w:rsidRDefault="007F4190" w:rsidP="0069467F">
      <w:r w:rsidRPr="007F4190">
        <w:rPr>
          <w:b/>
          <w:bCs/>
        </w:rPr>
        <w:t>Figure 6</w:t>
      </w:r>
      <w:r>
        <w:t xml:space="preserve"> </w:t>
      </w:r>
      <w:r w:rsidRPr="007F4190">
        <w:t xml:space="preserve">Schema representing </w:t>
      </w:r>
      <w:r w:rsidR="00181CA5">
        <w:t xml:space="preserve">the impact of </w:t>
      </w:r>
      <w:r w:rsidR="003A7542">
        <w:t xml:space="preserve">two </w:t>
      </w:r>
      <w:r>
        <w:t xml:space="preserve">alternative </w:t>
      </w:r>
      <w:r w:rsidR="000723FB">
        <w:t xml:space="preserve">scale-dependent </w:t>
      </w:r>
      <w:r w:rsidR="00AD6578">
        <w:t>grid allocation</w:t>
      </w:r>
      <w:r>
        <w:t xml:space="preserve">s </w:t>
      </w:r>
      <w:r w:rsidR="00181CA5">
        <w:t xml:space="preserve">on the area of occupancy (AOO) range size for a hypothetical species. </w:t>
      </w:r>
      <w:r w:rsidR="00C96031">
        <w:t>The p</w:t>
      </w:r>
      <w:r w:rsidR="004828A0">
        <w:t xml:space="preserve">oint of </w:t>
      </w:r>
      <w:r w:rsidR="00C96031">
        <w:t xml:space="preserve">cell </w:t>
      </w:r>
      <w:r w:rsidR="004828A0">
        <w:t xml:space="preserve">intercept </w:t>
      </w:r>
      <w:r w:rsidR="00CA05CE">
        <w:t xml:space="preserve">could </w:t>
      </w:r>
      <w:r w:rsidR="004828A0">
        <w:t xml:space="preserve">occur </w:t>
      </w:r>
      <w:r w:rsidR="0008536B">
        <w:t xml:space="preserve">(a) </w:t>
      </w:r>
      <w:r>
        <w:t xml:space="preserve">within a species distribution </w:t>
      </w:r>
      <w:r w:rsidR="00CA05CE">
        <w:t>or</w:t>
      </w:r>
      <w:r>
        <w:t xml:space="preserve"> </w:t>
      </w:r>
      <w:r w:rsidR="0008536B">
        <w:t xml:space="preserve">(b) </w:t>
      </w:r>
      <w:r>
        <w:t>outside a species distribution</w:t>
      </w:r>
      <w:r w:rsidR="0008536B">
        <w:t xml:space="preserve">.  </w:t>
      </w:r>
    </w:p>
    <w:p w14:paraId="015CAA86" w14:textId="77777777" w:rsidR="004828A0" w:rsidRDefault="004828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C7C9E0E" w14:textId="2B9B56C6" w:rsidR="000F1E1D" w:rsidRPr="00600465" w:rsidRDefault="00CE0AED">
      <w:pPr>
        <w:rPr>
          <w:b/>
          <w:bCs/>
          <w:sz w:val="24"/>
          <w:szCs w:val="24"/>
        </w:rPr>
      </w:pPr>
      <w:r w:rsidRPr="00600465">
        <w:rPr>
          <w:b/>
          <w:bCs/>
          <w:sz w:val="24"/>
          <w:szCs w:val="24"/>
        </w:rPr>
        <w:lastRenderedPageBreak/>
        <w:t>Supporting information</w:t>
      </w:r>
    </w:p>
    <w:p w14:paraId="61C144BC" w14:textId="02347704" w:rsidR="00A74AD6" w:rsidRPr="002C396D" w:rsidRDefault="00CB2162">
      <w:pPr>
        <w:rPr>
          <w:b/>
          <w:bCs/>
        </w:rPr>
      </w:pPr>
      <w:r w:rsidRPr="002C396D">
        <w:rPr>
          <w:b/>
          <w:bCs/>
        </w:rPr>
        <w:t xml:space="preserve">Appendix </w:t>
      </w:r>
      <w:proofErr w:type="spellStart"/>
      <w:r w:rsidRPr="002C396D">
        <w:rPr>
          <w:b/>
          <w:bCs/>
        </w:rPr>
        <w:t>S1</w:t>
      </w:r>
      <w:proofErr w:type="spellEnd"/>
    </w:p>
    <w:p w14:paraId="2BC78AD3" w14:textId="77777777" w:rsidR="00026853" w:rsidRDefault="00026853" w:rsidP="00BF384C">
      <w:pPr>
        <w:spacing w:after="0"/>
      </w:pPr>
      <w:r>
        <w:t xml:space="preserve">Weighted endemism (WE) </w:t>
      </w:r>
      <w:proofErr w:type="gramStart"/>
      <w:r>
        <w:t>is expressed</w:t>
      </w:r>
      <w:proofErr w:type="gramEnd"/>
      <w:r>
        <w:t xml:space="preserve"> as:</w:t>
      </w:r>
    </w:p>
    <w:p w14:paraId="21259805" w14:textId="799368FE" w:rsidR="00026853" w:rsidRDefault="00933000" w:rsidP="00BF384C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WE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  <w:r w:rsidR="00D04BC1">
        <w:rPr>
          <w:rFonts w:eastAsiaTheme="minorEastAsia"/>
          <w:szCs w:val="20"/>
        </w:rPr>
        <w:t xml:space="preserve"> </w:t>
      </w:r>
      <w:r w:rsidR="00B96300">
        <w:rPr>
          <w:rFonts w:eastAsiaTheme="minorEastAsia"/>
          <w:szCs w:val="20"/>
        </w:rPr>
        <w:t>,</w:t>
      </w:r>
    </w:p>
    <w:p w14:paraId="3B61BEDD" w14:textId="51382327" w:rsidR="00D04BC1" w:rsidRDefault="00B96300" w:rsidP="00BF384C">
      <w:pPr>
        <w:spacing w:after="0"/>
      </w:pPr>
      <w:r>
        <w:t xml:space="preserve">where </w:t>
      </w:r>
      <w:r w:rsidR="00D04BC1" w:rsidRPr="00D04BC1">
        <w:t xml:space="preserve">n is the number of </w:t>
      </w:r>
      <w:r>
        <w:t xml:space="preserve">species occurring </w:t>
      </w:r>
      <w:r w:rsidR="00D04BC1" w:rsidRPr="00D04BC1">
        <w:t xml:space="preserve">in </w:t>
      </w:r>
      <w:r w:rsidR="0058278A">
        <w:t>the</w:t>
      </w:r>
      <w:r w:rsidR="00D04BC1" w:rsidRPr="00D04BC1">
        <w:t xml:space="preserve"> </w:t>
      </w:r>
      <w:r w:rsidR="0058278A">
        <w:t>grid cell</w:t>
      </w:r>
      <w:r w:rsidR="00D04BC1" w:rsidRPr="00D04BC1">
        <w:t xml:space="preserve">, and </w:t>
      </w:r>
      <w:r>
        <w:t>R</w:t>
      </w:r>
      <w:r w:rsidR="00D04BC1" w:rsidRPr="00D04BC1">
        <w:t xml:space="preserve">i is the </w:t>
      </w:r>
      <w:r>
        <w:t xml:space="preserve">range </w:t>
      </w:r>
      <w:r w:rsidR="00D04BC1" w:rsidRPr="00D04BC1">
        <w:t xml:space="preserve">weighting of species </w:t>
      </w:r>
      <w:proofErr w:type="spellStart"/>
      <w:r w:rsidR="00D04BC1" w:rsidRPr="00D04BC1">
        <w:t>i</w:t>
      </w:r>
      <w:proofErr w:type="spellEnd"/>
      <w:r w:rsidR="00554C6A">
        <w:t xml:space="preserve">. </w:t>
      </w:r>
    </w:p>
    <w:p w14:paraId="71A96BB4" w14:textId="03ECDFAF" w:rsidR="00177FC7" w:rsidRDefault="00177FC7" w:rsidP="00026853"/>
    <w:p w14:paraId="37178CC4" w14:textId="06917423" w:rsidR="008256DC" w:rsidRPr="002C396D" w:rsidRDefault="00177FC7" w:rsidP="00026853">
      <w:pPr>
        <w:rPr>
          <w:b/>
          <w:bCs/>
        </w:rPr>
      </w:pPr>
      <w:r w:rsidRPr="002C396D">
        <w:rPr>
          <w:b/>
          <w:bCs/>
        </w:rPr>
        <w:t xml:space="preserve">Appendix </w:t>
      </w:r>
      <w:proofErr w:type="spellStart"/>
      <w:r w:rsidRPr="002C396D">
        <w:rPr>
          <w:b/>
          <w:bCs/>
        </w:rPr>
        <w:t>S2</w:t>
      </w:r>
      <w:proofErr w:type="spellEnd"/>
    </w:p>
    <w:p w14:paraId="3B55CE01" w14:textId="022B703F" w:rsidR="008256DC" w:rsidRDefault="000146B3" w:rsidP="00BF384C">
      <w:pPr>
        <w:spacing w:after="0"/>
      </w:pPr>
      <w:r>
        <w:rPr>
          <w:noProof/>
        </w:rPr>
        <w:drawing>
          <wp:inline distT="0" distB="0" distL="0" distR="0" wp14:anchorId="577DD350" wp14:editId="0101E5F9">
            <wp:extent cx="2851565" cy="2329500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 WE values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76" cy="23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D467" w14:textId="357F0E1A" w:rsidR="008256DC" w:rsidRDefault="00C5584D" w:rsidP="00BF384C">
      <w:pPr>
        <w:spacing w:after="0"/>
      </w:pPr>
      <w:r w:rsidRPr="00C5584D">
        <w:rPr>
          <w:b/>
          <w:bCs/>
        </w:rPr>
        <w:t xml:space="preserve">Figure </w:t>
      </w:r>
      <w:proofErr w:type="spellStart"/>
      <w:r w:rsidRPr="00C5584D">
        <w:rPr>
          <w:b/>
          <w:bCs/>
        </w:rPr>
        <w:t>S2</w:t>
      </w:r>
      <w:proofErr w:type="spellEnd"/>
      <w:r>
        <w:t xml:space="preserve"> </w:t>
      </w:r>
      <w:r w:rsidR="008256DC">
        <w:t xml:space="preserve">Scatterplot of </w:t>
      </w:r>
      <w:r w:rsidR="000B12EA">
        <w:t xml:space="preserve">logarithmically scaled </w:t>
      </w:r>
      <w:r w:rsidR="008256DC">
        <w:t xml:space="preserve">weighted endemism scores for </w:t>
      </w:r>
      <w:r w:rsidR="008256DC" w:rsidRPr="00C63902">
        <w:rPr>
          <w:i/>
          <w:iCs/>
        </w:rPr>
        <w:t>Eucalyptus</w:t>
      </w:r>
      <w:r w:rsidR="008256DC">
        <w:t xml:space="preserve"> calculated using extent of occurrence (EOO) versus area of occupancy (AOO) for 1360 cells</w:t>
      </w:r>
      <w:r w:rsidR="00177FC7">
        <w:t xml:space="preserve">. </w:t>
      </w:r>
      <w:r w:rsidR="008256DC" w:rsidRPr="00C63902">
        <w:t>For all calculations, cell size was set to approximately 10,800 km</w:t>
      </w:r>
      <w:r w:rsidR="008256DC" w:rsidRPr="00462D17">
        <w:rPr>
          <w:vertAlign w:val="superscript"/>
        </w:rPr>
        <w:t>2</w:t>
      </w:r>
      <w:r w:rsidR="008256DC" w:rsidRPr="00C63902">
        <w:t xml:space="preserve"> (1° resolution) and only Australian occurrence records </w:t>
      </w:r>
      <w:proofErr w:type="gramStart"/>
      <w:r w:rsidR="008256DC" w:rsidRPr="00C63902">
        <w:t>were included</w:t>
      </w:r>
      <w:proofErr w:type="gramEnd"/>
      <w:r w:rsidR="008256DC" w:rsidRPr="00C63902">
        <w:t xml:space="preserve"> following outlier removal using </w:t>
      </w:r>
      <w:r w:rsidR="00F82525">
        <w:t>the</w:t>
      </w:r>
      <w:r w:rsidR="008256DC" w:rsidRPr="00C63902">
        <w:t xml:space="preserve"> 95% </w:t>
      </w:r>
      <w:r w:rsidR="00177FC7">
        <w:t>centroid</w:t>
      </w:r>
      <w:r w:rsidR="008256DC" w:rsidRPr="00C63902">
        <w:t xml:space="preserve"> method.</w:t>
      </w:r>
      <w:r w:rsidR="008256DC">
        <w:t xml:space="preserve"> See </w:t>
      </w:r>
      <w:r w:rsidR="00F82525">
        <w:t>F</w:t>
      </w:r>
      <w:r w:rsidR="008256DC">
        <w:t xml:space="preserve">igure </w:t>
      </w:r>
      <w:proofErr w:type="spellStart"/>
      <w:r w:rsidR="00177FC7">
        <w:t>2b</w:t>
      </w:r>
      <w:proofErr w:type="spellEnd"/>
      <w:r w:rsidR="008256DC">
        <w:t xml:space="preserve"> </w:t>
      </w:r>
      <w:r w:rsidR="00F82525">
        <w:t xml:space="preserve">in the main text </w:t>
      </w:r>
      <w:r w:rsidR="008256DC">
        <w:t xml:space="preserve">for map representation. </w:t>
      </w:r>
    </w:p>
    <w:p w14:paraId="77B275FE" w14:textId="14FFF8C4" w:rsidR="00611F0D" w:rsidRDefault="00611F0D" w:rsidP="008256DC"/>
    <w:p w14:paraId="3AF73EE9" w14:textId="1AB9C0D1" w:rsidR="000B4425" w:rsidRPr="000B4425" w:rsidRDefault="000B4425" w:rsidP="008256DC">
      <w:pPr>
        <w:rPr>
          <w:b/>
          <w:bCs/>
        </w:rPr>
      </w:pPr>
      <w:r w:rsidRPr="000B4425">
        <w:rPr>
          <w:b/>
          <w:bCs/>
        </w:rPr>
        <w:t xml:space="preserve">Appendix </w:t>
      </w:r>
      <w:proofErr w:type="spellStart"/>
      <w:r w:rsidRPr="000B4425">
        <w:rPr>
          <w:b/>
          <w:bCs/>
        </w:rPr>
        <w:t>S3</w:t>
      </w:r>
      <w:proofErr w:type="spellEnd"/>
    </w:p>
    <w:p w14:paraId="6326E1B9" w14:textId="48E1538D" w:rsidR="000B4425" w:rsidRDefault="00DE59E1" w:rsidP="006B4CBB">
      <w:pPr>
        <w:spacing w:after="0"/>
      </w:pPr>
      <w:r>
        <w:t xml:space="preserve">Twenty-nine studies analysing patterns of weighted endemism </w:t>
      </w:r>
      <w:proofErr w:type="gramStart"/>
      <w:r>
        <w:t>were investigated</w:t>
      </w:r>
      <w:proofErr w:type="gramEnd"/>
      <w:r>
        <w:t xml:space="preserve"> for their </w:t>
      </w:r>
      <w:r w:rsidR="0020728E">
        <w:t>choice of range size method and scale used. The articles were found using the search term ‘weighted endemism’ in the Web of Science</w:t>
      </w:r>
      <w:r w:rsidR="00005E9D">
        <w:t xml:space="preserve"> database</w:t>
      </w:r>
      <w:r w:rsidR="00012BD0">
        <w:t xml:space="preserve"> (</w:t>
      </w:r>
      <w:r w:rsidR="00005E9D">
        <w:t xml:space="preserve">available at: </w:t>
      </w:r>
      <w:hyperlink r:id="rId27" w:history="1">
        <w:r w:rsidR="00005E9D" w:rsidRPr="0039075F">
          <w:rPr>
            <w:rStyle w:val="Hyperlink"/>
          </w:rPr>
          <w:t>https://webofknowledge.com/</w:t>
        </w:r>
      </w:hyperlink>
      <w:r w:rsidR="00012BD0">
        <w:t>)</w:t>
      </w:r>
      <w:r w:rsidR="00005E9D">
        <w:t xml:space="preserve">. </w:t>
      </w:r>
    </w:p>
    <w:p w14:paraId="71E20841" w14:textId="52AE0E62" w:rsidR="00274E3A" w:rsidRDefault="00274E3A" w:rsidP="008256DC"/>
    <w:p w14:paraId="7A6AB983" w14:textId="00136795" w:rsidR="006B4CBB" w:rsidRDefault="006B4CBB" w:rsidP="008256DC">
      <w:pPr>
        <w:rPr>
          <w:b/>
          <w:bCs/>
        </w:rPr>
      </w:pPr>
      <w:r w:rsidRPr="006B4CBB">
        <w:rPr>
          <w:b/>
          <w:bCs/>
        </w:rPr>
        <w:t xml:space="preserve">Appendix </w:t>
      </w:r>
      <w:proofErr w:type="spellStart"/>
      <w:r w:rsidRPr="006B4CBB">
        <w:rPr>
          <w:b/>
          <w:bCs/>
        </w:rPr>
        <w:t>S4</w:t>
      </w:r>
      <w:proofErr w:type="spellEnd"/>
    </w:p>
    <w:p w14:paraId="6C4C5C04" w14:textId="09A19CC5" w:rsidR="00FD3594" w:rsidRDefault="00FD3594" w:rsidP="008256DC">
      <w:r>
        <w:t>Details on occurrence record downloads.</w:t>
      </w:r>
    </w:p>
    <w:p w14:paraId="7BE20C7F" w14:textId="67443949" w:rsidR="006B4CBB" w:rsidRDefault="009B28A7" w:rsidP="008256DC">
      <w:r w:rsidRPr="009B28A7">
        <w:t>Eucalyptus:</w:t>
      </w:r>
      <w:r>
        <w:t xml:space="preserve"> </w:t>
      </w:r>
      <w:r w:rsidRPr="009B28A7">
        <w:t xml:space="preserve">Atlas of Living Australia occurrence download at </w:t>
      </w:r>
      <w:hyperlink r:id="rId28" w:history="1">
        <w:r w:rsidR="009A6892" w:rsidRPr="0039075F">
          <w:rPr>
            <w:rStyle w:val="Hyperlink"/>
          </w:rPr>
          <w:t>https://biocache.ala.org.au/occurrences/search?q=lsid%3Ahttps%3A%2F%2Fid.biodiversity.org.au%2Ftaxon%2Fapni%2F51302291</w:t>
        </w:r>
      </w:hyperlink>
      <w:r w:rsidR="009A6892">
        <w:t xml:space="preserve"> </w:t>
      </w:r>
      <w:r w:rsidRPr="009B28A7">
        <w:t xml:space="preserve">accessed on </w:t>
      </w:r>
      <w:r w:rsidR="00B56240" w:rsidRPr="00B56240">
        <w:t>Fri</w:t>
      </w:r>
      <w:r w:rsidRPr="009B28A7">
        <w:t xml:space="preserve"> May </w:t>
      </w:r>
      <w:r w:rsidR="00FD3594">
        <w:t>8</w:t>
      </w:r>
      <w:r w:rsidR="009B0B12">
        <w:t xml:space="preserve"> </w:t>
      </w:r>
      <w:r w:rsidRPr="009B28A7">
        <w:t>2020.</w:t>
      </w:r>
    </w:p>
    <w:p w14:paraId="508A87A1" w14:textId="3ABB7113" w:rsidR="009A6892" w:rsidRDefault="009A6892" w:rsidP="008256DC">
      <w:r w:rsidRPr="0065506E">
        <w:rPr>
          <w:i/>
          <w:iCs/>
        </w:rPr>
        <w:t>Callistemon</w:t>
      </w:r>
      <w:r>
        <w:t xml:space="preserve">: </w:t>
      </w:r>
      <w:r w:rsidRPr="009A6892">
        <w:t xml:space="preserve">Atlas of Living Australia occurrence download at </w:t>
      </w:r>
      <w:hyperlink r:id="rId29" w:history="1">
        <w:r w:rsidR="00B872AE" w:rsidRPr="0039075F">
          <w:rPr>
            <w:rStyle w:val="Hyperlink"/>
          </w:rPr>
          <w:t>https://biocache.ala.org.au/occurrences/search?q=lsid%3Ahttps%3A%2F%2Fid.biodiversity.org.au%2Ftaxon%2Fapni%2F</w:t>
        </w:r>
        <w:r w:rsidR="00B872AE" w:rsidRPr="00B872AE">
          <w:rPr>
            <w:rStyle w:val="Hyperlink"/>
          </w:rPr>
          <w:t>51288949</w:t>
        </w:r>
      </w:hyperlink>
      <w:r w:rsidR="00B872AE">
        <w:t xml:space="preserve"> </w:t>
      </w:r>
      <w:r w:rsidRPr="009A6892">
        <w:t xml:space="preserve">accessed on </w:t>
      </w:r>
      <w:r w:rsidR="00B56240" w:rsidRPr="00B56240">
        <w:t>Fri</w:t>
      </w:r>
      <w:r w:rsidRPr="009A6892">
        <w:t xml:space="preserve"> May </w:t>
      </w:r>
      <w:r w:rsidR="00FD3594">
        <w:t>8</w:t>
      </w:r>
      <w:r w:rsidRPr="009A6892">
        <w:t xml:space="preserve"> 2020.</w:t>
      </w:r>
    </w:p>
    <w:p w14:paraId="73953E13" w14:textId="64F28BC7" w:rsidR="00FD3594" w:rsidRDefault="00FD3594" w:rsidP="008256DC">
      <w:r w:rsidRPr="0065506E">
        <w:rPr>
          <w:i/>
          <w:iCs/>
        </w:rPr>
        <w:lastRenderedPageBreak/>
        <w:t>Melaleuca</w:t>
      </w:r>
      <w:r>
        <w:t xml:space="preserve">: </w:t>
      </w:r>
      <w:r w:rsidRPr="00FD3594">
        <w:t xml:space="preserve">Atlas of Living Australia occurrence download at </w:t>
      </w:r>
      <w:hyperlink r:id="rId30" w:history="1">
        <w:r w:rsidRPr="0039075F">
          <w:rPr>
            <w:rStyle w:val="Hyperlink"/>
          </w:rPr>
          <w:t>https://biocache.ala.org.au/occurrences/search?q=lsid%3Ahttps%3A%2F%2Fid.biodiversity.org.au%2Ftaxon%2Fapni%2F51290434</w:t>
        </w:r>
      </w:hyperlink>
      <w:r>
        <w:t xml:space="preserve"> </w:t>
      </w:r>
      <w:r w:rsidRPr="00FD3594">
        <w:t xml:space="preserve">accessed on </w:t>
      </w:r>
      <w:r w:rsidR="00B56240" w:rsidRPr="00B56240">
        <w:t xml:space="preserve">Fri </w:t>
      </w:r>
      <w:r w:rsidRPr="00FD3594">
        <w:t>May 8 2020.</w:t>
      </w:r>
    </w:p>
    <w:p w14:paraId="4E9BF579" w14:textId="14CD50E2" w:rsidR="00FD3594" w:rsidRDefault="00B56240" w:rsidP="008256DC">
      <w:r w:rsidRPr="0065506E">
        <w:rPr>
          <w:i/>
          <w:iCs/>
        </w:rPr>
        <w:t>Corymbia</w:t>
      </w:r>
      <w:r w:rsidRPr="00B56240">
        <w:t xml:space="preserve">: Atlas of Living Australia occurrence download at </w:t>
      </w:r>
      <w:hyperlink r:id="rId31" w:history="1">
        <w:r w:rsidRPr="0039075F">
          <w:rPr>
            <w:rStyle w:val="Hyperlink"/>
          </w:rPr>
          <w:t>https://biocache.ala.org.au/occurrences/search?q=lsid%3Ahttps%3A%2F%2Fid.biodiversity.org.au%2Ftaxon%2Fapni%2F51289369</w:t>
        </w:r>
      </w:hyperlink>
      <w:r>
        <w:t xml:space="preserve"> </w:t>
      </w:r>
      <w:r w:rsidRPr="00B56240">
        <w:t>accessed on Fri May 8 2020.</w:t>
      </w:r>
    </w:p>
    <w:p w14:paraId="4DF97AB8" w14:textId="46E05D71" w:rsidR="009B28A7" w:rsidRDefault="00501453" w:rsidP="003C2E7D">
      <w:pPr>
        <w:spacing w:after="0"/>
      </w:pPr>
      <w:r w:rsidRPr="0065506E">
        <w:rPr>
          <w:i/>
          <w:iCs/>
        </w:rPr>
        <w:t>Leptospermum</w:t>
      </w:r>
      <w:r>
        <w:t xml:space="preserve">: </w:t>
      </w:r>
      <w:r w:rsidRPr="00501453">
        <w:t xml:space="preserve">Atlas of Living Australia occurrence download at </w:t>
      </w:r>
      <w:hyperlink r:id="rId32" w:history="1">
        <w:r w:rsidR="003C2E7D" w:rsidRPr="0039075F">
          <w:rPr>
            <w:rStyle w:val="Hyperlink"/>
          </w:rPr>
          <w:t>https://biocache.ala.org.au/occurrences/search?q=lsid%3Ahttps%3A%2F%2Fid.biodiversity.org.au%2Ftaxon%2Fapni%2F8499083</w:t>
        </w:r>
      </w:hyperlink>
      <w:r>
        <w:t xml:space="preserve"> </w:t>
      </w:r>
      <w:r w:rsidRPr="00501453">
        <w:t>accessed on Fri May 8 2020.</w:t>
      </w:r>
    </w:p>
    <w:p w14:paraId="7CBAE93D" w14:textId="77777777" w:rsidR="00B56240" w:rsidRPr="006B4CBB" w:rsidRDefault="00B56240" w:rsidP="008256DC">
      <w:pPr>
        <w:rPr>
          <w:b/>
          <w:bCs/>
        </w:rPr>
      </w:pPr>
    </w:p>
    <w:p w14:paraId="24583D5F" w14:textId="6BD5018C" w:rsidR="006E3EBD" w:rsidRPr="002C396D" w:rsidRDefault="006E3EBD" w:rsidP="00026853">
      <w:pPr>
        <w:rPr>
          <w:b/>
          <w:bCs/>
        </w:rPr>
      </w:pPr>
      <w:r w:rsidRPr="002C396D">
        <w:rPr>
          <w:b/>
          <w:bCs/>
        </w:rPr>
        <w:t xml:space="preserve">Appendix </w:t>
      </w:r>
      <w:proofErr w:type="spellStart"/>
      <w:r w:rsidRPr="002C396D">
        <w:rPr>
          <w:b/>
          <w:bCs/>
        </w:rPr>
        <w:t>S</w:t>
      </w:r>
      <w:r w:rsidR="006B4CBB">
        <w:rPr>
          <w:b/>
          <w:bCs/>
        </w:rPr>
        <w:t>5</w:t>
      </w:r>
      <w:proofErr w:type="spellEnd"/>
    </w:p>
    <w:p w14:paraId="7A14B1D8" w14:textId="445F0B0C" w:rsidR="00E944FE" w:rsidRPr="00E944FE" w:rsidRDefault="00C5584D" w:rsidP="00E944FE">
      <w:pPr>
        <w:spacing w:after="0"/>
      </w:pPr>
      <w:r w:rsidRPr="00C5584D">
        <w:rPr>
          <w:b/>
          <w:bCs/>
        </w:rPr>
        <w:t xml:space="preserve">Table </w:t>
      </w:r>
      <w:proofErr w:type="spellStart"/>
      <w:r w:rsidRPr="00C5584D">
        <w:rPr>
          <w:b/>
          <w:bCs/>
        </w:rPr>
        <w:t>S5</w:t>
      </w:r>
      <w:proofErr w:type="spellEnd"/>
      <w:r>
        <w:t xml:space="preserve"> </w:t>
      </w:r>
      <w:r w:rsidR="00E944FE" w:rsidRPr="00E944FE">
        <w:t xml:space="preserve">Summary information of </w:t>
      </w:r>
      <w:r w:rsidR="00611F0D">
        <w:t xml:space="preserve">study </w:t>
      </w:r>
      <w:r w:rsidR="00E944FE" w:rsidRPr="00E944FE">
        <w:t>taxa data sets</w:t>
      </w:r>
      <w:r w:rsidR="0083568B">
        <w:t xml:space="preserve"> prior to outlier rem</w:t>
      </w:r>
      <w:r w:rsidR="00C41A85">
        <w:t xml:space="preserve">oval. </w:t>
      </w:r>
      <w:r w:rsidR="0083568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3028"/>
        <w:gridCol w:w="3827"/>
      </w:tblGrid>
      <w:tr w:rsidR="0083568B" w14:paraId="58B84BF7" w14:textId="173984B1" w:rsidTr="007B7E7A">
        <w:tc>
          <w:tcPr>
            <w:tcW w:w="1645" w:type="dxa"/>
          </w:tcPr>
          <w:p w14:paraId="50A4216C" w14:textId="16FCA38F" w:rsidR="0083568B" w:rsidRDefault="0083568B" w:rsidP="00026853">
            <w:r>
              <w:t>Taxa</w:t>
            </w:r>
          </w:p>
        </w:tc>
        <w:tc>
          <w:tcPr>
            <w:tcW w:w="3028" w:type="dxa"/>
          </w:tcPr>
          <w:p w14:paraId="43A30D7E" w14:textId="29FF471B" w:rsidR="0083568B" w:rsidRDefault="0083568B" w:rsidP="00026853">
            <w:r>
              <w:t>Number of species</w:t>
            </w:r>
          </w:p>
        </w:tc>
        <w:tc>
          <w:tcPr>
            <w:tcW w:w="3827" w:type="dxa"/>
          </w:tcPr>
          <w:p w14:paraId="61496BC5" w14:textId="042BC215" w:rsidR="0083568B" w:rsidRDefault="0083568B" w:rsidP="00026853">
            <w:r>
              <w:t xml:space="preserve">Number of records </w:t>
            </w:r>
          </w:p>
        </w:tc>
      </w:tr>
      <w:tr w:rsidR="0083568B" w14:paraId="20935F65" w14:textId="7A7431D7" w:rsidTr="007B7E7A">
        <w:tc>
          <w:tcPr>
            <w:tcW w:w="1645" w:type="dxa"/>
          </w:tcPr>
          <w:p w14:paraId="3147360C" w14:textId="1BCFF606" w:rsidR="0083568B" w:rsidRPr="000E2B3C" w:rsidRDefault="0083568B" w:rsidP="00026853">
            <w:pPr>
              <w:rPr>
                <w:i/>
                <w:iCs/>
              </w:rPr>
            </w:pPr>
            <w:r w:rsidRPr="000E2B3C">
              <w:rPr>
                <w:i/>
                <w:iCs/>
              </w:rPr>
              <w:t>Eucalyptus</w:t>
            </w:r>
          </w:p>
        </w:tc>
        <w:tc>
          <w:tcPr>
            <w:tcW w:w="3028" w:type="dxa"/>
          </w:tcPr>
          <w:p w14:paraId="13F132BE" w14:textId="0A2E8994" w:rsidR="0083568B" w:rsidRDefault="0083568B" w:rsidP="00026853">
            <w:r w:rsidRPr="00851F0A">
              <w:t>7</w:t>
            </w:r>
            <w:r w:rsidR="007B7E7A">
              <w:t>15</w:t>
            </w:r>
          </w:p>
        </w:tc>
        <w:tc>
          <w:tcPr>
            <w:tcW w:w="3827" w:type="dxa"/>
          </w:tcPr>
          <w:p w14:paraId="27346855" w14:textId="5F832EE5" w:rsidR="0083568B" w:rsidRDefault="0083568B" w:rsidP="00026853">
            <w:r w:rsidRPr="0083568B">
              <w:t>723627</w:t>
            </w:r>
          </w:p>
        </w:tc>
      </w:tr>
      <w:tr w:rsidR="0083568B" w14:paraId="32683D3D" w14:textId="2BCD8A00" w:rsidTr="007B7E7A">
        <w:tc>
          <w:tcPr>
            <w:tcW w:w="1645" w:type="dxa"/>
          </w:tcPr>
          <w:p w14:paraId="50BF695A" w14:textId="0593C1E2" w:rsidR="0083568B" w:rsidRPr="000E2B3C" w:rsidRDefault="0083568B" w:rsidP="00026853">
            <w:pPr>
              <w:rPr>
                <w:i/>
                <w:iCs/>
              </w:rPr>
            </w:pPr>
            <w:r w:rsidRPr="000E2B3C">
              <w:rPr>
                <w:i/>
                <w:iCs/>
              </w:rPr>
              <w:t>Melaleuca</w:t>
            </w:r>
          </w:p>
        </w:tc>
        <w:tc>
          <w:tcPr>
            <w:tcW w:w="3028" w:type="dxa"/>
          </w:tcPr>
          <w:p w14:paraId="5A397C5B" w14:textId="6F925A6D" w:rsidR="0083568B" w:rsidRDefault="007B7E7A" w:rsidP="00026853">
            <w:r w:rsidRPr="007B7E7A">
              <w:t>245</w:t>
            </w:r>
          </w:p>
        </w:tc>
        <w:tc>
          <w:tcPr>
            <w:tcW w:w="3827" w:type="dxa"/>
          </w:tcPr>
          <w:p w14:paraId="6A64A704" w14:textId="44FCABF4" w:rsidR="0083568B" w:rsidRDefault="007B7E7A" w:rsidP="00026853">
            <w:r w:rsidRPr="007B7E7A">
              <w:t>113047</w:t>
            </w:r>
          </w:p>
        </w:tc>
      </w:tr>
      <w:tr w:rsidR="0083568B" w14:paraId="53E0AA53" w14:textId="6FDB5E14" w:rsidTr="007B7E7A">
        <w:tc>
          <w:tcPr>
            <w:tcW w:w="1645" w:type="dxa"/>
          </w:tcPr>
          <w:p w14:paraId="64021F81" w14:textId="304EB9B4" w:rsidR="0083568B" w:rsidRPr="000E2B3C" w:rsidRDefault="0083568B" w:rsidP="00026853">
            <w:pPr>
              <w:rPr>
                <w:i/>
                <w:iCs/>
              </w:rPr>
            </w:pPr>
            <w:r w:rsidRPr="000E2B3C">
              <w:rPr>
                <w:i/>
                <w:iCs/>
              </w:rPr>
              <w:t>Corymbia</w:t>
            </w:r>
          </w:p>
        </w:tc>
        <w:tc>
          <w:tcPr>
            <w:tcW w:w="3028" w:type="dxa"/>
          </w:tcPr>
          <w:p w14:paraId="407F899B" w14:textId="5D2EF64E" w:rsidR="0083568B" w:rsidRDefault="007B7E7A" w:rsidP="00026853">
            <w:r w:rsidRPr="007B7E7A">
              <w:t>93</w:t>
            </w:r>
          </w:p>
        </w:tc>
        <w:tc>
          <w:tcPr>
            <w:tcW w:w="3827" w:type="dxa"/>
          </w:tcPr>
          <w:p w14:paraId="77CECECE" w14:textId="33DEEA8A" w:rsidR="0083568B" w:rsidRDefault="007B7E7A" w:rsidP="00026853">
            <w:r w:rsidRPr="007B7E7A">
              <w:t>68269</w:t>
            </w:r>
          </w:p>
        </w:tc>
      </w:tr>
      <w:tr w:rsidR="0083568B" w14:paraId="660C93D6" w14:textId="35ED467D" w:rsidTr="007B7E7A">
        <w:tc>
          <w:tcPr>
            <w:tcW w:w="1645" w:type="dxa"/>
          </w:tcPr>
          <w:p w14:paraId="6CF304CC" w14:textId="015D7A1A" w:rsidR="0083568B" w:rsidRPr="000E2B3C" w:rsidRDefault="0083568B" w:rsidP="00026853">
            <w:pPr>
              <w:rPr>
                <w:i/>
                <w:iCs/>
              </w:rPr>
            </w:pPr>
            <w:r w:rsidRPr="000E2B3C">
              <w:rPr>
                <w:i/>
                <w:iCs/>
              </w:rPr>
              <w:t>Callistemon</w:t>
            </w:r>
          </w:p>
        </w:tc>
        <w:tc>
          <w:tcPr>
            <w:tcW w:w="3028" w:type="dxa"/>
          </w:tcPr>
          <w:p w14:paraId="420BED5C" w14:textId="18E7B071" w:rsidR="0083568B" w:rsidRDefault="00584BBB" w:rsidP="00026853">
            <w:r>
              <w:t>44</w:t>
            </w:r>
          </w:p>
        </w:tc>
        <w:tc>
          <w:tcPr>
            <w:tcW w:w="3827" w:type="dxa"/>
          </w:tcPr>
          <w:p w14:paraId="5E9DC7F3" w14:textId="3AAD3768" w:rsidR="0083568B" w:rsidRDefault="00584BBB" w:rsidP="00026853">
            <w:r w:rsidRPr="00584BBB">
              <w:t>18562</w:t>
            </w:r>
          </w:p>
        </w:tc>
      </w:tr>
      <w:tr w:rsidR="0083568B" w14:paraId="627F386F" w14:textId="602F47E2" w:rsidTr="007B7E7A">
        <w:tc>
          <w:tcPr>
            <w:tcW w:w="1645" w:type="dxa"/>
          </w:tcPr>
          <w:p w14:paraId="0B905B6D" w14:textId="141E00CD" w:rsidR="0083568B" w:rsidRPr="000E2B3C" w:rsidRDefault="0083568B" w:rsidP="00026853">
            <w:pPr>
              <w:rPr>
                <w:i/>
                <w:iCs/>
              </w:rPr>
            </w:pPr>
            <w:r w:rsidRPr="000E2B3C">
              <w:rPr>
                <w:i/>
                <w:iCs/>
              </w:rPr>
              <w:t>Leptospermum</w:t>
            </w:r>
          </w:p>
        </w:tc>
        <w:tc>
          <w:tcPr>
            <w:tcW w:w="3028" w:type="dxa"/>
          </w:tcPr>
          <w:p w14:paraId="3C10208A" w14:textId="5BC22060" w:rsidR="0083568B" w:rsidRDefault="00C41A85" w:rsidP="00026853">
            <w:r>
              <w:t>86</w:t>
            </w:r>
          </w:p>
        </w:tc>
        <w:tc>
          <w:tcPr>
            <w:tcW w:w="3827" w:type="dxa"/>
          </w:tcPr>
          <w:p w14:paraId="51BD33F6" w14:textId="517FCA21" w:rsidR="0083568B" w:rsidRDefault="00C41A85" w:rsidP="00026853">
            <w:r w:rsidRPr="00C41A85">
              <w:t>83379</w:t>
            </w:r>
          </w:p>
        </w:tc>
      </w:tr>
    </w:tbl>
    <w:p w14:paraId="6ADD17B2" w14:textId="5BE48880" w:rsidR="006E3EBD" w:rsidRDefault="006E3EBD" w:rsidP="00BF384C"/>
    <w:p w14:paraId="69558D1C" w14:textId="2A7F2830" w:rsidR="00C41A85" w:rsidRPr="002C396D" w:rsidRDefault="00C41A85" w:rsidP="00026853">
      <w:pPr>
        <w:rPr>
          <w:b/>
          <w:bCs/>
        </w:rPr>
      </w:pPr>
      <w:r w:rsidRPr="002C396D">
        <w:rPr>
          <w:b/>
          <w:bCs/>
        </w:rPr>
        <w:t xml:space="preserve">Appendix </w:t>
      </w:r>
      <w:proofErr w:type="spellStart"/>
      <w:r w:rsidRPr="002C396D">
        <w:rPr>
          <w:b/>
          <w:bCs/>
        </w:rPr>
        <w:t>S</w:t>
      </w:r>
      <w:r w:rsidR="006B4CBB">
        <w:rPr>
          <w:b/>
          <w:bCs/>
        </w:rPr>
        <w:t>6</w:t>
      </w:r>
      <w:proofErr w:type="spellEnd"/>
    </w:p>
    <w:p w14:paraId="46D28BD0" w14:textId="5B90414D" w:rsidR="00C41A85" w:rsidRDefault="00A01142" w:rsidP="00997F4C">
      <w:pPr>
        <w:spacing w:after="0"/>
      </w:pPr>
      <w:r>
        <w:t xml:space="preserve">The </w:t>
      </w:r>
      <w:r w:rsidR="00E957E1" w:rsidRPr="00E957E1">
        <w:t xml:space="preserve">95% centroid method </w:t>
      </w:r>
      <w:r>
        <w:t>r</w:t>
      </w:r>
      <w:r w:rsidR="00E957E1" w:rsidRPr="00E957E1">
        <w:t>emoves 5% of all records furthest from the centre of the convex hull polygon surrounding all records.</w:t>
      </w:r>
      <w:r w:rsidR="009C6245">
        <w:t xml:space="preserve"> </w:t>
      </w:r>
    </w:p>
    <w:p w14:paraId="4CA197A4" w14:textId="6E4349EA" w:rsidR="00BF384C" w:rsidRDefault="00BF384C" w:rsidP="00026853"/>
    <w:p w14:paraId="26777FF5" w14:textId="7E889D2E" w:rsidR="00BF384C" w:rsidRPr="002C396D" w:rsidRDefault="00BF384C" w:rsidP="00026853">
      <w:pPr>
        <w:rPr>
          <w:b/>
          <w:bCs/>
        </w:rPr>
      </w:pPr>
      <w:r w:rsidRPr="002C396D">
        <w:rPr>
          <w:b/>
          <w:bCs/>
        </w:rPr>
        <w:t xml:space="preserve">Appendix </w:t>
      </w:r>
      <w:proofErr w:type="spellStart"/>
      <w:r w:rsidRPr="002C396D">
        <w:rPr>
          <w:b/>
          <w:bCs/>
        </w:rPr>
        <w:t>S</w:t>
      </w:r>
      <w:r w:rsidR="006B4CBB">
        <w:rPr>
          <w:b/>
          <w:bCs/>
        </w:rPr>
        <w:t>7</w:t>
      </w:r>
      <w:proofErr w:type="spellEnd"/>
    </w:p>
    <w:p w14:paraId="12B24B8A" w14:textId="19FAA06F" w:rsidR="00B4493B" w:rsidRPr="00B4493B" w:rsidRDefault="00B4493B" w:rsidP="00026853">
      <w:r w:rsidRPr="00B4493B">
        <w:t>All R code and functions</w:t>
      </w:r>
      <w:r w:rsidR="00997F4C">
        <w:t xml:space="preserve"> used</w:t>
      </w:r>
      <w:r w:rsidRPr="00B4493B">
        <w:t xml:space="preserve"> can be found at </w:t>
      </w:r>
      <w:hyperlink r:id="rId33" w:history="1">
        <w:r w:rsidR="00997F4C" w:rsidRPr="002C2B10">
          <w:rPr>
            <w:rStyle w:val="Hyperlink"/>
          </w:rPr>
          <w:t>https://github.com/tlawrie19/Endemism_Project</w:t>
        </w:r>
      </w:hyperlink>
      <w:r w:rsidR="00997F4C">
        <w:t xml:space="preserve"> </w:t>
      </w:r>
    </w:p>
    <w:sectPr w:rsidR="00B4493B" w:rsidRPr="00B4493B"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A1257" w14:textId="77777777" w:rsidR="00C55DB8" w:rsidRDefault="00C55DB8" w:rsidP="00896F65">
      <w:pPr>
        <w:spacing w:after="0" w:line="240" w:lineRule="auto"/>
      </w:pPr>
      <w:r>
        <w:separator/>
      </w:r>
    </w:p>
  </w:endnote>
  <w:endnote w:type="continuationSeparator" w:id="0">
    <w:p w14:paraId="5B41F616" w14:textId="77777777" w:rsidR="00C55DB8" w:rsidRDefault="00C55DB8" w:rsidP="0089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991"/>
      <w:gridCol w:w="2724"/>
      <w:gridCol w:w="3311"/>
    </w:tblGrid>
    <w:tr w:rsidR="000C7809" w14:paraId="791A35DA" w14:textId="77777777" w:rsidTr="008635EF">
      <w:trPr>
        <w:trHeight w:hRule="exact" w:val="115"/>
        <w:jc w:val="center"/>
      </w:trPr>
      <w:tc>
        <w:tcPr>
          <w:tcW w:w="2991" w:type="dxa"/>
          <w:shd w:val="clear" w:color="auto" w:fill="auto"/>
          <w:tcMar>
            <w:top w:w="0" w:type="dxa"/>
            <w:bottom w:w="0" w:type="dxa"/>
          </w:tcMar>
        </w:tcPr>
        <w:p w14:paraId="5ACEC2DC" w14:textId="77777777" w:rsidR="000C7809" w:rsidRPr="008635EF" w:rsidRDefault="000C7809">
          <w:pPr>
            <w:pStyle w:val="Header"/>
            <w:rPr>
              <w:caps/>
              <w:color w:val="7F7F7F" w:themeColor="text1" w:themeTint="80"/>
              <w:sz w:val="18"/>
            </w:rPr>
          </w:pPr>
        </w:p>
      </w:tc>
      <w:tc>
        <w:tcPr>
          <w:tcW w:w="2724" w:type="dxa"/>
        </w:tcPr>
        <w:p w14:paraId="7BF9135A" w14:textId="77777777" w:rsidR="000C7809" w:rsidRDefault="000C7809" w:rsidP="001C4CE0">
          <w:pPr>
            <w:pStyle w:val="Header"/>
            <w:tabs>
              <w:tab w:val="left" w:pos="1404"/>
            </w:tabs>
            <w:rPr>
              <w:caps/>
              <w:sz w:val="18"/>
            </w:rPr>
          </w:pPr>
        </w:p>
      </w:tc>
      <w:tc>
        <w:tcPr>
          <w:tcW w:w="3311" w:type="dxa"/>
          <w:shd w:val="clear" w:color="auto" w:fill="auto"/>
          <w:tcMar>
            <w:top w:w="0" w:type="dxa"/>
            <w:bottom w:w="0" w:type="dxa"/>
          </w:tcMar>
        </w:tcPr>
        <w:p w14:paraId="49165726" w14:textId="330C5A83" w:rsidR="000C7809" w:rsidRDefault="000C7809" w:rsidP="001C4CE0">
          <w:pPr>
            <w:pStyle w:val="Header"/>
            <w:tabs>
              <w:tab w:val="left" w:pos="1404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</w:tr>
    <w:tr w:rsidR="000C7809" w14:paraId="55665DEE" w14:textId="77777777" w:rsidTr="008635EF">
      <w:trPr>
        <w:jc w:val="center"/>
      </w:trPr>
      <w:sdt>
        <w:sdtPr>
          <w:rPr>
            <w:caps/>
            <w:color w:val="000000" w:themeColor="text1"/>
            <w:sz w:val="18"/>
            <w:szCs w:val="18"/>
          </w:rPr>
          <w:alias w:val="Author"/>
          <w:tag w:val=""/>
          <w:id w:val="1534151868"/>
          <w:placeholder>
            <w:docPart w:val="A6B238F4E8B5445A9583D214C18B3E4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2991" w:type="dxa"/>
              <w:shd w:val="clear" w:color="auto" w:fill="auto"/>
              <w:vAlign w:val="center"/>
            </w:tcPr>
            <w:p w14:paraId="7D90DF5B" w14:textId="216203E9" w:rsidR="000C7809" w:rsidRDefault="000C7809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8635EF">
                <w:rPr>
                  <w:color w:val="000000" w:themeColor="text1"/>
                  <w:sz w:val="18"/>
                  <w:szCs w:val="18"/>
                </w:rPr>
                <w:t>SCIE3241 - Lawrie</w:t>
              </w:r>
            </w:p>
          </w:tc>
        </w:sdtContent>
      </w:sdt>
      <w:tc>
        <w:tcPr>
          <w:tcW w:w="2724" w:type="dxa"/>
        </w:tcPr>
        <w:p w14:paraId="465D7C71" w14:textId="77777777" w:rsidR="000C7809" w:rsidRPr="008635EF" w:rsidRDefault="000C7809">
          <w:pPr>
            <w:pStyle w:val="Footer"/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3311" w:type="dxa"/>
          <w:shd w:val="clear" w:color="auto" w:fill="auto"/>
          <w:vAlign w:val="center"/>
        </w:tcPr>
        <w:p w14:paraId="39D5AD4E" w14:textId="1D6853A4" w:rsidR="000C7809" w:rsidRDefault="000C780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8635EF">
            <w:rPr>
              <w:caps/>
              <w:noProof/>
              <w:color w:val="000000" w:themeColor="text1"/>
              <w:sz w:val="18"/>
              <w:szCs w:val="18"/>
            </w:rPr>
            <w:t>2</w:t>
          </w:r>
        </w:p>
      </w:tc>
    </w:tr>
  </w:tbl>
  <w:p w14:paraId="20C0A86F" w14:textId="30E4F66F" w:rsidR="000C7809" w:rsidRDefault="000C7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DF882" w14:textId="77777777" w:rsidR="00C55DB8" w:rsidRDefault="00C55DB8" w:rsidP="00896F65">
      <w:pPr>
        <w:spacing w:after="0" w:line="240" w:lineRule="auto"/>
      </w:pPr>
      <w:r>
        <w:separator/>
      </w:r>
    </w:p>
  </w:footnote>
  <w:footnote w:type="continuationSeparator" w:id="0">
    <w:p w14:paraId="6E1415D4" w14:textId="77777777" w:rsidR="00C55DB8" w:rsidRDefault="00C55DB8" w:rsidP="00896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52C95"/>
    <w:multiLevelType w:val="hybridMultilevel"/>
    <w:tmpl w:val="45CE54FC"/>
    <w:lvl w:ilvl="0" w:tplc="D944A1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99F"/>
    <w:multiLevelType w:val="hybridMultilevel"/>
    <w:tmpl w:val="80F6E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87D22"/>
    <w:multiLevelType w:val="hybridMultilevel"/>
    <w:tmpl w:val="17CEA786"/>
    <w:lvl w:ilvl="0" w:tplc="449203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FD"/>
    <w:rsid w:val="00000ECE"/>
    <w:rsid w:val="00002384"/>
    <w:rsid w:val="00002D94"/>
    <w:rsid w:val="0000515E"/>
    <w:rsid w:val="00005E9D"/>
    <w:rsid w:val="00006663"/>
    <w:rsid w:val="00006A16"/>
    <w:rsid w:val="00011D19"/>
    <w:rsid w:val="00012BD0"/>
    <w:rsid w:val="00013014"/>
    <w:rsid w:val="0001344E"/>
    <w:rsid w:val="00013EA0"/>
    <w:rsid w:val="000146B3"/>
    <w:rsid w:val="00014BFC"/>
    <w:rsid w:val="0001632C"/>
    <w:rsid w:val="000220C3"/>
    <w:rsid w:val="00023F51"/>
    <w:rsid w:val="0002426C"/>
    <w:rsid w:val="00026118"/>
    <w:rsid w:val="00026853"/>
    <w:rsid w:val="00026855"/>
    <w:rsid w:val="00027D1A"/>
    <w:rsid w:val="00032874"/>
    <w:rsid w:val="000349C7"/>
    <w:rsid w:val="00037BF2"/>
    <w:rsid w:val="00044B79"/>
    <w:rsid w:val="000458A8"/>
    <w:rsid w:val="00046AE3"/>
    <w:rsid w:val="00046F91"/>
    <w:rsid w:val="000516A8"/>
    <w:rsid w:val="00055FB3"/>
    <w:rsid w:val="0005624C"/>
    <w:rsid w:val="000563BC"/>
    <w:rsid w:val="000602BA"/>
    <w:rsid w:val="00061B94"/>
    <w:rsid w:val="0006266D"/>
    <w:rsid w:val="00062EBB"/>
    <w:rsid w:val="00064EC2"/>
    <w:rsid w:val="000673E9"/>
    <w:rsid w:val="000704B9"/>
    <w:rsid w:val="00071B00"/>
    <w:rsid w:val="00071EA3"/>
    <w:rsid w:val="000723FB"/>
    <w:rsid w:val="00072CCD"/>
    <w:rsid w:val="0007411F"/>
    <w:rsid w:val="000751C3"/>
    <w:rsid w:val="00076981"/>
    <w:rsid w:val="00081B91"/>
    <w:rsid w:val="00081DB1"/>
    <w:rsid w:val="00082EF7"/>
    <w:rsid w:val="00083807"/>
    <w:rsid w:val="00083905"/>
    <w:rsid w:val="0008536B"/>
    <w:rsid w:val="0008555B"/>
    <w:rsid w:val="00085C2C"/>
    <w:rsid w:val="0008649D"/>
    <w:rsid w:val="000866E6"/>
    <w:rsid w:val="0008697E"/>
    <w:rsid w:val="00087649"/>
    <w:rsid w:val="0009364A"/>
    <w:rsid w:val="00093F65"/>
    <w:rsid w:val="0009580C"/>
    <w:rsid w:val="00095A24"/>
    <w:rsid w:val="0009753A"/>
    <w:rsid w:val="000A02A5"/>
    <w:rsid w:val="000A1106"/>
    <w:rsid w:val="000A4BBE"/>
    <w:rsid w:val="000A53D0"/>
    <w:rsid w:val="000A722F"/>
    <w:rsid w:val="000B10F6"/>
    <w:rsid w:val="000B12EA"/>
    <w:rsid w:val="000B4425"/>
    <w:rsid w:val="000B4515"/>
    <w:rsid w:val="000B5A6A"/>
    <w:rsid w:val="000B60CF"/>
    <w:rsid w:val="000B665B"/>
    <w:rsid w:val="000C134A"/>
    <w:rsid w:val="000C2EDF"/>
    <w:rsid w:val="000C3A3F"/>
    <w:rsid w:val="000C7809"/>
    <w:rsid w:val="000D1706"/>
    <w:rsid w:val="000D1CA0"/>
    <w:rsid w:val="000D1D43"/>
    <w:rsid w:val="000D1EB8"/>
    <w:rsid w:val="000D3A31"/>
    <w:rsid w:val="000D4CCB"/>
    <w:rsid w:val="000D5C37"/>
    <w:rsid w:val="000D5F42"/>
    <w:rsid w:val="000E074F"/>
    <w:rsid w:val="000E2B3C"/>
    <w:rsid w:val="000E3F6C"/>
    <w:rsid w:val="000F08C4"/>
    <w:rsid w:val="000F0F64"/>
    <w:rsid w:val="000F1E1D"/>
    <w:rsid w:val="000F57AF"/>
    <w:rsid w:val="000F76E2"/>
    <w:rsid w:val="001025D4"/>
    <w:rsid w:val="001031BC"/>
    <w:rsid w:val="0010449E"/>
    <w:rsid w:val="00106B1E"/>
    <w:rsid w:val="001110F1"/>
    <w:rsid w:val="00115AD5"/>
    <w:rsid w:val="0011658F"/>
    <w:rsid w:val="001222F9"/>
    <w:rsid w:val="00123844"/>
    <w:rsid w:val="0012519B"/>
    <w:rsid w:val="00126C4F"/>
    <w:rsid w:val="00127271"/>
    <w:rsid w:val="00127B34"/>
    <w:rsid w:val="00127CB5"/>
    <w:rsid w:val="00132734"/>
    <w:rsid w:val="00132FA9"/>
    <w:rsid w:val="00133DE0"/>
    <w:rsid w:val="0013541E"/>
    <w:rsid w:val="00137018"/>
    <w:rsid w:val="00140DFF"/>
    <w:rsid w:val="00142A06"/>
    <w:rsid w:val="00146CFE"/>
    <w:rsid w:val="001529D1"/>
    <w:rsid w:val="00152ECF"/>
    <w:rsid w:val="0015320D"/>
    <w:rsid w:val="00155312"/>
    <w:rsid w:val="00163A63"/>
    <w:rsid w:val="00172585"/>
    <w:rsid w:val="001729C6"/>
    <w:rsid w:val="00172D22"/>
    <w:rsid w:val="00175A86"/>
    <w:rsid w:val="00177E7A"/>
    <w:rsid w:val="00177FC7"/>
    <w:rsid w:val="00180AC5"/>
    <w:rsid w:val="0018105E"/>
    <w:rsid w:val="00181CA5"/>
    <w:rsid w:val="001844D0"/>
    <w:rsid w:val="0018457E"/>
    <w:rsid w:val="00185038"/>
    <w:rsid w:val="0019039A"/>
    <w:rsid w:val="00195C7F"/>
    <w:rsid w:val="00197AE6"/>
    <w:rsid w:val="001A050E"/>
    <w:rsid w:val="001A186A"/>
    <w:rsid w:val="001A3311"/>
    <w:rsid w:val="001A3EA7"/>
    <w:rsid w:val="001A6642"/>
    <w:rsid w:val="001A6A9D"/>
    <w:rsid w:val="001A705B"/>
    <w:rsid w:val="001B0623"/>
    <w:rsid w:val="001B18CD"/>
    <w:rsid w:val="001B1BA1"/>
    <w:rsid w:val="001B37DC"/>
    <w:rsid w:val="001B6E9E"/>
    <w:rsid w:val="001B7ABB"/>
    <w:rsid w:val="001C11DE"/>
    <w:rsid w:val="001C1555"/>
    <w:rsid w:val="001C4CE0"/>
    <w:rsid w:val="001C5101"/>
    <w:rsid w:val="001C6A13"/>
    <w:rsid w:val="001C7EB0"/>
    <w:rsid w:val="001D38F3"/>
    <w:rsid w:val="001D3D9C"/>
    <w:rsid w:val="001D54B3"/>
    <w:rsid w:val="001D7272"/>
    <w:rsid w:val="001E18B8"/>
    <w:rsid w:val="001E1D25"/>
    <w:rsid w:val="001E22F7"/>
    <w:rsid w:val="001E33AC"/>
    <w:rsid w:val="001E3428"/>
    <w:rsid w:val="001E3477"/>
    <w:rsid w:val="001E6A98"/>
    <w:rsid w:val="001F10A3"/>
    <w:rsid w:val="001F1700"/>
    <w:rsid w:val="001F1890"/>
    <w:rsid w:val="001F2579"/>
    <w:rsid w:val="001F565B"/>
    <w:rsid w:val="001F643A"/>
    <w:rsid w:val="00201BE4"/>
    <w:rsid w:val="00205B3B"/>
    <w:rsid w:val="00207130"/>
    <w:rsid w:val="0020728E"/>
    <w:rsid w:val="0021016C"/>
    <w:rsid w:val="00210C3D"/>
    <w:rsid w:val="00212014"/>
    <w:rsid w:val="0021352B"/>
    <w:rsid w:val="00214B03"/>
    <w:rsid w:val="00220AA4"/>
    <w:rsid w:val="00220D3F"/>
    <w:rsid w:val="00222CAD"/>
    <w:rsid w:val="0022337F"/>
    <w:rsid w:val="002252DE"/>
    <w:rsid w:val="0022723E"/>
    <w:rsid w:val="002274EA"/>
    <w:rsid w:val="002275AF"/>
    <w:rsid w:val="00231C68"/>
    <w:rsid w:val="00232D98"/>
    <w:rsid w:val="0023433E"/>
    <w:rsid w:val="00235FCC"/>
    <w:rsid w:val="00236294"/>
    <w:rsid w:val="0023697B"/>
    <w:rsid w:val="00237815"/>
    <w:rsid w:val="002417BE"/>
    <w:rsid w:val="00245566"/>
    <w:rsid w:val="00245640"/>
    <w:rsid w:val="002478C0"/>
    <w:rsid w:val="00247D5E"/>
    <w:rsid w:val="00252D61"/>
    <w:rsid w:val="00253210"/>
    <w:rsid w:val="00255C66"/>
    <w:rsid w:val="00256F6E"/>
    <w:rsid w:val="00260CCF"/>
    <w:rsid w:val="00260EC4"/>
    <w:rsid w:val="00261672"/>
    <w:rsid w:val="00261722"/>
    <w:rsid w:val="002639F1"/>
    <w:rsid w:val="00266641"/>
    <w:rsid w:val="00266B95"/>
    <w:rsid w:val="00272C66"/>
    <w:rsid w:val="002738E2"/>
    <w:rsid w:val="00274E3A"/>
    <w:rsid w:val="00275806"/>
    <w:rsid w:val="00280212"/>
    <w:rsid w:val="00285A52"/>
    <w:rsid w:val="00285BFF"/>
    <w:rsid w:val="002878B6"/>
    <w:rsid w:val="00293396"/>
    <w:rsid w:val="002947FC"/>
    <w:rsid w:val="00295D2F"/>
    <w:rsid w:val="0029605E"/>
    <w:rsid w:val="002965C1"/>
    <w:rsid w:val="00296E39"/>
    <w:rsid w:val="00297664"/>
    <w:rsid w:val="002A0F4F"/>
    <w:rsid w:val="002A37AC"/>
    <w:rsid w:val="002A3875"/>
    <w:rsid w:val="002A4CB8"/>
    <w:rsid w:val="002A65D5"/>
    <w:rsid w:val="002A6E1B"/>
    <w:rsid w:val="002A74C5"/>
    <w:rsid w:val="002B017F"/>
    <w:rsid w:val="002B0FCF"/>
    <w:rsid w:val="002B1054"/>
    <w:rsid w:val="002B1D8C"/>
    <w:rsid w:val="002B27BB"/>
    <w:rsid w:val="002B4CBB"/>
    <w:rsid w:val="002B5144"/>
    <w:rsid w:val="002B6950"/>
    <w:rsid w:val="002C323E"/>
    <w:rsid w:val="002C396D"/>
    <w:rsid w:val="002C54BC"/>
    <w:rsid w:val="002D06E0"/>
    <w:rsid w:val="002D1E2A"/>
    <w:rsid w:val="002D2B5B"/>
    <w:rsid w:val="002D31E5"/>
    <w:rsid w:val="002D41AF"/>
    <w:rsid w:val="002D489B"/>
    <w:rsid w:val="002D5BAB"/>
    <w:rsid w:val="002D5C81"/>
    <w:rsid w:val="002D7CC1"/>
    <w:rsid w:val="002E2E20"/>
    <w:rsid w:val="002E586B"/>
    <w:rsid w:val="002E6B16"/>
    <w:rsid w:val="002E77A5"/>
    <w:rsid w:val="002F25AD"/>
    <w:rsid w:val="002F2DD2"/>
    <w:rsid w:val="002F3E8A"/>
    <w:rsid w:val="002F7ED4"/>
    <w:rsid w:val="00301CF7"/>
    <w:rsid w:val="00302FC4"/>
    <w:rsid w:val="00305BB2"/>
    <w:rsid w:val="00310748"/>
    <w:rsid w:val="0031076B"/>
    <w:rsid w:val="00310FB8"/>
    <w:rsid w:val="003113F9"/>
    <w:rsid w:val="00312681"/>
    <w:rsid w:val="0031312A"/>
    <w:rsid w:val="003149BF"/>
    <w:rsid w:val="00314F78"/>
    <w:rsid w:val="0031733C"/>
    <w:rsid w:val="003211F6"/>
    <w:rsid w:val="003216E5"/>
    <w:rsid w:val="003234C9"/>
    <w:rsid w:val="00324462"/>
    <w:rsid w:val="00324CA7"/>
    <w:rsid w:val="00325868"/>
    <w:rsid w:val="00326C92"/>
    <w:rsid w:val="0033402E"/>
    <w:rsid w:val="003350A0"/>
    <w:rsid w:val="003361E4"/>
    <w:rsid w:val="00336E12"/>
    <w:rsid w:val="00337F4C"/>
    <w:rsid w:val="00340505"/>
    <w:rsid w:val="00341A94"/>
    <w:rsid w:val="00342321"/>
    <w:rsid w:val="00347C03"/>
    <w:rsid w:val="0035312C"/>
    <w:rsid w:val="00354D61"/>
    <w:rsid w:val="0036035E"/>
    <w:rsid w:val="003625E4"/>
    <w:rsid w:val="00363053"/>
    <w:rsid w:val="00365ED8"/>
    <w:rsid w:val="00374D09"/>
    <w:rsid w:val="003757A2"/>
    <w:rsid w:val="0037631D"/>
    <w:rsid w:val="00376EF4"/>
    <w:rsid w:val="00377506"/>
    <w:rsid w:val="0037780B"/>
    <w:rsid w:val="00382765"/>
    <w:rsid w:val="00382882"/>
    <w:rsid w:val="00384050"/>
    <w:rsid w:val="003841F0"/>
    <w:rsid w:val="00384732"/>
    <w:rsid w:val="00384D2D"/>
    <w:rsid w:val="0038530B"/>
    <w:rsid w:val="00393871"/>
    <w:rsid w:val="00395060"/>
    <w:rsid w:val="003950C5"/>
    <w:rsid w:val="003951C3"/>
    <w:rsid w:val="00396D3C"/>
    <w:rsid w:val="003A0A7E"/>
    <w:rsid w:val="003A0F3C"/>
    <w:rsid w:val="003A1BF0"/>
    <w:rsid w:val="003A5FA0"/>
    <w:rsid w:val="003A6854"/>
    <w:rsid w:val="003A6D2F"/>
    <w:rsid w:val="003A7542"/>
    <w:rsid w:val="003B03DF"/>
    <w:rsid w:val="003B2BB4"/>
    <w:rsid w:val="003B5BF9"/>
    <w:rsid w:val="003B7197"/>
    <w:rsid w:val="003B7888"/>
    <w:rsid w:val="003B78AC"/>
    <w:rsid w:val="003C16D3"/>
    <w:rsid w:val="003C2E7D"/>
    <w:rsid w:val="003C6103"/>
    <w:rsid w:val="003C620A"/>
    <w:rsid w:val="003D2A15"/>
    <w:rsid w:val="003D7963"/>
    <w:rsid w:val="003E17C4"/>
    <w:rsid w:val="003E17E9"/>
    <w:rsid w:val="003E1A36"/>
    <w:rsid w:val="003E4BE1"/>
    <w:rsid w:val="003E6735"/>
    <w:rsid w:val="003E6F97"/>
    <w:rsid w:val="003E7337"/>
    <w:rsid w:val="003E7CF5"/>
    <w:rsid w:val="003F05B8"/>
    <w:rsid w:val="003F13AF"/>
    <w:rsid w:val="003F35EF"/>
    <w:rsid w:val="003F4055"/>
    <w:rsid w:val="003F64AD"/>
    <w:rsid w:val="003F761D"/>
    <w:rsid w:val="003F7756"/>
    <w:rsid w:val="003F7AE9"/>
    <w:rsid w:val="003F7D74"/>
    <w:rsid w:val="00400B20"/>
    <w:rsid w:val="00400F30"/>
    <w:rsid w:val="00401035"/>
    <w:rsid w:val="00404255"/>
    <w:rsid w:val="004065E6"/>
    <w:rsid w:val="00411B51"/>
    <w:rsid w:val="00412053"/>
    <w:rsid w:val="004133D4"/>
    <w:rsid w:val="004135A1"/>
    <w:rsid w:val="00413880"/>
    <w:rsid w:val="004147C6"/>
    <w:rsid w:val="00415F8A"/>
    <w:rsid w:val="004175E2"/>
    <w:rsid w:val="00417A1C"/>
    <w:rsid w:val="00420DA9"/>
    <w:rsid w:val="00421C31"/>
    <w:rsid w:val="004221E7"/>
    <w:rsid w:val="004261B0"/>
    <w:rsid w:val="00430B50"/>
    <w:rsid w:val="00430E5B"/>
    <w:rsid w:val="00431E09"/>
    <w:rsid w:val="004359B5"/>
    <w:rsid w:val="004373D4"/>
    <w:rsid w:val="004401C9"/>
    <w:rsid w:val="004420A5"/>
    <w:rsid w:val="00442C7E"/>
    <w:rsid w:val="00443BAD"/>
    <w:rsid w:val="00443F5B"/>
    <w:rsid w:val="0044402B"/>
    <w:rsid w:val="00444297"/>
    <w:rsid w:val="00446657"/>
    <w:rsid w:val="00450A59"/>
    <w:rsid w:val="00451D24"/>
    <w:rsid w:val="00452BC9"/>
    <w:rsid w:val="00454207"/>
    <w:rsid w:val="0045432D"/>
    <w:rsid w:val="004550B7"/>
    <w:rsid w:val="0045648A"/>
    <w:rsid w:val="00463313"/>
    <w:rsid w:val="00463767"/>
    <w:rsid w:val="00464121"/>
    <w:rsid w:val="00465C47"/>
    <w:rsid w:val="0046637E"/>
    <w:rsid w:val="00470996"/>
    <w:rsid w:val="00471D0B"/>
    <w:rsid w:val="0047496E"/>
    <w:rsid w:val="00475F00"/>
    <w:rsid w:val="00477837"/>
    <w:rsid w:val="00480E5A"/>
    <w:rsid w:val="00481174"/>
    <w:rsid w:val="00481884"/>
    <w:rsid w:val="004828A0"/>
    <w:rsid w:val="00484F80"/>
    <w:rsid w:val="004860B8"/>
    <w:rsid w:val="00487624"/>
    <w:rsid w:val="00487B27"/>
    <w:rsid w:val="0049698B"/>
    <w:rsid w:val="004A03CF"/>
    <w:rsid w:val="004A071C"/>
    <w:rsid w:val="004A09D5"/>
    <w:rsid w:val="004A1FAE"/>
    <w:rsid w:val="004A50DA"/>
    <w:rsid w:val="004A52FF"/>
    <w:rsid w:val="004A600A"/>
    <w:rsid w:val="004A6B9C"/>
    <w:rsid w:val="004B5C4F"/>
    <w:rsid w:val="004B6556"/>
    <w:rsid w:val="004B7082"/>
    <w:rsid w:val="004C145B"/>
    <w:rsid w:val="004C32C8"/>
    <w:rsid w:val="004C4100"/>
    <w:rsid w:val="004C5207"/>
    <w:rsid w:val="004C576F"/>
    <w:rsid w:val="004C5F87"/>
    <w:rsid w:val="004C5FC9"/>
    <w:rsid w:val="004C760C"/>
    <w:rsid w:val="004C7FC3"/>
    <w:rsid w:val="004E1C68"/>
    <w:rsid w:val="004E24A3"/>
    <w:rsid w:val="004E3785"/>
    <w:rsid w:val="004F1ABA"/>
    <w:rsid w:val="004F2077"/>
    <w:rsid w:val="004F23A6"/>
    <w:rsid w:val="004F267B"/>
    <w:rsid w:val="004F2D9C"/>
    <w:rsid w:val="004F5986"/>
    <w:rsid w:val="004F7572"/>
    <w:rsid w:val="00501453"/>
    <w:rsid w:val="005016BF"/>
    <w:rsid w:val="00502FA5"/>
    <w:rsid w:val="005043E7"/>
    <w:rsid w:val="00504B49"/>
    <w:rsid w:val="00504F31"/>
    <w:rsid w:val="005055E9"/>
    <w:rsid w:val="00507E21"/>
    <w:rsid w:val="00507EC5"/>
    <w:rsid w:val="005115F0"/>
    <w:rsid w:val="00512582"/>
    <w:rsid w:val="00514B8C"/>
    <w:rsid w:val="00516008"/>
    <w:rsid w:val="00516FE4"/>
    <w:rsid w:val="005170C5"/>
    <w:rsid w:val="005177D4"/>
    <w:rsid w:val="00520DBF"/>
    <w:rsid w:val="00521C57"/>
    <w:rsid w:val="0052273A"/>
    <w:rsid w:val="005233E4"/>
    <w:rsid w:val="005250C0"/>
    <w:rsid w:val="00525E49"/>
    <w:rsid w:val="00531FC1"/>
    <w:rsid w:val="00532F08"/>
    <w:rsid w:val="00536D96"/>
    <w:rsid w:val="005375EF"/>
    <w:rsid w:val="005379EA"/>
    <w:rsid w:val="0054033C"/>
    <w:rsid w:val="005431A6"/>
    <w:rsid w:val="005438F8"/>
    <w:rsid w:val="0054416F"/>
    <w:rsid w:val="00544C1D"/>
    <w:rsid w:val="00547477"/>
    <w:rsid w:val="00547805"/>
    <w:rsid w:val="00551269"/>
    <w:rsid w:val="00551823"/>
    <w:rsid w:val="00551B20"/>
    <w:rsid w:val="00552A99"/>
    <w:rsid w:val="00553525"/>
    <w:rsid w:val="0055417D"/>
    <w:rsid w:val="00554C6A"/>
    <w:rsid w:val="005561C7"/>
    <w:rsid w:val="00556ABF"/>
    <w:rsid w:val="00556B40"/>
    <w:rsid w:val="005604EE"/>
    <w:rsid w:val="00561B7B"/>
    <w:rsid w:val="00565B64"/>
    <w:rsid w:val="00565C26"/>
    <w:rsid w:val="0056630E"/>
    <w:rsid w:val="00571310"/>
    <w:rsid w:val="00571B61"/>
    <w:rsid w:val="00571C6E"/>
    <w:rsid w:val="00571FDC"/>
    <w:rsid w:val="005726CF"/>
    <w:rsid w:val="0057378C"/>
    <w:rsid w:val="00574240"/>
    <w:rsid w:val="00574BBC"/>
    <w:rsid w:val="00577AA2"/>
    <w:rsid w:val="0058158A"/>
    <w:rsid w:val="00582038"/>
    <w:rsid w:val="0058278A"/>
    <w:rsid w:val="00584BBB"/>
    <w:rsid w:val="00586548"/>
    <w:rsid w:val="0059081D"/>
    <w:rsid w:val="00593786"/>
    <w:rsid w:val="00593F9F"/>
    <w:rsid w:val="0059453D"/>
    <w:rsid w:val="00596F76"/>
    <w:rsid w:val="005A025F"/>
    <w:rsid w:val="005A0F1A"/>
    <w:rsid w:val="005A3E68"/>
    <w:rsid w:val="005A5099"/>
    <w:rsid w:val="005A5AD5"/>
    <w:rsid w:val="005A68E3"/>
    <w:rsid w:val="005B095D"/>
    <w:rsid w:val="005B0A97"/>
    <w:rsid w:val="005C183C"/>
    <w:rsid w:val="005C297F"/>
    <w:rsid w:val="005C4518"/>
    <w:rsid w:val="005C5304"/>
    <w:rsid w:val="005D00AF"/>
    <w:rsid w:val="005D6AB7"/>
    <w:rsid w:val="005E1068"/>
    <w:rsid w:val="005E235D"/>
    <w:rsid w:val="005E2752"/>
    <w:rsid w:val="005E2C38"/>
    <w:rsid w:val="005E3AFD"/>
    <w:rsid w:val="005E482D"/>
    <w:rsid w:val="005E4C55"/>
    <w:rsid w:val="005E7EE4"/>
    <w:rsid w:val="005F081E"/>
    <w:rsid w:val="005F1F90"/>
    <w:rsid w:val="005F2D57"/>
    <w:rsid w:val="005F3ABC"/>
    <w:rsid w:val="005F6A6C"/>
    <w:rsid w:val="00600123"/>
    <w:rsid w:val="006001BD"/>
    <w:rsid w:val="00600465"/>
    <w:rsid w:val="006028CD"/>
    <w:rsid w:val="00603F19"/>
    <w:rsid w:val="00605D4A"/>
    <w:rsid w:val="00611F0D"/>
    <w:rsid w:val="00612214"/>
    <w:rsid w:val="00613C73"/>
    <w:rsid w:val="00615B66"/>
    <w:rsid w:val="0062308E"/>
    <w:rsid w:val="00626801"/>
    <w:rsid w:val="00627680"/>
    <w:rsid w:val="00630306"/>
    <w:rsid w:val="00630690"/>
    <w:rsid w:val="00632D84"/>
    <w:rsid w:val="00633C4F"/>
    <w:rsid w:val="00634E4D"/>
    <w:rsid w:val="0063642C"/>
    <w:rsid w:val="006422CD"/>
    <w:rsid w:val="006434DF"/>
    <w:rsid w:val="00645488"/>
    <w:rsid w:val="00647A4D"/>
    <w:rsid w:val="00652086"/>
    <w:rsid w:val="00653D4F"/>
    <w:rsid w:val="006542C2"/>
    <w:rsid w:val="0065506E"/>
    <w:rsid w:val="00656C33"/>
    <w:rsid w:val="00656C5C"/>
    <w:rsid w:val="00657169"/>
    <w:rsid w:val="006612ED"/>
    <w:rsid w:val="00661A78"/>
    <w:rsid w:val="00663FDE"/>
    <w:rsid w:val="006642B8"/>
    <w:rsid w:val="006643CD"/>
    <w:rsid w:val="00670A28"/>
    <w:rsid w:val="0068051F"/>
    <w:rsid w:val="006807C9"/>
    <w:rsid w:val="0068248C"/>
    <w:rsid w:val="0068300F"/>
    <w:rsid w:val="006845A1"/>
    <w:rsid w:val="006867D2"/>
    <w:rsid w:val="0069239D"/>
    <w:rsid w:val="0069467F"/>
    <w:rsid w:val="006970C9"/>
    <w:rsid w:val="00697505"/>
    <w:rsid w:val="00697613"/>
    <w:rsid w:val="006979E9"/>
    <w:rsid w:val="006A140B"/>
    <w:rsid w:val="006A3319"/>
    <w:rsid w:val="006A6EB0"/>
    <w:rsid w:val="006B2CF3"/>
    <w:rsid w:val="006B377E"/>
    <w:rsid w:val="006B4574"/>
    <w:rsid w:val="006B488C"/>
    <w:rsid w:val="006B4CBB"/>
    <w:rsid w:val="006B553E"/>
    <w:rsid w:val="006C0094"/>
    <w:rsid w:val="006C21D1"/>
    <w:rsid w:val="006C3441"/>
    <w:rsid w:val="006C5594"/>
    <w:rsid w:val="006D38F5"/>
    <w:rsid w:val="006D5EA0"/>
    <w:rsid w:val="006D76A6"/>
    <w:rsid w:val="006E16C8"/>
    <w:rsid w:val="006E3EBD"/>
    <w:rsid w:val="006E4628"/>
    <w:rsid w:val="006E5C7D"/>
    <w:rsid w:val="0070254C"/>
    <w:rsid w:val="00702CD2"/>
    <w:rsid w:val="00704352"/>
    <w:rsid w:val="00704455"/>
    <w:rsid w:val="00704647"/>
    <w:rsid w:val="00704A54"/>
    <w:rsid w:val="00704E09"/>
    <w:rsid w:val="007058A7"/>
    <w:rsid w:val="00706276"/>
    <w:rsid w:val="007073FF"/>
    <w:rsid w:val="00711311"/>
    <w:rsid w:val="0071461C"/>
    <w:rsid w:val="00715DC0"/>
    <w:rsid w:val="007163D8"/>
    <w:rsid w:val="00720CC1"/>
    <w:rsid w:val="00720FD3"/>
    <w:rsid w:val="00721320"/>
    <w:rsid w:val="0072155B"/>
    <w:rsid w:val="00722FDF"/>
    <w:rsid w:val="00723229"/>
    <w:rsid w:val="0072411B"/>
    <w:rsid w:val="007256FE"/>
    <w:rsid w:val="007258B4"/>
    <w:rsid w:val="00725A02"/>
    <w:rsid w:val="00736912"/>
    <w:rsid w:val="00736A66"/>
    <w:rsid w:val="00737647"/>
    <w:rsid w:val="00741FC0"/>
    <w:rsid w:val="00743CB4"/>
    <w:rsid w:val="00745880"/>
    <w:rsid w:val="00751576"/>
    <w:rsid w:val="00751C0A"/>
    <w:rsid w:val="0075249F"/>
    <w:rsid w:val="00754826"/>
    <w:rsid w:val="00757E34"/>
    <w:rsid w:val="00760974"/>
    <w:rsid w:val="007615B1"/>
    <w:rsid w:val="00762CC8"/>
    <w:rsid w:val="00762E2A"/>
    <w:rsid w:val="007643C9"/>
    <w:rsid w:val="007710C7"/>
    <w:rsid w:val="00772097"/>
    <w:rsid w:val="007728E5"/>
    <w:rsid w:val="00773A4F"/>
    <w:rsid w:val="007746F1"/>
    <w:rsid w:val="007766FC"/>
    <w:rsid w:val="00776BDE"/>
    <w:rsid w:val="00777279"/>
    <w:rsid w:val="0078184A"/>
    <w:rsid w:val="007818E0"/>
    <w:rsid w:val="00783103"/>
    <w:rsid w:val="007839C8"/>
    <w:rsid w:val="00783ED2"/>
    <w:rsid w:val="007875B7"/>
    <w:rsid w:val="0079079C"/>
    <w:rsid w:val="007941E4"/>
    <w:rsid w:val="007943F0"/>
    <w:rsid w:val="00794E10"/>
    <w:rsid w:val="007A02E3"/>
    <w:rsid w:val="007A2682"/>
    <w:rsid w:val="007A27E6"/>
    <w:rsid w:val="007A2CF9"/>
    <w:rsid w:val="007A2FEF"/>
    <w:rsid w:val="007A3253"/>
    <w:rsid w:val="007A5062"/>
    <w:rsid w:val="007A6319"/>
    <w:rsid w:val="007B235A"/>
    <w:rsid w:val="007B2B22"/>
    <w:rsid w:val="007B5AA0"/>
    <w:rsid w:val="007B619F"/>
    <w:rsid w:val="007B7A47"/>
    <w:rsid w:val="007B7E7A"/>
    <w:rsid w:val="007C4A07"/>
    <w:rsid w:val="007C4AF9"/>
    <w:rsid w:val="007C5C1E"/>
    <w:rsid w:val="007C70AF"/>
    <w:rsid w:val="007D04D7"/>
    <w:rsid w:val="007D0899"/>
    <w:rsid w:val="007D0C33"/>
    <w:rsid w:val="007D249D"/>
    <w:rsid w:val="007D2DCC"/>
    <w:rsid w:val="007D2E37"/>
    <w:rsid w:val="007D4DFC"/>
    <w:rsid w:val="007D6937"/>
    <w:rsid w:val="007D7225"/>
    <w:rsid w:val="007D75B5"/>
    <w:rsid w:val="007D7611"/>
    <w:rsid w:val="007E044A"/>
    <w:rsid w:val="007E07CA"/>
    <w:rsid w:val="007E1206"/>
    <w:rsid w:val="007E12F2"/>
    <w:rsid w:val="007E2720"/>
    <w:rsid w:val="007E3F40"/>
    <w:rsid w:val="007E48BC"/>
    <w:rsid w:val="007E4D60"/>
    <w:rsid w:val="007E4F06"/>
    <w:rsid w:val="007E6154"/>
    <w:rsid w:val="007E6988"/>
    <w:rsid w:val="007F0717"/>
    <w:rsid w:val="007F1444"/>
    <w:rsid w:val="007F34F8"/>
    <w:rsid w:val="007F4190"/>
    <w:rsid w:val="007F630E"/>
    <w:rsid w:val="007F6829"/>
    <w:rsid w:val="00800099"/>
    <w:rsid w:val="00800703"/>
    <w:rsid w:val="00802914"/>
    <w:rsid w:val="00802999"/>
    <w:rsid w:val="008030F6"/>
    <w:rsid w:val="0080588D"/>
    <w:rsid w:val="008072BC"/>
    <w:rsid w:val="00810334"/>
    <w:rsid w:val="0081599D"/>
    <w:rsid w:val="00821337"/>
    <w:rsid w:val="00824A70"/>
    <w:rsid w:val="008256DC"/>
    <w:rsid w:val="00827B4E"/>
    <w:rsid w:val="00827D05"/>
    <w:rsid w:val="00833B30"/>
    <w:rsid w:val="00833BEB"/>
    <w:rsid w:val="0083568B"/>
    <w:rsid w:val="0083649F"/>
    <w:rsid w:val="00836F45"/>
    <w:rsid w:val="00840B37"/>
    <w:rsid w:val="00840F38"/>
    <w:rsid w:val="0084107F"/>
    <w:rsid w:val="008431D6"/>
    <w:rsid w:val="00844A68"/>
    <w:rsid w:val="00845129"/>
    <w:rsid w:val="008458C8"/>
    <w:rsid w:val="00851F0A"/>
    <w:rsid w:val="0085281E"/>
    <w:rsid w:val="00857517"/>
    <w:rsid w:val="00861506"/>
    <w:rsid w:val="00861A77"/>
    <w:rsid w:val="00862A67"/>
    <w:rsid w:val="008635EF"/>
    <w:rsid w:val="00864980"/>
    <w:rsid w:val="00867D8F"/>
    <w:rsid w:val="00870C76"/>
    <w:rsid w:val="00871E24"/>
    <w:rsid w:val="00872A74"/>
    <w:rsid w:val="0087305A"/>
    <w:rsid w:val="0087494E"/>
    <w:rsid w:val="00876010"/>
    <w:rsid w:val="0088418C"/>
    <w:rsid w:val="0088450A"/>
    <w:rsid w:val="00886514"/>
    <w:rsid w:val="00887151"/>
    <w:rsid w:val="00890186"/>
    <w:rsid w:val="008904A3"/>
    <w:rsid w:val="0089290B"/>
    <w:rsid w:val="00893127"/>
    <w:rsid w:val="00895A01"/>
    <w:rsid w:val="0089674B"/>
    <w:rsid w:val="00896F65"/>
    <w:rsid w:val="00897064"/>
    <w:rsid w:val="008A1E7A"/>
    <w:rsid w:val="008A5129"/>
    <w:rsid w:val="008B11B7"/>
    <w:rsid w:val="008B1AB6"/>
    <w:rsid w:val="008B1F05"/>
    <w:rsid w:val="008B2F32"/>
    <w:rsid w:val="008B4311"/>
    <w:rsid w:val="008B7E70"/>
    <w:rsid w:val="008C0E8A"/>
    <w:rsid w:val="008C199C"/>
    <w:rsid w:val="008C3937"/>
    <w:rsid w:val="008D1BFB"/>
    <w:rsid w:val="008D1E19"/>
    <w:rsid w:val="008D2985"/>
    <w:rsid w:val="008D3D7A"/>
    <w:rsid w:val="008D4333"/>
    <w:rsid w:val="008D5756"/>
    <w:rsid w:val="008D627E"/>
    <w:rsid w:val="008E3187"/>
    <w:rsid w:val="008E3232"/>
    <w:rsid w:val="008E4E40"/>
    <w:rsid w:val="008E51A2"/>
    <w:rsid w:val="008E6611"/>
    <w:rsid w:val="008E70A2"/>
    <w:rsid w:val="008F0312"/>
    <w:rsid w:val="008F1355"/>
    <w:rsid w:val="008F1EDF"/>
    <w:rsid w:val="008F25AC"/>
    <w:rsid w:val="008F357D"/>
    <w:rsid w:val="008F53E0"/>
    <w:rsid w:val="008F6B5C"/>
    <w:rsid w:val="008F7E2D"/>
    <w:rsid w:val="009007A6"/>
    <w:rsid w:val="0090182E"/>
    <w:rsid w:val="00904A92"/>
    <w:rsid w:val="00906813"/>
    <w:rsid w:val="00907100"/>
    <w:rsid w:val="009101C6"/>
    <w:rsid w:val="00912008"/>
    <w:rsid w:val="00912DF6"/>
    <w:rsid w:val="0091313B"/>
    <w:rsid w:val="00920050"/>
    <w:rsid w:val="00920769"/>
    <w:rsid w:val="00926790"/>
    <w:rsid w:val="00926DC0"/>
    <w:rsid w:val="00933000"/>
    <w:rsid w:val="0093597F"/>
    <w:rsid w:val="009363D0"/>
    <w:rsid w:val="00937817"/>
    <w:rsid w:val="00937BD3"/>
    <w:rsid w:val="00943299"/>
    <w:rsid w:val="009452BD"/>
    <w:rsid w:val="009500B5"/>
    <w:rsid w:val="00950973"/>
    <w:rsid w:val="00953398"/>
    <w:rsid w:val="009540A2"/>
    <w:rsid w:val="009545EE"/>
    <w:rsid w:val="00954768"/>
    <w:rsid w:val="00955A42"/>
    <w:rsid w:val="0095781F"/>
    <w:rsid w:val="009578C2"/>
    <w:rsid w:val="009601A7"/>
    <w:rsid w:val="00962709"/>
    <w:rsid w:val="0096290B"/>
    <w:rsid w:val="00965A7E"/>
    <w:rsid w:val="00967EFC"/>
    <w:rsid w:val="0097057A"/>
    <w:rsid w:val="00972F98"/>
    <w:rsid w:val="0097555A"/>
    <w:rsid w:val="009762DE"/>
    <w:rsid w:val="00976791"/>
    <w:rsid w:val="00980396"/>
    <w:rsid w:val="00981FFD"/>
    <w:rsid w:val="00983520"/>
    <w:rsid w:val="00984BA0"/>
    <w:rsid w:val="00984EBA"/>
    <w:rsid w:val="00986216"/>
    <w:rsid w:val="0098672D"/>
    <w:rsid w:val="009868B0"/>
    <w:rsid w:val="00986E72"/>
    <w:rsid w:val="009874BA"/>
    <w:rsid w:val="009875D0"/>
    <w:rsid w:val="00987907"/>
    <w:rsid w:val="0099179A"/>
    <w:rsid w:val="00992D80"/>
    <w:rsid w:val="00993A4A"/>
    <w:rsid w:val="009950D0"/>
    <w:rsid w:val="0099594E"/>
    <w:rsid w:val="00997F4C"/>
    <w:rsid w:val="009A14CA"/>
    <w:rsid w:val="009A16B3"/>
    <w:rsid w:val="009A2F04"/>
    <w:rsid w:val="009A31A3"/>
    <w:rsid w:val="009A4D31"/>
    <w:rsid w:val="009A53E9"/>
    <w:rsid w:val="009A6892"/>
    <w:rsid w:val="009A69BE"/>
    <w:rsid w:val="009B0012"/>
    <w:rsid w:val="009B0B12"/>
    <w:rsid w:val="009B1475"/>
    <w:rsid w:val="009B1594"/>
    <w:rsid w:val="009B28A7"/>
    <w:rsid w:val="009B3840"/>
    <w:rsid w:val="009B3DAF"/>
    <w:rsid w:val="009B4C4F"/>
    <w:rsid w:val="009B5D2C"/>
    <w:rsid w:val="009C08A5"/>
    <w:rsid w:val="009C3B35"/>
    <w:rsid w:val="009C4971"/>
    <w:rsid w:val="009C4F8A"/>
    <w:rsid w:val="009C5C87"/>
    <w:rsid w:val="009C5DBF"/>
    <w:rsid w:val="009C6245"/>
    <w:rsid w:val="009C6B55"/>
    <w:rsid w:val="009C6E82"/>
    <w:rsid w:val="009C6FF8"/>
    <w:rsid w:val="009C74FC"/>
    <w:rsid w:val="009C7872"/>
    <w:rsid w:val="009D067A"/>
    <w:rsid w:val="009D0DCC"/>
    <w:rsid w:val="009D0EAD"/>
    <w:rsid w:val="009D2CC0"/>
    <w:rsid w:val="009D4010"/>
    <w:rsid w:val="009D4328"/>
    <w:rsid w:val="009D5243"/>
    <w:rsid w:val="009D59A7"/>
    <w:rsid w:val="009D6843"/>
    <w:rsid w:val="009E18A0"/>
    <w:rsid w:val="009E381B"/>
    <w:rsid w:val="009E405A"/>
    <w:rsid w:val="009E4269"/>
    <w:rsid w:val="009E6B57"/>
    <w:rsid w:val="009F0340"/>
    <w:rsid w:val="009F08B7"/>
    <w:rsid w:val="009F5009"/>
    <w:rsid w:val="009F703B"/>
    <w:rsid w:val="00A01142"/>
    <w:rsid w:val="00A05359"/>
    <w:rsid w:val="00A06F6F"/>
    <w:rsid w:val="00A12464"/>
    <w:rsid w:val="00A12E8D"/>
    <w:rsid w:val="00A132BA"/>
    <w:rsid w:val="00A141F3"/>
    <w:rsid w:val="00A15FC0"/>
    <w:rsid w:val="00A16658"/>
    <w:rsid w:val="00A16663"/>
    <w:rsid w:val="00A2015D"/>
    <w:rsid w:val="00A207C1"/>
    <w:rsid w:val="00A23D91"/>
    <w:rsid w:val="00A2475A"/>
    <w:rsid w:val="00A249AB"/>
    <w:rsid w:val="00A25922"/>
    <w:rsid w:val="00A261AF"/>
    <w:rsid w:val="00A26939"/>
    <w:rsid w:val="00A276DC"/>
    <w:rsid w:val="00A27A0D"/>
    <w:rsid w:val="00A31FD6"/>
    <w:rsid w:val="00A33454"/>
    <w:rsid w:val="00A336DC"/>
    <w:rsid w:val="00A3426E"/>
    <w:rsid w:val="00A34FC4"/>
    <w:rsid w:val="00A35113"/>
    <w:rsid w:val="00A35684"/>
    <w:rsid w:val="00A35B49"/>
    <w:rsid w:val="00A37A96"/>
    <w:rsid w:val="00A40B46"/>
    <w:rsid w:val="00A4294B"/>
    <w:rsid w:val="00A458F8"/>
    <w:rsid w:val="00A47A5F"/>
    <w:rsid w:val="00A5157F"/>
    <w:rsid w:val="00A5165B"/>
    <w:rsid w:val="00A518A1"/>
    <w:rsid w:val="00A51D7E"/>
    <w:rsid w:val="00A51E26"/>
    <w:rsid w:val="00A5230A"/>
    <w:rsid w:val="00A53D05"/>
    <w:rsid w:val="00A55661"/>
    <w:rsid w:val="00A557DB"/>
    <w:rsid w:val="00A55E5F"/>
    <w:rsid w:val="00A61015"/>
    <w:rsid w:val="00A63F34"/>
    <w:rsid w:val="00A704D7"/>
    <w:rsid w:val="00A70EB1"/>
    <w:rsid w:val="00A7115B"/>
    <w:rsid w:val="00A71469"/>
    <w:rsid w:val="00A733A4"/>
    <w:rsid w:val="00A74AD6"/>
    <w:rsid w:val="00A75C14"/>
    <w:rsid w:val="00A76F61"/>
    <w:rsid w:val="00A81A34"/>
    <w:rsid w:val="00A90C20"/>
    <w:rsid w:val="00A942E5"/>
    <w:rsid w:val="00A9439A"/>
    <w:rsid w:val="00A94A8B"/>
    <w:rsid w:val="00A96C50"/>
    <w:rsid w:val="00AA0C34"/>
    <w:rsid w:val="00AA3458"/>
    <w:rsid w:val="00AA3CC6"/>
    <w:rsid w:val="00AA581E"/>
    <w:rsid w:val="00AA5DAD"/>
    <w:rsid w:val="00AA68B9"/>
    <w:rsid w:val="00AA6B43"/>
    <w:rsid w:val="00AB04A3"/>
    <w:rsid w:val="00AB4DCB"/>
    <w:rsid w:val="00AB5121"/>
    <w:rsid w:val="00AB5FF3"/>
    <w:rsid w:val="00AB6F20"/>
    <w:rsid w:val="00AB74C1"/>
    <w:rsid w:val="00AB7C08"/>
    <w:rsid w:val="00AC2176"/>
    <w:rsid w:val="00AC7488"/>
    <w:rsid w:val="00AD170B"/>
    <w:rsid w:val="00AD1BD8"/>
    <w:rsid w:val="00AD2202"/>
    <w:rsid w:val="00AD4DB4"/>
    <w:rsid w:val="00AD5BED"/>
    <w:rsid w:val="00AD6578"/>
    <w:rsid w:val="00AE0CD8"/>
    <w:rsid w:val="00AE1C1E"/>
    <w:rsid w:val="00AE2146"/>
    <w:rsid w:val="00AF14CA"/>
    <w:rsid w:val="00AF1B6D"/>
    <w:rsid w:val="00AF61C9"/>
    <w:rsid w:val="00AF699E"/>
    <w:rsid w:val="00AF6EF3"/>
    <w:rsid w:val="00B002FD"/>
    <w:rsid w:val="00B05459"/>
    <w:rsid w:val="00B05F15"/>
    <w:rsid w:val="00B06485"/>
    <w:rsid w:val="00B10861"/>
    <w:rsid w:val="00B133F5"/>
    <w:rsid w:val="00B136D1"/>
    <w:rsid w:val="00B1395E"/>
    <w:rsid w:val="00B174C5"/>
    <w:rsid w:val="00B179FA"/>
    <w:rsid w:val="00B22BD1"/>
    <w:rsid w:val="00B23D50"/>
    <w:rsid w:val="00B23ED3"/>
    <w:rsid w:val="00B25C3A"/>
    <w:rsid w:val="00B25E11"/>
    <w:rsid w:val="00B268BB"/>
    <w:rsid w:val="00B27DCE"/>
    <w:rsid w:val="00B30193"/>
    <w:rsid w:val="00B30376"/>
    <w:rsid w:val="00B31E2D"/>
    <w:rsid w:val="00B350C0"/>
    <w:rsid w:val="00B3662D"/>
    <w:rsid w:val="00B4045B"/>
    <w:rsid w:val="00B417B7"/>
    <w:rsid w:val="00B42783"/>
    <w:rsid w:val="00B4493B"/>
    <w:rsid w:val="00B45F2F"/>
    <w:rsid w:val="00B5089F"/>
    <w:rsid w:val="00B515AC"/>
    <w:rsid w:val="00B51673"/>
    <w:rsid w:val="00B56240"/>
    <w:rsid w:val="00B571CF"/>
    <w:rsid w:val="00B60721"/>
    <w:rsid w:val="00B6195F"/>
    <w:rsid w:val="00B62D30"/>
    <w:rsid w:val="00B63EF7"/>
    <w:rsid w:val="00B64353"/>
    <w:rsid w:val="00B648E6"/>
    <w:rsid w:val="00B65D19"/>
    <w:rsid w:val="00B66805"/>
    <w:rsid w:val="00B669A5"/>
    <w:rsid w:val="00B66FB1"/>
    <w:rsid w:val="00B71671"/>
    <w:rsid w:val="00B73E81"/>
    <w:rsid w:val="00B77825"/>
    <w:rsid w:val="00B77C0A"/>
    <w:rsid w:val="00B803FE"/>
    <w:rsid w:val="00B82470"/>
    <w:rsid w:val="00B82858"/>
    <w:rsid w:val="00B82A79"/>
    <w:rsid w:val="00B84999"/>
    <w:rsid w:val="00B857BE"/>
    <w:rsid w:val="00B872AE"/>
    <w:rsid w:val="00B94A62"/>
    <w:rsid w:val="00B96300"/>
    <w:rsid w:val="00B97E48"/>
    <w:rsid w:val="00BA0F45"/>
    <w:rsid w:val="00BA3704"/>
    <w:rsid w:val="00BA3B53"/>
    <w:rsid w:val="00BA4D9A"/>
    <w:rsid w:val="00BA55A5"/>
    <w:rsid w:val="00BA5AAE"/>
    <w:rsid w:val="00BB134B"/>
    <w:rsid w:val="00BB2EC6"/>
    <w:rsid w:val="00BB4026"/>
    <w:rsid w:val="00BC1CA3"/>
    <w:rsid w:val="00BC2494"/>
    <w:rsid w:val="00BC2DF0"/>
    <w:rsid w:val="00BC3AAA"/>
    <w:rsid w:val="00BC3B82"/>
    <w:rsid w:val="00BC4933"/>
    <w:rsid w:val="00BC6115"/>
    <w:rsid w:val="00BC7BF8"/>
    <w:rsid w:val="00BD11CB"/>
    <w:rsid w:val="00BD2CC3"/>
    <w:rsid w:val="00BE2856"/>
    <w:rsid w:val="00BE4666"/>
    <w:rsid w:val="00BE6A4E"/>
    <w:rsid w:val="00BE71DC"/>
    <w:rsid w:val="00BE7F3D"/>
    <w:rsid w:val="00BF1B5A"/>
    <w:rsid w:val="00BF22E5"/>
    <w:rsid w:val="00BF35F2"/>
    <w:rsid w:val="00BF384C"/>
    <w:rsid w:val="00BF5EF1"/>
    <w:rsid w:val="00BF76A2"/>
    <w:rsid w:val="00C0309F"/>
    <w:rsid w:val="00C03B53"/>
    <w:rsid w:val="00C055AE"/>
    <w:rsid w:val="00C061CA"/>
    <w:rsid w:val="00C064D3"/>
    <w:rsid w:val="00C06557"/>
    <w:rsid w:val="00C0689A"/>
    <w:rsid w:val="00C12876"/>
    <w:rsid w:val="00C12F50"/>
    <w:rsid w:val="00C14B54"/>
    <w:rsid w:val="00C14C08"/>
    <w:rsid w:val="00C14F25"/>
    <w:rsid w:val="00C15736"/>
    <w:rsid w:val="00C17F44"/>
    <w:rsid w:val="00C218E7"/>
    <w:rsid w:val="00C25905"/>
    <w:rsid w:val="00C2752A"/>
    <w:rsid w:val="00C3062D"/>
    <w:rsid w:val="00C33DE1"/>
    <w:rsid w:val="00C343E1"/>
    <w:rsid w:val="00C3463B"/>
    <w:rsid w:val="00C3516C"/>
    <w:rsid w:val="00C35993"/>
    <w:rsid w:val="00C36B3B"/>
    <w:rsid w:val="00C37AF5"/>
    <w:rsid w:val="00C41A85"/>
    <w:rsid w:val="00C421BA"/>
    <w:rsid w:val="00C4318D"/>
    <w:rsid w:val="00C44D34"/>
    <w:rsid w:val="00C44E6C"/>
    <w:rsid w:val="00C455C7"/>
    <w:rsid w:val="00C4689B"/>
    <w:rsid w:val="00C46D65"/>
    <w:rsid w:val="00C47779"/>
    <w:rsid w:val="00C5034C"/>
    <w:rsid w:val="00C5159E"/>
    <w:rsid w:val="00C53085"/>
    <w:rsid w:val="00C5584D"/>
    <w:rsid w:val="00C55DB8"/>
    <w:rsid w:val="00C63F75"/>
    <w:rsid w:val="00C64FDE"/>
    <w:rsid w:val="00C66867"/>
    <w:rsid w:val="00C67378"/>
    <w:rsid w:val="00C70D6C"/>
    <w:rsid w:val="00C7187F"/>
    <w:rsid w:val="00C718A4"/>
    <w:rsid w:val="00C721C6"/>
    <w:rsid w:val="00C76ADD"/>
    <w:rsid w:val="00C8286D"/>
    <w:rsid w:val="00C82F6D"/>
    <w:rsid w:val="00C8309A"/>
    <w:rsid w:val="00C86C60"/>
    <w:rsid w:val="00C86D99"/>
    <w:rsid w:val="00C87BA9"/>
    <w:rsid w:val="00C9024D"/>
    <w:rsid w:val="00C9026E"/>
    <w:rsid w:val="00C9087D"/>
    <w:rsid w:val="00C90E33"/>
    <w:rsid w:val="00C917A0"/>
    <w:rsid w:val="00C924C2"/>
    <w:rsid w:val="00C9285B"/>
    <w:rsid w:val="00C94F43"/>
    <w:rsid w:val="00C9589F"/>
    <w:rsid w:val="00C95C6C"/>
    <w:rsid w:val="00C96031"/>
    <w:rsid w:val="00C96675"/>
    <w:rsid w:val="00CA051C"/>
    <w:rsid w:val="00CA05CE"/>
    <w:rsid w:val="00CA4676"/>
    <w:rsid w:val="00CA4B79"/>
    <w:rsid w:val="00CA4CBA"/>
    <w:rsid w:val="00CA6BA0"/>
    <w:rsid w:val="00CA7B60"/>
    <w:rsid w:val="00CB0030"/>
    <w:rsid w:val="00CB2162"/>
    <w:rsid w:val="00CB7A9B"/>
    <w:rsid w:val="00CC196E"/>
    <w:rsid w:val="00CC2145"/>
    <w:rsid w:val="00CC5222"/>
    <w:rsid w:val="00CC5470"/>
    <w:rsid w:val="00CC5EEF"/>
    <w:rsid w:val="00CC76C5"/>
    <w:rsid w:val="00CC7C15"/>
    <w:rsid w:val="00CD28EF"/>
    <w:rsid w:val="00CD2D26"/>
    <w:rsid w:val="00CD32A6"/>
    <w:rsid w:val="00CD4263"/>
    <w:rsid w:val="00CD5986"/>
    <w:rsid w:val="00CE01D8"/>
    <w:rsid w:val="00CE03C7"/>
    <w:rsid w:val="00CE0AED"/>
    <w:rsid w:val="00CE35E3"/>
    <w:rsid w:val="00CE3A62"/>
    <w:rsid w:val="00CE78C7"/>
    <w:rsid w:val="00CF02EC"/>
    <w:rsid w:val="00CF2A50"/>
    <w:rsid w:val="00CF3E05"/>
    <w:rsid w:val="00CF5F72"/>
    <w:rsid w:val="00D00F7E"/>
    <w:rsid w:val="00D017C5"/>
    <w:rsid w:val="00D01870"/>
    <w:rsid w:val="00D02C92"/>
    <w:rsid w:val="00D02CFC"/>
    <w:rsid w:val="00D04BC1"/>
    <w:rsid w:val="00D05E8F"/>
    <w:rsid w:val="00D06451"/>
    <w:rsid w:val="00D06BCF"/>
    <w:rsid w:val="00D07A56"/>
    <w:rsid w:val="00D14D1A"/>
    <w:rsid w:val="00D24B16"/>
    <w:rsid w:val="00D26C49"/>
    <w:rsid w:val="00D27828"/>
    <w:rsid w:val="00D33B20"/>
    <w:rsid w:val="00D352A5"/>
    <w:rsid w:val="00D36186"/>
    <w:rsid w:val="00D361CE"/>
    <w:rsid w:val="00D370E0"/>
    <w:rsid w:val="00D37E37"/>
    <w:rsid w:val="00D402CC"/>
    <w:rsid w:val="00D42F65"/>
    <w:rsid w:val="00D44D73"/>
    <w:rsid w:val="00D470B7"/>
    <w:rsid w:val="00D517DE"/>
    <w:rsid w:val="00D5470E"/>
    <w:rsid w:val="00D54DBE"/>
    <w:rsid w:val="00D55E41"/>
    <w:rsid w:val="00D57591"/>
    <w:rsid w:val="00D61C7F"/>
    <w:rsid w:val="00D63CCB"/>
    <w:rsid w:val="00D67137"/>
    <w:rsid w:val="00D67738"/>
    <w:rsid w:val="00D6797C"/>
    <w:rsid w:val="00D71D9F"/>
    <w:rsid w:val="00D72716"/>
    <w:rsid w:val="00D73AE3"/>
    <w:rsid w:val="00D75971"/>
    <w:rsid w:val="00D76DC8"/>
    <w:rsid w:val="00D77074"/>
    <w:rsid w:val="00D77121"/>
    <w:rsid w:val="00D77BDD"/>
    <w:rsid w:val="00D80455"/>
    <w:rsid w:val="00D81B4D"/>
    <w:rsid w:val="00D82A72"/>
    <w:rsid w:val="00D8354E"/>
    <w:rsid w:val="00D8381C"/>
    <w:rsid w:val="00D912C9"/>
    <w:rsid w:val="00D9169B"/>
    <w:rsid w:val="00D92BC6"/>
    <w:rsid w:val="00D92CA8"/>
    <w:rsid w:val="00D955D8"/>
    <w:rsid w:val="00D968B9"/>
    <w:rsid w:val="00D97578"/>
    <w:rsid w:val="00DA02BA"/>
    <w:rsid w:val="00DA0C68"/>
    <w:rsid w:val="00DA649B"/>
    <w:rsid w:val="00DA6D0C"/>
    <w:rsid w:val="00DB3950"/>
    <w:rsid w:val="00DB3C9E"/>
    <w:rsid w:val="00DB4E0D"/>
    <w:rsid w:val="00DB5123"/>
    <w:rsid w:val="00DB665A"/>
    <w:rsid w:val="00DC13E6"/>
    <w:rsid w:val="00DC6D78"/>
    <w:rsid w:val="00DC7C78"/>
    <w:rsid w:val="00DC7E2B"/>
    <w:rsid w:val="00DD03E7"/>
    <w:rsid w:val="00DD278E"/>
    <w:rsid w:val="00DD2850"/>
    <w:rsid w:val="00DD515F"/>
    <w:rsid w:val="00DD6C10"/>
    <w:rsid w:val="00DE14E3"/>
    <w:rsid w:val="00DE2275"/>
    <w:rsid w:val="00DE2B36"/>
    <w:rsid w:val="00DE467A"/>
    <w:rsid w:val="00DE511D"/>
    <w:rsid w:val="00DE5489"/>
    <w:rsid w:val="00DE59E1"/>
    <w:rsid w:val="00DE62C0"/>
    <w:rsid w:val="00DF03E3"/>
    <w:rsid w:val="00DF0D25"/>
    <w:rsid w:val="00DF2193"/>
    <w:rsid w:val="00DF5F88"/>
    <w:rsid w:val="00DF6965"/>
    <w:rsid w:val="00E03E91"/>
    <w:rsid w:val="00E0425A"/>
    <w:rsid w:val="00E049FD"/>
    <w:rsid w:val="00E04A73"/>
    <w:rsid w:val="00E058F2"/>
    <w:rsid w:val="00E06ADB"/>
    <w:rsid w:val="00E07782"/>
    <w:rsid w:val="00E13503"/>
    <w:rsid w:val="00E13880"/>
    <w:rsid w:val="00E13BC8"/>
    <w:rsid w:val="00E15555"/>
    <w:rsid w:val="00E248D0"/>
    <w:rsid w:val="00E25E97"/>
    <w:rsid w:val="00E264F7"/>
    <w:rsid w:val="00E27A4B"/>
    <w:rsid w:val="00E3101C"/>
    <w:rsid w:val="00E321CF"/>
    <w:rsid w:val="00E32746"/>
    <w:rsid w:val="00E345AC"/>
    <w:rsid w:val="00E36C2F"/>
    <w:rsid w:val="00E40F4B"/>
    <w:rsid w:val="00E41148"/>
    <w:rsid w:val="00E426F5"/>
    <w:rsid w:val="00E459FF"/>
    <w:rsid w:val="00E4719D"/>
    <w:rsid w:val="00E500E0"/>
    <w:rsid w:val="00E510F6"/>
    <w:rsid w:val="00E523EF"/>
    <w:rsid w:val="00E5736C"/>
    <w:rsid w:val="00E6074A"/>
    <w:rsid w:val="00E61377"/>
    <w:rsid w:val="00E62548"/>
    <w:rsid w:val="00E66C23"/>
    <w:rsid w:val="00E70328"/>
    <w:rsid w:val="00E735FD"/>
    <w:rsid w:val="00E745F7"/>
    <w:rsid w:val="00E77260"/>
    <w:rsid w:val="00E80166"/>
    <w:rsid w:val="00E839AE"/>
    <w:rsid w:val="00E83FB2"/>
    <w:rsid w:val="00E878F5"/>
    <w:rsid w:val="00E90073"/>
    <w:rsid w:val="00E904E6"/>
    <w:rsid w:val="00E944FE"/>
    <w:rsid w:val="00E9545C"/>
    <w:rsid w:val="00E9571E"/>
    <w:rsid w:val="00E957E1"/>
    <w:rsid w:val="00E95DC0"/>
    <w:rsid w:val="00EA0045"/>
    <w:rsid w:val="00EA0A6E"/>
    <w:rsid w:val="00EA0E30"/>
    <w:rsid w:val="00EA484F"/>
    <w:rsid w:val="00EA69E7"/>
    <w:rsid w:val="00EB12C5"/>
    <w:rsid w:val="00EB29AF"/>
    <w:rsid w:val="00EB3875"/>
    <w:rsid w:val="00EB4DBA"/>
    <w:rsid w:val="00EB5B41"/>
    <w:rsid w:val="00EB7DEF"/>
    <w:rsid w:val="00EC11B1"/>
    <w:rsid w:val="00EC4717"/>
    <w:rsid w:val="00EC5751"/>
    <w:rsid w:val="00ED079C"/>
    <w:rsid w:val="00ED0F94"/>
    <w:rsid w:val="00ED2E12"/>
    <w:rsid w:val="00ED3A1C"/>
    <w:rsid w:val="00ED5195"/>
    <w:rsid w:val="00EE26A3"/>
    <w:rsid w:val="00EE365E"/>
    <w:rsid w:val="00EE59FA"/>
    <w:rsid w:val="00EE627F"/>
    <w:rsid w:val="00EF03EE"/>
    <w:rsid w:val="00EF2A91"/>
    <w:rsid w:val="00EF3837"/>
    <w:rsid w:val="00EF4DD3"/>
    <w:rsid w:val="00EF4EEF"/>
    <w:rsid w:val="00EF5CBD"/>
    <w:rsid w:val="00EF6520"/>
    <w:rsid w:val="00EF790D"/>
    <w:rsid w:val="00EF79CE"/>
    <w:rsid w:val="00F034AA"/>
    <w:rsid w:val="00F0469F"/>
    <w:rsid w:val="00F11A37"/>
    <w:rsid w:val="00F11C8E"/>
    <w:rsid w:val="00F13820"/>
    <w:rsid w:val="00F142F0"/>
    <w:rsid w:val="00F154F1"/>
    <w:rsid w:val="00F169BB"/>
    <w:rsid w:val="00F206F7"/>
    <w:rsid w:val="00F218A6"/>
    <w:rsid w:val="00F22A96"/>
    <w:rsid w:val="00F274D0"/>
    <w:rsid w:val="00F33179"/>
    <w:rsid w:val="00F36F37"/>
    <w:rsid w:val="00F37120"/>
    <w:rsid w:val="00F40C7D"/>
    <w:rsid w:val="00F43856"/>
    <w:rsid w:val="00F45756"/>
    <w:rsid w:val="00F459A8"/>
    <w:rsid w:val="00F474B3"/>
    <w:rsid w:val="00F4788B"/>
    <w:rsid w:val="00F55069"/>
    <w:rsid w:val="00F5619F"/>
    <w:rsid w:val="00F56F28"/>
    <w:rsid w:val="00F6075F"/>
    <w:rsid w:val="00F60E76"/>
    <w:rsid w:val="00F61A7F"/>
    <w:rsid w:val="00F64217"/>
    <w:rsid w:val="00F64CDA"/>
    <w:rsid w:val="00F67205"/>
    <w:rsid w:val="00F73F76"/>
    <w:rsid w:val="00F7471C"/>
    <w:rsid w:val="00F75211"/>
    <w:rsid w:val="00F75E23"/>
    <w:rsid w:val="00F77AB3"/>
    <w:rsid w:val="00F81C9A"/>
    <w:rsid w:val="00F8203E"/>
    <w:rsid w:val="00F8236C"/>
    <w:rsid w:val="00F82525"/>
    <w:rsid w:val="00F82A75"/>
    <w:rsid w:val="00F8565D"/>
    <w:rsid w:val="00F907E1"/>
    <w:rsid w:val="00F90B20"/>
    <w:rsid w:val="00F93FB7"/>
    <w:rsid w:val="00F96A2E"/>
    <w:rsid w:val="00F970D9"/>
    <w:rsid w:val="00FA030C"/>
    <w:rsid w:val="00FA0533"/>
    <w:rsid w:val="00FA08FD"/>
    <w:rsid w:val="00FA0F37"/>
    <w:rsid w:val="00FA2624"/>
    <w:rsid w:val="00FA4637"/>
    <w:rsid w:val="00FA514D"/>
    <w:rsid w:val="00FB199B"/>
    <w:rsid w:val="00FB246F"/>
    <w:rsid w:val="00FB24FF"/>
    <w:rsid w:val="00FB2CA2"/>
    <w:rsid w:val="00FB500E"/>
    <w:rsid w:val="00FB5236"/>
    <w:rsid w:val="00FB52EE"/>
    <w:rsid w:val="00FC24FD"/>
    <w:rsid w:val="00FC459E"/>
    <w:rsid w:val="00FC486F"/>
    <w:rsid w:val="00FC5E2F"/>
    <w:rsid w:val="00FD1324"/>
    <w:rsid w:val="00FD1CA4"/>
    <w:rsid w:val="00FD3594"/>
    <w:rsid w:val="00FD512E"/>
    <w:rsid w:val="00FD5158"/>
    <w:rsid w:val="00FD7891"/>
    <w:rsid w:val="00FE07A9"/>
    <w:rsid w:val="00FE164B"/>
    <w:rsid w:val="00FE1CC3"/>
    <w:rsid w:val="00FE1FD1"/>
    <w:rsid w:val="00FE2A2C"/>
    <w:rsid w:val="00FE384F"/>
    <w:rsid w:val="00FE5B91"/>
    <w:rsid w:val="00FE7FC0"/>
    <w:rsid w:val="00FF08F8"/>
    <w:rsid w:val="00FF51A3"/>
    <w:rsid w:val="00FF5D17"/>
    <w:rsid w:val="00FF6BE8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695EF"/>
  <w15:chartTrackingRefBased/>
  <w15:docId w15:val="{7D86026B-D934-431A-BDEB-B9160561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A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F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D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0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68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6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F65"/>
  </w:style>
  <w:style w:type="paragraph" w:styleId="Footer">
    <w:name w:val="footer"/>
    <w:basedOn w:val="Normal"/>
    <w:link w:val="FooterChar"/>
    <w:uiPriority w:val="99"/>
    <w:unhideWhenUsed/>
    <w:rsid w:val="00896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65"/>
  </w:style>
  <w:style w:type="paragraph" w:styleId="NoSpacing">
    <w:name w:val="No Spacing"/>
    <w:uiPriority w:val="1"/>
    <w:qFormat/>
    <w:rsid w:val="00D76D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8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footer" Target="footer1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image" Target="media/image6.PNG"/><Relationship Id="rId33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1.PNG"/><Relationship Id="rId29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image" Target="media/image5.PNG"/><Relationship Id="rId32" Type="http://schemas.openxmlformats.org/officeDocument/2006/relationships/hyperlink" Target="about:blank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4.png"/><Relationship Id="rId28" Type="http://schemas.openxmlformats.org/officeDocument/2006/relationships/hyperlink" Target="about:blank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3.png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B238F4E8B5445A9583D214C18B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7B7C0-889E-46EA-B0E4-F0C31A48566F}"/>
      </w:docPartPr>
      <w:docPartBody>
        <w:p w:rsidR="00E14F0A" w:rsidRDefault="00E14F0A" w:rsidP="00E14F0A">
          <w:pPr>
            <w:pStyle w:val="A6B238F4E8B5445A9583D214C18B3E4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0A"/>
    <w:rsid w:val="006B3B66"/>
    <w:rsid w:val="008A3B5F"/>
    <w:rsid w:val="00E1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F0A"/>
    <w:rPr>
      <w:color w:val="808080"/>
    </w:rPr>
  </w:style>
  <w:style w:type="paragraph" w:customStyle="1" w:styleId="CF7469C5E6B04A049DD318F60FC7B429">
    <w:name w:val="CF7469C5E6B04A049DD318F60FC7B429"/>
    <w:rsid w:val="00E14F0A"/>
  </w:style>
  <w:style w:type="paragraph" w:customStyle="1" w:styleId="0D97123A57254BA28A1874F3D62DA725">
    <w:name w:val="0D97123A57254BA28A1874F3D62DA725"/>
    <w:rsid w:val="00E14F0A"/>
  </w:style>
  <w:style w:type="paragraph" w:customStyle="1" w:styleId="A6B238F4E8B5445A9583D214C18B3E48">
    <w:name w:val="A6B238F4E8B5445A9583D214C18B3E48"/>
    <w:rsid w:val="00E14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14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SCIE3241 - Lawrie</dc:creator>
  <cp:keywords/>
  <dc:description/>
  <cp:lastModifiedBy>Tayla Lawrie</cp:lastModifiedBy>
  <cp:revision>3</cp:revision>
  <dcterms:created xsi:type="dcterms:W3CDTF">2020-05-28T08:12:00Z</dcterms:created>
  <dcterms:modified xsi:type="dcterms:W3CDTF">2020-05-28T17:32:00Z</dcterms:modified>
</cp:coreProperties>
</file>