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ebello-lelosa"/>
    <w:p>
      <w:pPr>
        <w:pStyle w:val="Heading1"/>
      </w:pPr>
      <w:r>
        <w:t xml:space="preserve">TEBELLO LELOSA</w:t>
      </w:r>
    </w:p>
    <w:p>
      <w:pPr>
        <w:pStyle w:val="FirstParagraph"/>
      </w:pPr>
      <w:r>
        <w:rPr>
          <w:b/>
          <w:bCs/>
        </w:rPr>
        <w:t xml:space="preserve">Operations Foreman | Operations / Supply Chain Leader | Project &amp; Manufacturing Professional</w:t>
      </w:r>
    </w:p>
    <w:p>
      <w:pPr>
        <w:pStyle w:val="BodyText"/>
      </w:pPr>
      <w:r>
        <w:t xml:space="preserve">Phone: 078 481 8711 | Email: tlelosa@gmail.com</w:t>
      </w:r>
      <w:r>
        <w:br/>
      </w:r>
      <w:r>
        <w:t xml:space="preserve">LinkedIn: linkedin.com/in/tebello-lelosa-45613a26</w:t>
      </w:r>
      <w:r>
        <w:br/>
      </w:r>
      <w:r>
        <w:t xml:space="preserve">Location: Johannesburg South, Gauteng, 2190</w:t>
      </w:r>
      <w:r>
        <w:br/>
      </w:r>
      <w:r>
        <w:t xml:space="preserve">Citizenship: South African | BEE | Driver’s Licence: Code 8 (Own Vehicle) | Notice Period: 30 days</w:t>
      </w:r>
    </w:p>
    <w:p>
      <w:r>
        <w:pict>
          <v:rect style="width:0;height:1.5pt" o:hralign="center" o:hrstd="t" o:hr="t"/>
        </w:pict>
      </w:r>
    </w:p>
    <w:bookmarkStart w:id="9" w:name="professional-summary"/>
    <w:p>
      <w:pPr>
        <w:pStyle w:val="Heading2"/>
      </w:pPr>
      <w:r>
        <w:t xml:space="preserve">PROFESSIONAL SUMMARY</w:t>
      </w:r>
    </w:p>
    <w:p>
      <w:pPr>
        <w:pStyle w:val="FirstParagraph"/>
      </w:pPr>
      <w:r>
        <w:t xml:space="preserve">Operations and Supply Chain leader with 19+ years of experience across manufacturing operations, production planning, inventory management, and engineering project environments. Currently Operations Foreman at FanMovement, supervising workshop production execution and coordinating workflow between engineering, procurement, stores, and production to maintain safe, uninterrupted output.</w:t>
      </w:r>
    </w:p>
    <w:p>
      <w:pPr>
        <w:pStyle w:val="BodyText"/>
      </w:pPr>
      <w:r>
        <w:t xml:space="preserve">Recognised for a strong performance trajectory (five promotions from CNC Programmer to Operations Foreman), combining hands-on shop-floor leadership with disciplined planning, stakeholder coordination, and governance. Experienced in S&amp;OP support, capacity and materials planning, stocktake leadership, supplier negotiation, and KPI reporting across multi-site operations.</w:t>
      </w:r>
    </w:p>
    <w:p>
      <w:r>
        <w:pict>
          <v:rect style="width:0;height:1.5pt" o:hralign="center" o:hrstd="t" o:hr="t"/>
        </w:pict>
      </w:r>
    </w:p>
    <w:bookmarkEnd w:id="9"/>
    <w:bookmarkStart w:id="10" w:name="core-competencies"/>
    <w:p>
      <w:pPr>
        <w:pStyle w:val="Heading2"/>
      </w:pPr>
      <w:r>
        <w:t xml:space="preserve">CORE COMPETENCIES</w:t>
      </w:r>
    </w:p>
    <w:p>
      <w:pPr>
        <w:pStyle w:val="FirstParagraph"/>
      </w:pPr>
      <w:r>
        <w:rPr>
          <w:b/>
          <w:bCs/>
        </w:rPr>
        <w:t xml:space="preserve">Operations Leadership</w:t>
      </w:r>
      <w:r>
        <w:t xml:space="preserve"> </w:t>
      </w:r>
      <w:r>
        <w:t xml:space="preserve">| Workshop / Plant Operations | Production Workflow Coordination | Team Leadership | Safety, Quality &amp; Compliance | Continuous Improvement Mindset | Root Cause Problem Solving | Executive Reporting</w:t>
      </w:r>
    </w:p>
    <w:p>
      <w:pPr>
        <w:pStyle w:val="BodyText"/>
      </w:pPr>
      <w:r>
        <w:rPr>
          <w:b/>
          <w:bCs/>
        </w:rPr>
        <w:t xml:space="preserve">Production Planning &amp; Control</w:t>
      </w:r>
      <w:r>
        <w:t xml:space="preserve"> </w:t>
      </w:r>
      <w:r>
        <w:t xml:space="preserve">| Capacity Planning | Scheduling (Pre-Actor) | Materials Planning | BOMs &amp; Routings | Plan vs Actual Monitoring | OTD / Delivery Discipline</w:t>
      </w:r>
    </w:p>
    <w:p>
      <w:pPr>
        <w:pStyle w:val="BodyText"/>
      </w:pPr>
      <w:r>
        <w:rPr>
          <w:b/>
          <w:bCs/>
        </w:rPr>
        <w:t xml:space="preserve">Supply Chain &amp; Procurement</w:t>
      </w:r>
      <w:r>
        <w:t xml:space="preserve"> </w:t>
      </w:r>
      <w:r>
        <w:t xml:space="preserve">| Inventory Management | Stock Movement Control | Strategic Sourcing | Supplier Negotiation | Stocktake Leadership (Multi-site) | Working Capital Awareness | Logistics Coordination</w:t>
      </w:r>
    </w:p>
    <w:p>
      <w:pPr>
        <w:pStyle w:val="BodyText"/>
      </w:pPr>
      <w:r>
        <w:rPr>
          <w:b/>
          <w:bCs/>
        </w:rPr>
        <w:t xml:space="preserve">Project &amp; Stakeholder Management</w:t>
      </w:r>
      <w:r>
        <w:t xml:space="preserve"> </w:t>
      </w:r>
      <w:r>
        <w:t xml:space="preserve">| Cross-Functional Coordination | Client / Stakeholder Engagement | Risk Mitigation | Documentation Discipline | ERP/CRM Administration (Microsoft Dynamics AX / CRM)</w:t>
      </w:r>
    </w:p>
    <w:p>
      <w:r>
        <w:pict>
          <v:rect style="width:0;height:1.5pt" o:hralign="center" o:hrstd="t" o:hr="t"/>
        </w:pict>
      </w:r>
    </w:p>
    <w:bookmarkEnd w:id="10"/>
    <w:bookmarkStart w:id="20" w:name="professional-experience"/>
    <w:p>
      <w:pPr>
        <w:pStyle w:val="Heading2"/>
      </w:pPr>
      <w:r>
        <w:t xml:space="preserve">PROFESSIONAL EXPERIENCE</w:t>
      </w:r>
    </w:p>
    <w:bookmarkStart w:id="11" w:name="operations-foreman"/>
    <w:p>
      <w:pPr>
        <w:pStyle w:val="Heading3"/>
      </w:pPr>
      <w:r>
        <w:t xml:space="preserve">Operations Foreman</w:t>
      </w:r>
    </w:p>
    <w:p>
      <w:pPr>
        <w:pStyle w:val="FirstParagraph"/>
      </w:pPr>
      <w:r>
        <w:rPr>
          <w:b/>
          <w:bCs/>
        </w:rPr>
        <w:t xml:space="preserve">FanMovement (Pty) Ltd</w:t>
      </w:r>
      <w:r>
        <w:t xml:space="preserve"> </w:t>
      </w:r>
      <w:r>
        <w:t xml:space="preserve">| October 2025 – Present</w:t>
      </w:r>
    </w:p>
    <w:p>
      <w:pPr>
        <w:pStyle w:val="Compact"/>
        <w:numPr>
          <w:ilvl w:val="0"/>
          <w:numId w:val="1001"/>
        </w:numPr>
      </w:pPr>
      <w:r>
        <w:t xml:space="preserve">Supervise daily workshop production and operational execution for industrial air and gas movement equipment.</w:t>
      </w:r>
    </w:p>
    <w:p>
      <w:pPr>
        <w:pStyle w:val="Compact"/>
        <w:numPr>
          <w:ilvl w:val="0"/>
          <w:numId w:val="1001"/>
        </w:numPr>
      </w:pPr>
      <w:r>
        <w:t xml:space="preserve">Coordinate operational workflow between engineering, production, procurement, and stores to prevent delays.</w:t>
      </w:r>
    </w:p>
    <w:p>
      <w:pPr>
        <w:pStyle w:val="Compact"/>
        <w:numPr>
          <w:ilvl w:val="0"/>
          <w:numId w:val="1001"/>
        </w:numPr>
      </w:pPr>
      <w:r>
        <w:t xml:space="preserve">Monitor inventory levels, material availability, and stock movement to maintain uninterrupted production.</w:t>
      </w:r>
    </w:p>
    <w:p>
      <w:pPr>
        <w:pStyle w:val="Compact"/>
        <w:numPr>
          <w:ilvl w:val="0"/>
          <w:numId w:val="1001"/>
        </w:numPr>
      </w:pPr>
      <w:r>
        <w:t xml:space="preserve">Support operational planning through materials coordination and task allocation across teams.</w:t>
      </w:r>
    </w:p>
    <w:p>
      <w:pPr>
        <w:pStyle w:val="Compact"/>
        <w:numPr>
          <w:ilvl w:val="0"/>
          <w:numId w:val="1001"/>
        </w:numPr>
      </w:pPr>
      <w:r>
        <w:t xml:space="preserve">Enforce health, safety, and quality standards, driving a disciplined, compliant workshop culture.</w:t>
      </w:r>
    </w:p>
    <w:p>
      <w:pPr>
        <w:pStyle w:val="Compact"/>
        <w:numPr>
          <w:ilvl w:val="0"/>
          <w:numId w:val="1001"/>
        </w:numPr>
      </w:pPr>
      <w:r>
        <w:t xml:space="preserve">Provide operational updates and progress reporting to management.</w:t>
      </w:r>
    </w:p>
    <w:bookmarkEnd w:id="11"/>
    <w:bookmarkStart w:id="12" w:name="project-engineer"/>
    <w:p>
      <w:pPr>
        <w:pStyle w:val="Heading3"/>
      </w:pPr>
      <w:r>
        <w:t xml:space="preserve">Project Engineer</w:t>
      </w:r>
    </w:p>
    <w:p>
      <w:pPr>
        <w:pStyle w:val="FirstParagraph"/>
      </w:pPr>
      <w:r>
        <w:rPr>
          <w:b/>
          <w:bCs/>
        </w:rPr>
        <w:t xml:space="preserve">Howden Africa</w:t>
      </w:r>
      <w:r>
        <w:t xml:space="preserve"> </w:t>
      </w:r>
      <w:r>
        <w:t xml:space="preserve">| May 2023 – March 2024</w:t>
      </w:r>
    </w:p>
    <w:p>
      <w:pPr>
        <w:pStyle w:val="Compact"/>
        <w:numPr>
          <w:ilvl w:val="0"/>
          <w:numId w:val="1002"/>
        </w:numPr>
      </w:pPr>
      <w:r>
        <w:t xml:space="preserve">Coordinated project delivery across engineering, procurement, manufacturing, and supplier networks.</w:t>
      </w:r>
    </w:p>
    <w:p>
      <w:pPr>
        <w:pStyle w:val="Compact"/>
        <w:numPr>
          <w:ilvl w:val="0"/>
          <w:numId w:val="1002"/>
        </w:numPr>
      </w:pPr>
      <w:r>
        <w:t xml:space="preserve">Maintained accurate records in Microsoft AX ERP and CRM systems to support reporting and control.</w:t>
      </w:r>
    </w:p>
    <w:p>
      <w:pPr>
        <w:pStyle w:val="Compact"/>
        <w:numPr>
          <w:ilvl w:val="0"/>
          <w:numId w:val="1002"/>
        </w:numPr>
      </w:pPr>
      <w:r>
        <w:t xml:space="preserve">Attended site meetings and KPI reviews and ensured alignment between stakeholders and delivery.</w:t>
      </w:r>
    </w:p>
    <w:p>
      <w:pPr>
        <w:pStyle w:val="Compact"/>
        <w:numPr>
          <w:ilvl w:val="0"/>
          <w:numId w:val="1002"/>
        </w:numPr>
      </w:pPr>
      <w:r>
        <w:t xml:space="preserve">Monitored outstanding orders and debtors to support financial control and cash flow.</w:t>
      </w:r>
    </w:p>
    <w:bookmarkEnd w:id="12"/>
    <w:bookmarkStart w:id="13" w:name="project-officer"/>
    <w:p>
      <w:pPr>
        <w:pStyle w:val="Heading3"/>
      </w:pPr>
      <w:r>
        <w:t xml:space="preserve">Project Officer</w:t>
      </w:r>
    </w:p>
    <w:p>
      <w:pPr>
        <w:pStyle w:val="FirstParagraph"/>
      </w:pPr>
      <w:r>
        <w:rPr>
          <w:b/>
          <w:bCs/>
        </w:rPr>
        <w:t xml:space="preserve">Polyco (Sustainability &amp; Recycling)</w:t>
      </w:r>
      <w:r>
        <w:t xml:space="preserve"> </w:t>
      </w:r>
      <w:r>
        <w:t xml:space="preserve">| March 2020 – June 2022</w:t>
      </w:r>
    </w:p>
    <w:p>
      <w:pPr>
        <w:pStyle w:val="Compact"/>
        <w:numPr>
          <w:ilvl w:val="0"/>
          <w:numId w:val="1003"/>
        </w:numPr>
      </w:pPr>
      <w:r>
        <w:t xml:space="preserve">Led rollout of 4 static buy-back centres, coordinating procurement, deliveries, and partner performance.</w:t>
      </w:r>
    </w:p>
    <w:p>
      <w:pPr>
        <w:pStyle w:val="Compact"/>
        <w:numPr>
          <w:ilvl w:val="0"/>
          <w:numId w:val="1003"/>
        </w:numPr>
      </w:pPr>
      <w:r>
        <w:t xml:space="preserve">Produced weekly CEO-level status reporting: progress, risks, and mitigation actions.</w:t>
      </w:r>
    </w:p>
    <w:p>
      <w:pPr>
        <w:pStyle w:val="Compact"/>
        <w:numPr>
          <w:ilvl w:val="0"/>
          <w:numId w:val="1003"/>
        </w:numPr>
      </w:pPr>
      <w:r>
        <w:t xml:space="preserve">Coordinated stakeholder engagement with municipalities and community leaders for project success.</w:t>
      </w:r>
    </w:p>
    <w:bookmarkEnd w:id="13"/>
    <w:bookmarkStart w:id="14" w:name="supply-chain-supervisor"/>
    <w:p>
      <w:pPr>
        <w:pStyle w:val="Heading3"/>
      </w:pPr>
      <w:r>
        <w:t xml:space="preserve">Supply Chain Supervisor</w:t>
      </w:r>
    </w:p>
    <w:p>
      <w:pPr>
        <w:pStyle w:val="FirstParagraph"/>
      </w:pPr>
      <w:r>
        <w:rPr>
          <w:b/>
          <w:bCs/>
        </w:rPr>
        <w:t xml:space="preserve">Morgan Advanced Materials</w:t>
      </w:r>
      <w:r>
        <w:t xml:space="preserve"> </w:t>
      </w:r>
      <w:r>
        <w:t xml:space="preserve">| January 2012 – March 2014</w:t>
      </w:r>
    </w:p>
    <w:p>
      <w:pPr>
        <w:pStyle w:val="Compact"/>
        <w:numPr>
          <w:ilvl w:val="0"/>
          <w:numId w:val="1004"/>
        </w:numPr>
      </w:pPr>
      <w:r>
        <w:t xml:space="preserve">Oversaw production planning and material resource planning for Mechanical and Electrical departments.</w:t>
      </w:r>
    </w:p>
    <w:p>
      <w:pPr>
        <w:pStyle w:val="Compact"/>
        <w:numPr>
          <w:ilvl w:val="0"/>
          <w:numId w:val="1004"/>
        </w:numPr>
      </w:pPr>
      <w:r>
        <w:t xml:space="preserve">Facilitated Sales &amp; Operations Planning (S&amp;OP), aligning demand, capacity, and inventory targets.</w:t>
      </w:r>
    </w:p>
    <w:p>
      <w:pPr>
        <w:pStyle w:val="Compact"/>
        <w:numPr>
          <w:ilvl w:val="0"/>
          <w:numId w:val="1004"/>
        </w:numPr>
      </w:pPr>
      <w:r>
        <w:t xml:space="preserve">Forecasted material requirements and performed sales-to-budget gap analysis for early interventions.</w:t>
      </w:r>
    </w:p>
    <w:p>
      <w:pPr>
        <w:pStyle w:val="Compact"/>
        <w:numPr>
          <w:ilvl w:val="0"/>
          <w:numId w:val="1004"/>
        </w:numPr>
      </w:pPr>
      <w:r>
        <w:t xml:space="preserve">Planned and executed bi-annual stocktakes across 4 manufacturing sites, ensuring inventory accuracy.</w:t>
      </w:r>
    </w:p>
    <w:p>
      <w:pPr>
        <w:pStyle w:val="Compact"/>
        <w:numPr>
          <w:ilvl w:val="0"/>
          <w:numId w:val="1004"/>
        </w:numPr>
      </w:pPr>
      <w:r>
        <w:t xml:space="preserve">Sourced alternative suppliers to reduce procurement costs and mitigate supply risk.</w:t>
      </w:r>
    </w:p>
    <w:p>
      <w:pPr>
        <w:pStyle w:val="Compact"/>
        <w:numPr>
          <w:ilvl w:val="0"/>
          <w:numId w:val="1004"/>
        </w:numPr>
      </w:pPr>
      <w:r>
        <w:t xml:space="preserve">Managed inventory turnover and implemented stock-out prevention measures, improving on-time delivery.</w:t>
      </w:r>
    </w:p>
    <w:p>
      <w:pPr>
        <w:pStyle w:val="Compact"/>
        <w:numPr>
          <w:ilvl w:val="0"/>
          <w:numId w:val="1004"/>
        </w:numPr>
      </w:pPr>
      <w:r>
        <w:t xml:space="preserve">Reported RTP (Requirements to Plan) and total inventory value to management.</w:t>
      </w:r>
    </w:p>
    <w:bookmarkEnd w:id="14"/>
    <w:bookmarkStart w:id="15" w:name="production-planner"/>
    <w:p>
      <w:pPr>
        <w:pStyle w:val="Heading3"/>
      </w:pPr>
      <w:r>
        <w:t xml:space="preserve">Production Planner</w:t>
      </w:r>
    </w:p>
    <w:p>
      <w:pPr>
        <w:pStyle w:val="FirstParagraph"/>
      </w:pPr>
      <w:r>
        <w:rPr>
          <w:b/>
          <w:bCs/>
        </w:rPr>
        <w:t xml:space="preserve">Morgan Advanced Materials</w:t>
      </w:r>
      <w:r>
        <w:t xml:space="preserve"> </w:t>
      </w:r>
      <w:r>
        <w:t xml:space="preserve">| January 2009 – December 2011</w:t>
      </w:r>
    </w:p>
    <w:p>
      <w:pPr>
        <w:pStyle w:val="Compact"/>
        <w:numPr>
          <w:ilvl w:val="0"/>
          <w:numId w:val="1005"/>
        </w:numPr>
      </w:pPr>
      <w:r>
        <w:t xml:space="preserve">Executed rough cut and finite capacity planning for production schedules across workshop lines.</w:t>
      </w:r>
    </w:p>
    <w:p>
      <w:pPr>
        <w:pStyle w:val="Compact"/>
        <w:numPr>
          <w:ilvl w:val="0"/>
          <w:numId w:val="1005"/>
        </w:numPr>
      </w:pPr>
      <w:r>
        <w:t xml:space="preserve">Scheduled and prioritised manufacturing orders using Pre-Actor production scheduling software.</w:t>
      </w:r>
    </w:p>
    <w:p>
      <w:pPr>
        <w:pStyle w:val="Compact"/>
        <w:numPr>
          <w:ilvl w:val="0"/>
          <w:numId w:val="1005"/>
        </w:numPr>
      </w:pPr>
      <w:r>
        <w:t xml:space="preserve">Built BOMs and Routings for production orders to support accurate planning and costing.</w:t>
      </w:r>
    </w:p>
    <w:p>
      <w:pPr>
        <w:pStyle w:val="Compact"/>
        <w:numPr>
          <w:ilvl w:val="0"/>
          <w:numId w:val="1005"/>
        </w:numPr>
      </w:pPr>
      <w:r>
        <w:t xml:space="preserve">Produced daily/weekly manufacturing plans and monitored execution, resolving bottlenecks proactively.</w:t>
      </w:r>
    </w:p>
    <w:p>
      <w:pPr>
        <w:pStyle w:val="Compact"/>
        <w:numPr>
          <w:ilvl w:val="0"/>
          <w:numId w:val="1005"/>
        </w:numPr>
      </w:pPr>
      <w:r>
        <w:t xml:space="preserve">Expedited urgent orders through re-sequencing and procurement coordination to protect delivery dates.</w:t>
      </w:r>
    </w:p>
    <w:p>
      <w:pPr>
        <w:pStyle w:val="Compact"/>
        <w:numPr>
          <w:ilvl w:val="0"/>
          <w:numId w:val="1005"/>
        </w:numPr>
      </w:pPr>
      <w:r>
        <w:t xml:space="preserve">Conducted materials cost analysis (actual vs planned) to improve future planning accuracy.</w:t>
      </w:r>
    </w:p>
    <w:bookmarkEnd w:id="15"/>
    <w:bookmarkStart w:id="16" w:name="project-engineer-1"/>
    <w:p>
      <w:pPr>
        <w:pStyle w:val="Heading3"/>
      </w:pPr>
      <w:r>
        <w:t xml:space="preserve">Project Engineer</w:t>
      </w:r>
    </w:p>
    <w:p>
      <w:pPr>
        <w:pStyle w:val="FirstParagraph"/>
      </w:pPr>
      <w:r>
        <w:rPr>
          <w:b/>
          <w:bCs/>
        </w:rPr>
        <w:t xml:space="preserve">Howden Africa</w:t>
      </w:r>
      <w:r>
        <w:t xml:space="preserve"> </w:t>
      </w:r>
      <w:r>
        <w:t xml:space="preserve">| January 2018 – June 2019</w:t>
      </w:r>
    </w:p>
    <w:p>
      <w:pPr>
        <w:pStyle w:val="Compact"/>
        <w:numPr>
          <w:ilvl w:val="0"/>
          <w:numId w:val="1006"/>
        </w:numPr>
      </w:pPr>
      <w:r>
        <w:t xml:space="preserve">Managed a high-demand industrial client portfolio with regular site visits and KPI meetings.</w:t>
      </w:r>
    </w:p>
    <w:p>
      <w:pPr>
        <w:pStyle w:val="Compact"/>
        <w:numPr>
          <w:ilvl w:val="0"/>
          <w:numId w:val="1006"/>
        </w:numPr>
      </w:pPr>
      <w:r>
        <w:t xml:space="preserve">Compiled costing sheets and tender submissions, coordinating procurement and supplier engagement.</w:t>
      </w:r>
    </w:p>
    <w:p>
      <w:pPr>
        <w:pStyle w:val="Compact"/>
        <w:numPr>
          <w:ilvl w:val="0"/>
          <w:numId w:val="1006"/>
        </w:numPr>
      </w:pPr>
      <w:r>
        <w:t xml:space="preserve">Maintained SOX compliance and process discipline across procurement and financial controls.</w:t>
      </w:r>
    </w:p>
    <w:bookmarkEnd w:id="16"/>
    <w:bookmarkStart w:id="17" w:name="junior-project-engineer"/>
    <w:p>
      <w:pPr>
        <w:pStyle w:val="Heading3"/>
      </w:pPr>
      <w:r>
        <w:t xml:space="preserve">Junior Project Engineer</w:t>
      </w:r>
    </w:p>
    <w:p>
      <w:pPr>
        <w:pStyle w:val="FirstParagraph"/>
      </w:pPr>
      <w:r>
        <w:rPr>
          <w:b/>
          <w:bCs/>
        </w:rPr>
        <w:t xml:space="preserve">Howden Africa</w:t>
      </w:r>
      <w:r>
        <w:t xml:space="preserve"> </w:t>
      </w:r>
      <w:r>
        <w:t xml:space="preserve">| January 2015 – December 2017</w:t>
      </w:r>
    </w:p>
    <w:p>
      <w:pPr>
        <w:pStyle w:val="Compact"/>
        <w:numPr>
          <w:ilvl w:val="0"/>
          <w:numId w:val="1007"/>
        </w:numPr>
      </w:pPr>
      <w:r>
        <w:t xml:space="preserve">Managed client communication and delivery updates during outages and planned work.</w:t>
      </w:r>
    </w:p>
    <w:p>
      <w:pPr>
        <w:pStyle w:val="Compact"/>
        <w:numPr>
          <w:ilvl w:val="0"/>
          <w:numId w:val="1007"/>
        </w:numPr>
      </w:pPr>
      <w:r>
        <w:t xml:space="preserve">Coordinated enquiry-to-order workflow across engineering, procurement, and logistics teams.</w:t>
      </w:r>
    </w:p>
    <w:p>
      <w:pPr>
        <w:pStyle w:val="Compact"/>
        <w:numPr>
          <w:ilvl w:val="0"/>
          <w:numId w:val="1007"/>
        </w:numPr>
      </w:pPr>
      <w:r>
        <w:t xml:space="preserve">Maintained CRM data integrity and supported debtor follow-up.</w:t>
      </w:r>
    </w:p>
    <w:bookmarkEnd w:id="17"/>
    <w:bookmarkStart w:id="18" w:name="contract-stock-controller"/>
    <w:p>
      <w:pPr>
        <w:pStyle w:val="Heading3"/>
      </w:pPr>
      <w:r>
        <w:t xml:space="preserve">Contract Stock Controller</w:t>
      </w:r>
    </w:p>
    <w:p>
      <w:pPr>
        <w:pStyle w:val="FirstParagraph"/>
      </w:pPr>
      <w:r>
        <w:rPr>
          <w:b/>
          <w:bCs/>
        </w:rPr>
        <w:t xml:space="preserve">Howden Africa</w:t>
      </w:r>
      <w:r>
        <w:t xml:space="preserve"> </w:t>
      </w:r>
      <w:r>
        <w:t xml:space="preserve">| October 2014 – December 2014</w:t>
      </w:r>
    </w:p>
    <w:p>
      <w:pPr>
        <w:pStyle w:val="Compact"/>
        <w:numPr>
          <w:ilvl w:val="0"/>
          <w:numId w:val="1008"/>
        </w:numPr>
      </w:pPr>
      <w:r>
        <w:t xml:space="preserve">Coordinated procurement and logistics of contract stock spares supporting outage readiness.</w:t>
      </w:r>
    </w:p>
    <w:p>
      <w:pPr>
        <w:pStyle w:val="Compact"/>
        <w:numPr>
          <w:ilvl w:val="0"/>
          <w:numId w:val="1008"/>
        </w:numPr>
      </w:pPr>
      <w:r>
        <w:t xml:space="preserve">Developed outage bar charts using Microsoft Project to align manufacturing/procurement timelines.</w:t>
      </w:r>
    </w:p>
    <w:p>
      <w:pPr>
        <w:pStyle w:val="Compact"/>
        <w:numPr>
          <w:ilvl w:val="0"/>
          <w:numId w:val="1008"/>
        </w:numPr>
      </w:pPr>
      <w:r>
        <w:t xml:space="preserve">Ensured QC requirements and health and safety compliance across procurement chain.</w:t>
      </w:r>
    </w:p>
    <w:bookmarkEnd w:id="18"/>
    <w:bookmarkStart w:id="19" w:name="cnc-programmer-operator"/>
    <w:p>
      <w:pPr>
        <w:pStyle w:val="Heading3"/>
      </w:pPr>
      <w:r>
        <w:t xml:space="preserve">CNC Programmer &amp; Operator</w:t>
      </w:r>
    </w:p>
    <w:p>
      <w:pPr>
        <w:pStyle w:val="FirstParagraph"/>
      </w:pPr>
      <w:r>
        <w:rPr>
          <w:b/>
          <w:bCs/>
        </w:rPr>
        <w:t xml:space="preserve">Morgan Advanced Materials</w:t>
      </w:r>
      <w:r>
        <w:t xml:space="preserve"> </w:t>
      </w:r>
      <w:r>
        <w:t xml:space="preserve">| November 2006 – December 2008</w:t>
      </w:r>
    </w:p>
    <w:p>
      <w:pPr>
        <w:pStyle w:val="Compact"/>
        <w:numPr>
          <w:ilvl w:val="0"/>
          <w:numId w:val="1009"/>
        </w:numPr>
      </w:pPr>
      <w:r>
        <w:t xml:space="preserve">Programmed and operated CNC lathes (Fanuc) producing precision components to tight tolerances.</w:t>
      </w:r>
    </w:p>
    <w:p>
      <w:pPr>
        <w:pStyle w:val="Compact"/>
        <w:numPr>
          <w:ilvl w:val="0"/>
          <w:numId w:val="1009"/>
        </w:numPr>
      </w:pPr>
      <w:r>
        <w:t xml:space="preserve">Interpreted technical drawings and collaborated with engineering to resolve issues early.</w:t>
      </w:r>
    </w:p>
    <w:p>
      <w:r>
        <w:pict>
          <v:rect style="width:0;height:1.5pt" o:hralign="center" o:hrstd="t" o:hr="t"/>
        </w:pict>
      </w:r>
    </w:p>
    <w:bookmarkEnd w:id="19"/>
    <w:bookmarkEnd w:id="20"/>
    <w:bookmarkStart w:id="21" w:name="education"/>
    <w:p>
      <w:pPr>
        <w:pStyle w:val="Heading2"/>
      </w:pPr>
      <w:r>
        <w:t xml:space="preserve">EDUCATION</w:t>
      </w:r>
    </w:p>
    <w:p>
      <w:pPr>
        <w:pStyle w:val="FirstParagraph"/>
      </w:pPr>
      <w:r>
        <w:rPr>
          <w:b/>
          <w:bCs/>
        </w:rPr>
        <w:t xml:space="preserve">National Diploma: Engineering (Mechanical)</w:t>
      </w:r>
      <w:r>
        <w:br/>
      </w:r>
      <w:r>
        <w:t xml:space="preserve">Tshwane University of Technology | 2003 – 2008</w:t>
      </w:r>
    </w:p>
    <w:p>
      <w:pPr>
        <w:pStyle w:val="BodyText"/>
      </w:pPr>
      <w:r>
        <w:rPr>
          <w:b/>
          <w:bCs/>
        </w:rPr>
        <w:t xml:space="preserve">Matric (Grade 12)</w:t>
      </w:r>
      <w:r>
        <w:br/>
      </w:r>
      <w:r>
        <w:t xml:space="preserve">Harvest Christian School | 2002</w:t>
      </w:r>
    </w:p>
    <w:p>
      <w:r>
        <w:pict>
          <v:rect style="width:0;height:1.5pt" o:hralign="center" o:hrstd="t" o:hr="t"/>
        </w:pict>
      </w:r>
    </w:p>
    <w:bookmarkEnd w:id="21"/>
    <w:bookmarkStart w:id="22" w:name="certifications-training"/>
    <w:p>
      <w:pPr>
        <w:pStyle w:val="Heading2"/>
      </w:pPr>
      <w:r>
        <w:t xml:space="preserve">CERTIFICATIONS &amp; TRAINING</w:t>
      </w:r>
    </w:p>
    <w:p>
      <w:pPr>
        <w:pStyle w:val="Compact"/>
        <w:numPr>
          <w:ilvl w:val="0"/>
          <w:numId w:val="1010"/>
        </w:numPr>
      </w:pPr>
      <w:r>
        <w:rPr>
          <w:b/>
          <w:bCs/>
        </w:rPr>
        <w:t xml:space="preserve">DuPont Safety Training Observation Program</w:t>
      </w:r>
      <w:r>
        <w:t xml:space="preserve"> </w:t>
      </w:r>
      <w:r>
        <w:t xml:space="preserve">| 2010</w:t>
      </w:r>
      <w:r>
        <w:br/>
      </w:r>
    </w:p>
    <w:p>
      <w:pPr>
        <w:pStyle w:val="Compact"/>
        <w:numPr>
          <w:ilvl w:val="0"/>
          <w:numId w:val="1010"/>
        </w:numPr>
      </w:pPr>
      <w:r>
        <w:rPr>
          <w:b/>
          <w:bCs/>
        </w:rPr>
        <w:t xml:space="preserve">CAD – Pro Engineer Wildfire 3.0</w:t>
      </w:r>
      <w:r>
        <w:t xml:space="preserve"> </w:t>
      </w:r>
      <w:r>
        <w:t xml:space="preserve">| Product One | 2008</w:t>
      </w:r>
      <w:r>
        <w:br/>
      </w:r>
    </w:p>
    <w:p>
      <w:pPr>
        <w:pStyle w:val="Compact"/>
        <w:numPr>
          <w:ilvl w:val="0"/>
          <w:numId w:val="1010"/>
        </w:numPr>
      </w:pPr>
      <w:r>
        <w:rPr>
          <w:b/>
          <w:bCs/>
        </w:rPr>
        <w:t xml:space="preserve">Strategic Business Presentations</w:t>
      </w:r>
      <w:r>
        <w:t xml:space="preserve"> </w:t>
      </w:r>
      <w:r>
        <w:t xml:space="preserve">| 2011</w:t>
      </w:r>
      <w:r>
        <w:br/>
      </w:r>
    </w:p>
    <w:p>
      <w:pPr>
        <w:pStyle w:val="Compact"/>
        <w:numPr>
          <w:ilvl w:val="0"/>
          <w:numId w:val="1010"/>
        </w:numPr>
      </w:pPr>
      <w:r>
        <w:rPr>
          <w:b/>
          <w:bCs/>
        </w:rPr>
        <w:t xml:space="preserve">Create a Visually Managed Workplace</w:t>
      </w:r>
      <w:r>
        <w:t xml:space="preserve"> </w:t>
      </w:r>
      <w:r>
        <w:t xml:space="preserve">| 2011</w:t>
      </w:r>
      <w:r>
        <w:br/>
      </w:r>
    </w:p>
    <w:p>
      <w:pPr>
        <w:pStyle w:val="Compact"/>
        <w:numPr>
          <w:ilvl w:val="0"/>
          <w:numId w:val="1010"/>
        </w:numPr>
      </w:pPr>
      <w:r>
        <w:rPr>
          <w:b/>
          <w:bCs/>
        </w:rPr>
        <w:t xml:space="preserve">Essential Assertiveness Skills</w:t>
      </w:r>
      <w:r>
        <w:t xml:space="preserve"> </w:t>
      </w:r>
      <w:r>
        <w:t xml:space="preserve">| 2011</w:t>
      </w:r>
    </w:p>
    <w:p>
      <w:r>
        <w:pict>
          <v:rect style="width:0;height:1.5pt" o:hralign="center" o:hrstd="t" o:hr="t"/>
        </w:pict>
      </w:r>
    </w:p>
    <w:bookmarkEnd w:id="22"/>
    <w:bookmarkStart w:id="23" w:name="technical-skills"/>
    <w:p>
      <w:pPr>
        <w:pStyle w:val="Heading2"/>
      </w:pPr>
      <w:r>
        <w:t xml:space="preserve">TECHNICAL SKILLS</w:t>
      </w:r>
    </w:p>
    <w:p>
      <w:pPr>
        <w:pStyle w:val="FirstParagraph"/>
      </w:pPr>
      <w:r>
        <w:rPr>
          <w:b/>
          <w:bCs/>
        </w:rPr>
        <w:t xml:space="preserve">ERP Systems:</w:t>
      </w:r>
      <w:r>
        <w:t xml:space="preserve"> </w:t>
      </w:r>
      <w:r>
        <w:t xml:space="preserve">Microsoft Dynamics AX, CRM Systems, Macola ES (Exact)</w:t>
      </w:r>
      <w:r>
        <w:br/>
      </w:r>
      <w:r>
        <w:rPr>
          <w:b/>
          <w:bCs/>
        </w:rPr>
        <w:t xml:space="preserve">Planning &amp; Scheduling:</w:t>
      </w:r>
      <w:r>
        <w:t xml:space="preserve"> </w:t>
      </w:r>
      <w:r>
        <w:t xml:space="preserve">Pre-Actor, Microsoft Project</w:t>
      </w:r>
      <w:r>
        <w:br/>
      </w:r>
      <w:r>
        <w:rPr>
          <w:b/>
          <w:bCs/>
        </w:rPr>
        <w:t xml:space="preserve">Reporting &amp; Analysis:</w:t>
      </w:r>
      <w:r>
        <w:t xml:space="preserve"> </w:t>
      </w:r>
      <w:r>
        <w:t xml:space="preserve">Crystal Reports, Microsoft Excel (Advanced)</w:t>
      </w:r>
      <w:r>
        <w:br/>
      </w:r>
      <w:r>
        <w:rPr>
          <w:b/>
          <w:bCs/>
        </w:rPr>
        <w:t xml:space="preserve">CAD Software:</w:t>
      </w:r>
      <w:r>
        <w:t xml:space="preserve"> </w:t>
      </w:r>
      <w:r>
        <w:t xml:space="preserve">Pro Engineer Wildfire 3.0, AutoCAD</w:t>
      </w:r>
      <w:r>
        <w:br/>
      </w:r>
      <w:r>
        <w:rPr>
          <w:b/>
          <w:bCs/>
        </w:rPr>
        <w:t xml:space="preserve">Office Suite:</w:t>
      </w:r>
      <w:r>
        <w:t xml:space="preserve"> </w:t>
      </w:r>
      <w:r>
        <w:t xml:space="preserve">Microsoft Word, Excel, PowerPoint, Outlook</w:t>
      </w:r>
      <w:r>
        <w:br/>
      </w:r>
      <w:r>
        <w:rPr>
          <w:b/>
          <w:bCs/>
        </w:rPr>
        <w:t xml:space="preserve">Programming:</w:t>
      </w:r>
      <w:r>
        <w:t xml:space="preserve"> </w:t>
      </w:r>
      <w:r>
        <w:t xml:space="preserve">Fanuc CNC Programming Language</w:t>
      </w:r>
    </w:p>
    <w:p>
      <w:r>
        <w:pict>
          <v:rect style="width:0;height:1.5pt" o:hralign="center" o:hrstd="t" o:hr="t"/>
        </w:pict>
      </w:r>
    </w:p>
    <w:bookmarkEnd w:id="23"/>
    <w:bookmarkStart w:id="24" w:name="languages"/>
    <w:p>
      <w:pPr>
        <w:pStyle w:val="Heading2"/>
      </w:pPr>
      <w:r>
        <w:t xml:space="preserve">LANGUAGES</w:t>
      </w:r>
    </w:p>
    <w:p>
      <w:pPr>
        <w:pStyle w:val="Compact"/>
        <w:numPr>
          <w:ilvl w:val="0"/>
          <w:numId w:val="1011"/>
        </w:numPr>
      </w:pPr>
      <w:r>
        <w:rPr>
          <w:b/>
          <w:bCs/>
        </w:rPr>
        <w:t xml:space="preserve">Sesotho</w:t>
      </w:r>
      <w:r>
        <w:t xml:space="preserve"> </w:t>
      </w:r>
      <w:r>
        <w:t xml:space="preserve">— Native</w:t>
      </w:r>
      <w:r>
        <w:br/>
      </w:r>
    </w:p>
    <w:p>
      <w:pPr>
        <w:pStyle w:val="Compact"/>
        <w:numPr>
          <w:ilvl w:val="0"/>
          <w:numId w:val="1011"/>
        </w:numPr>
      </w:pPr>
      <w:r>
        <w:rPr>
          <w:b/>
          <w:bCs/>
        </w:rPr>
        <w:t xml:space="preserve">English</w:t>
      </w:r>
      <w:r>
        <w:t xml:space="preserve"> </w:t>
      </w:r>
      <w:r>
        <w:t xml:space="preserve">— Fluent</w:t>
      </w:r>
      <w:r>
        <w:br/>
      </w:r>
    </w:p>
    <w:p>
      <w:pPr>
        <w:pStyle w:val="Compact"/>
        <w:numPr>
          <w:ilvl w:val="0"/>
          <w:numId w:val="1011"/>
        </w:numPr>
      </w:pPr>
      <w:r>
        <w:rPr>
          <w:b/>
          <w:bCs/>
        </w:rPr>
        <w:t xml:space="preserve">Afrikaans</w:t>
      </w:r>
      <w:r>
        <w:t xml:space="preserve"> </w:t>
      </w:r>
      <w:r>
        <w:t xml:space="preserve">— Fluent</w:t>
      </w:r>
      <w:r>
        <w:br/>
      </w:r>
    </w:p>
    <w:p>
      <w:pPr>
        <w:pStyle w:val="Compact"/>
        <w:numPr>
          <w:ilvl w:val="0"/>
          <w:numId w:val="1011"/>
        </w:numPr>
      </w:pPr>
      <w:r>
        <w:rPr>
          <w:b/>
          <w:bCs/>
        </w:rPr>
        <w:t xml:space="preserve">Zulu</w:t>
      </w:r>
      <w:r>
        <w:t xml:space="preserve"> </w:t>
      </w:r>
      <w:r>
        <w:t xml:space="preserve">— Fluent</w:t>
      </w:r>
      <w:r>
        <w:br/>
      </w:r>
    </w:p>
    <w:p>
      <w:pPr>
        <w:pStyle w:val="Compact"/>
        <w:numPr>
          <w:ilvl w:val="0"/>
          <w:numId w:val="1011"/>
        </w:numPr>
      </w:pPr>
      <w:r>
        <w:rPr>
          <w:b/>
          <w:bCs/>
        </w:rPr>
        <w:t xml:space="preserve">Setawana</w:t>
      </w:r>
      <w:r>
        <w:t xml:space="preserve"> </w:t>
      </w:r>
      <w:r>
        <w:t xml:space="preserve">— Conversational</w:t>
      </w:r>
      <w:r>
        <w:br/>
      </w:r>
    </w:p>
    <w:p>
      <w:pPr>
        <w:pStyle w:val="Compact"/>
        <w:numPr>
          <w:ilvl w:val="0"/>
          <w:numId w:val="1011"/>
        </w:numPr>
      </w:pPr>
      <w:r>
        <w:rPr>
          <w:b/>
          <w:bCs/>
        </w:rPr>
        <w:t xml:space="preserve">Sepedi</w:t>
      </w:r>
      <w:r>
        <w:t xml:space="preserve"> </w:t>
      </w:r>
      <w:r>
        <w:t xml:space="preserve">— Conversational</w:t>
      </w:r>
      <w:r>
        <w:br/>
      </w:r>
    </w:p>
    <w:p>
      <w:pPr>
        <w:pStyle w:val="Compact"/>
        <w:numPr>
          <w:ilvl w:val="0"/>
          <w:numId w:val="1011"/>
        </w:numPr>
      </w:pPr>
      <w:r>
        <w:rPr>
          <w:b/>
          <w:bCs/>
        </w:rPr>
        <w:t xml:space="preserve">Xhosa</w:t>
      </w:r>
      <w:r>
        <w:t xml:space="preserve"> </w:t>
      </w:r>
      <w:r>
        <w:t xml:space="preserve">— Conversational</w:t>
      </w:r>
    </w:p>
    <w:p>
      <w:r>
        <w:pict>
          <v:rect style="width:0;height:1.5pt" o:hralign="center" o:hrstd="t" o:hr="t"/>
        </w:pict>
      </w:r>
    </w:p>
    <w:bookmarkEnd w:id="24"/>
    <w:bookmarkStart w:id="25" w:name="references"/>
    <w:p>
      <w:pPr>
        <w:pStyle w:val="Heading2"/>
      </w:pPr>
      <w:r>
        <w:t xml:space="preserve">REFERENCES</w:t>
      </w:r>
    </w:p>
    <w:p>
      <w:pPr>
        <w:pStyle w:val="FirstParagraph"/>
      </w:pPr>
      <w:r>
        <w:t xml:space="preserve">Available on request.</w:t>
      </w:r>
    </w:p>
    <w:bookmarkEnd w:id="25"/>
    <w:bookmarkEnd w:id="26"/>
    <w:sectPr>
      <w:head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7"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TRAE AI</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header" Target="header_watermark.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2026-06-03T18:50:44Z</dcterms:created>
  <dcterms:modified xsi:type="dcterms:W3CDTF">2026-06-03T18:50:44Z</dcterms:modified>
</cp:coreProperties>
</file>

<file path=docProps/custom.xml><?xml version="1.0" encoding="utf-8"?>
<Properties xmlns="http://schemas.openxmlformats.org/officeDocument/2006/custom-properties" xmlns:vt="http://schemas.openxmlformats.org/officeDocument/2006/docPropsVTypes"/>
</file>