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Support &amp; Maintenance SLA Plan</w:t>
      </w:r>
    </w:p>
    <w:p>
      <w:pPr>
        <w:jc w:val="center"/>
      </w:pPr>
      <w:r>
        <w:rPr>
          <w:b/>
          <w:sz w:val="28"/>
        </w:rPr>
        <w:t>Eskom GIT Enterprise Historian Licence, Maintenance &amp; Support (ITT E2142CXMWPR)</w:t>
      </w:r>
    </w:p>
    <w:p>
      <w:r>
        <w:br/>
        <w:t>Prepared by: Foxtrot (Service Delivery Lead)</w:t>
        <w:br/>
        <w:t>Date: 2026-03-13</w:t>
        <w:br/>
      </w:r>
    </w:p>
    <w:p>
      <w:pPr>
        <w:pStyle w:val="Heading1"/>
      </w:pPr>
      <w:r>
        <w:t>1. Service Support Model</w:t>
      </w:r>
    </w:p>
    <w:p>
      <w:r>
        <w:t>This document defines the ITIL-aligned support framework and Service Level Agreement (SLA) for the Enterprise Historian system. It ensures high availability and efficient incident resolution.</w:t>
      </w:r>
    </w:p>
    <w:p>
      <w:pPr>
        <w:pStyle w:val="ListBullet"/>
      </w:pPr>
      <w:r>
        <w:t>Service Hours:</w:t>
      </w:r>
    </w:p>
    <w:p>
      <w:pPr>
        <w:pStyle w:val="ListContinue"/>
      </w:pPr>
      <w:r>
        <w:t>Business Hours (L1 &amp; L2): 08:00 - 17:00 (SAST) Monday - Friday.</w:t>
      </w:r>
    </w:p>
    <w:p>
      <w:pPr>
        <w:pStyle w:val="ListContinue"/>
      </w:pPr>
      <w:r>
        <w:t>After-Hours / 24x7 (L3 &amp; Emergency Incident): Escrow response on critical P1 issues.</w:t>
      </w:r>
    </w:p>
    <w:p>
      <w:pPr>
        <w:pStyle w:val="ListBullet"/>
      </w:pPr>
      <w:r>
        <w:t>Support Tiers:</w:t>
      </w:r>
    </w:p>
    <w:p>
      <w:pPr>
        <w:pStyle w:val="ListContinue"/>
      </w:pPr>
      <w:r>
        <w:t>Tier 1 (Service Desk): First point of contact, triage, and basic troubleshooting.</w:t>
      </w:r>
    </w:p>
    <w:p>
      <w:pPr>
        <w:pStyle w:val="ListContinue"/>
      </w:pPr>
      <w:r>
        <w:t>Tier 2 (Application Support): Advanced diagnosis, configuration issues, data historian queries.</w:t>
      </w:r>
    </w:p>
    <w:p>
      <w:pPr>
        <w:pStyle w:val="ListContinue"/>
      </w:pPr>
      <w:r>
        <w:t>Tier 3 (OEM/Engineering): Bug fixes, patching, critical system down restorations.</w:t>
      </w:r>
    </w:p>
    <w:p>
      <w:pPr>
        <w:pStyle w:val="Heading1"/>
      </w:pPr>
      <w:r>
        <w:t>2. Key Performance Indicators (KPIs) &amp; SLAs</w:t>
      </w:r>
    </w:p>
    <w:p>
      <w:r>
        <w:t>The following SLA targets apply to all registered incidents and problems: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 Level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Target Resolution</w:t>
            </w:r>
          </w:p>
        </w:tc>
        <w:tc>
          <w:tcPr>
            <w:tcW w:type="dxa" w:w="2160"/>
          </w:tcPr>
          <w:p>
            <w:r>
              <w:t>System Availability Target</w:t>
            </w:r>
          </w:p>
        </w:tc>
      </w:tr>
      <w:tr>
        <w:tc>
          <w:tcPr>
            <w:tcW w:type="dxa" w:w="2160"/>
          </w:tcPr>
          <w:p>
            <w:r>
              <w:t>P1 - Critical (System Down)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P2 - High (Major Degradation)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P3 - Medium (Minor Degradation)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 Business Days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P4 - Low (Informational/Request)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t>Operational Level Agreements (OLAs) with internal networking, security, and infrastructure teams will align to support these targets. Maintenance windows are scheduled for Sunday 12:00 AM - 04:00 AM (SAST).</w:t>
      </w:r>
    </w:p>
    <w:p>
      <w:pPr>
        <w:pStyle w:val="Heading1"/>
      </w:pPr>
      <w:r>
        <w:t>3. ITIL Processes Integration</w:t>
      </w:r>
    </w:p>
    <w:p>
      <w:pPr>
        <w:pStyle w:val="ListBullet"/>
      </w:pPr>
      <w:r>
        <w:t>Incident Management:</w:t>
      </w:r>
    </w:p>
    <w:p>
      <w:pPr>
        <w:pStyle w:val="ListContinue"/>
      </w:pPr>
      <w:r>
        <w:t>All incidents are logged in the ITSM tool (ServiceNow or equivalent) and mapped to the configuration item (CI) for the Enterprise Historian. Escalations follow the defined severity and response matrix.</w:t>
      </w:r>
    </w:p>
    <w:p>
      <w:pPr>
        <w:pStyle w:val="ListBullet"/>
      </w:pPr>
      <w:r>
        <w:t>Problem Management:</w:t>
      </w:r>
    </w:p>
    <w:p>
      <w:pPr>
        <w:pStyle w:val="ListContinue"/>
      </w:pPr>
      <w:r>
        <w:t>For recurring P2s or any P1 incident, a formal Root Cause Analysis (RCA) is required within 5 business days, followed by entry into the Known Error Database (KEDB).</w:t>
      </w:r>
    </w:p>
    <w:p>
      <w:pPr>
        <w:pStyle w:val="ListBullet"/>
      </w:pPr>
      <w:r>
        <w:t>Change Management:</w:t>
      </w:r>
    </w:p>
    <w:p>
      <w:pPr>
        <w:pStyle w:val="ListContinue"/>
      </w:pPr>
      <w:r>
        <w:t>All deployments, patches, and version upgrades require Cab (Change Advisory Board) approval. Emergency Changes for P1 restoration bypass CAB but require Post-Implementation Review (PIR).</w:t>
      </w:r>
    </w:p>
    <w:p>
      <w:pPr>
        <w:pStyle w:val="Heading1"/>
      </w:pPr>
      <w:r>
        <w:t>4. Escalation Matrix and Governance</w:t>
      </w:r>
    </w:p>
    <w:p>
      <w:r>
        <w:t>A hierarchical escalation path is established for SLA breaches or impending risks:</w:t>
      </w:r>
    </w:p>
    <w:p>
      <w:r>
        <w:t>L1/L2 Engineer -&gt; Service Delivery Manager -&gt; Project Executive -&gt; Eskom IT/OT Director</w:t>
      </w:r>
    </w:p>
    <w:p>
      <w:pPr>
        <w:pStyle w:val="ListBullet"/>
      </w:pPr>
      <w:r>
        <w:t>Reporting Frequency:</w:t>
      </w:r>
    </w:p>
    <w:p>
      <w:pPr>
        <w:pStyle w:val="ListContinue"/>
      </w:pPr>
      <w:r>
        <w:t>Weekly: Incident volume, SLA breaches, patching compliance.</w:t>
      </w:r>
    </w:p>
    <w:p>
      <w:pPr>
        <w:pStyle w:val="ListContinue"/>
      </w:pPr>
      <w:r>
        <w:t>Monthly: Service Review Meeting (Major incidents, capacity, availability).</w:t>
      </w:r>
    </w:p>
    <w:p>
      <w:pPr>
        <w:pStyle w:val="ListContinue"/>
      </w:pPr>
      <w:r>
        <w:t>Quarterly: Continual Service Improvement (CSI) strategy assessment.</w:t>
      </w:r>
    </w:p>
    <w:p>
      <w:r>
        <w:br w:type="page"/>
      </w:r>
    </w:p>
    <w:p>
      <w:pPr>
        <w:jc w:val="center"/>
      </w:pPr>
      <w:r>
        <w:t>--- END OF SLA PLAN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