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Corporate Safety File &amp; OHS Compliance</w:t>
      </w:r>
    </w:p>
    <w:p/>
    <w:p>
      <w:r>
        <w:t>Prepared by: Hotel (HSE Lead)</w:t>
      </w:r>
    </w:p>
    <w:p>
      <w:pPr>
        <w:pStyle w:val="Heading1"/>
      </w:pPr>
      <w:r>
        <w:t>1. Occupational Health and Safety Policy</w:t>
      </w:r>
    </w:p>
    <w:p>
      <w:r>
        <w:t>We commit to zero harm and full compliance with the OHS Act and Eskom SHE rules.</w:t>
      </w:r>
    </w:p>
    <w:p>
      <w:pPr>
        <w:pStyle w:val="Heading1"/>
      </w:pPr>
      <w:r>
        <w:t>2. Risk Assessments &amp; Safe Work Procedures</w:t>
      </w:r>
    </w:p>
    <w:p>
      <w:r>
        <w:t>Given the software nature of this project, physical HSE risk is limited. Risk assessments have been conducted for onsite surveys.</w:t>
      </w:r>
    </w:p>
    <w:p>
      <w:pPr>
        <w:pStyle w:val="Heading1"/>
      </w:pPr>
      <w:r>
        <w:t>3. Letters of Good Standing</w:t>
      </w:r>
    </w:p>
    <w:p>
      <w:r>
        <w:t>Valid COIDA Letter of Good Standing is enclosed in the final physical binder.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