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 &amp; Monitoring Plan</w:t>
      </w:r>
    </w:p>
    <w:p>
      <w:r>
        <w:t>Eskom GIT Enterprise Historian System</w:t>
        <w:br/>
        <w:t>Prepared by: Delta (Network &amp; Security Engineer)</w:t>
        <w:br/>
        <w:t>Date: 2026-03-13</w:t>
        <w:br/>
      </w:r>
    </w:p>
    <w:p>
      <w:pPr>
        <w:pStyle w:val="Heading1"/>
      </w:pPr>
      <w:r>
        <w:t>1. Centralized Logging Architecture</w:t>
      </w:r>
    </w:p>
    <w:p>
      <w:r>
        <w:t>Security logs from Historian servers, DMZ proxies, and firewalls are forwarded via syslog to a central SIEM platform. Log retention is set to 1 year hotline/cold-line as per Eskom policy.</w:t>
      </w:r>
    </w:p>
    <w:p>
      <w:pPr>
        <w:pStyle w:val="Heading1"/>
      </w:pPr>
      <w:r>
        <w:t>2. Monitored Events and Alerting Configuration</w:t>
      </w:r>
    </w:p>
    <w:p>
      <w:r>
        <w:t>Events configured for immediate alert generation:</w:t>
      </w:r>
    </w:p>
    <w:p>
      <w:pPr>
        <w:pStyle w:val="ListBullet"/>
      </w:pPr>
      <w:r>
        <w:t>Multiple failed login attempts (Brute force detection).</w:t>
      </w:r>
    </w:p>
    <w:p>
      <w:pPr>
        <w:pStyle w:val="ListBullet"/>
      </w:pPr>
      <w:r>
        <w:t>Privilege escalation anomalies.</w:t>
      </w:r>
    </w:p>
    <w:p>
      <w:pPr>
        <w:pStyle w:val="ListBullet"/>
      </w:pPr>
      <w:r>
        <w:t>Firewall rule block threshold exceeded.</w:t>
      </w:r>
    </w:p>
    <w:p>
      <w:pPr>
        <w:pStyle w:val="ListBullet"/>
      </w:pPr>
      <w:r>
        <w:t>Unexpected collector connection drop.</w:t>
      </w:r>
    </w:p>
    <w:p>
      <w:pPr>
        <w:pStyle w:val="ListBullet"/>
      </w:pPr>
      <w:r>
        <w:t>Certificate expiration within 30 days.</w:t>
      </w:r>
    </w:p>
    <w:p>
      <w:pPr>
        <w:pStyle w:val="Heading1"/>
      </w:pPr>
      <w:r>
        <w:t>3. Audit Cadence</w:t>
      </w:r>
    </w:p>
    <w:p>
      <w:r>
        <w:t>Security assessments and vulnerability scanning will be performed monthly. Identified CVEs with CVSS scores &gt; 7.0 will be prioritized and mediated strictly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