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Supplier Development and Localisation (SDL) Compliance</w:t>
      </w:r>
    </w:p>
    <w:p>
      <w:pPr>
        <w:jc w:val="center"/>
      </w:pPr>
      <w:r>
        <w:t>Annexure P - Bidders Template Historian SDL</w:t>
      </w:r>
    </w:p>
    <w:p>
      <w:r>
        <w:br/>
        <w:t>Prepared by: Alpha (Solution Architect)</w:t>
        <w:br/>
        <w:t>Date: 2026-03-13</w:t>
        <w:br/>
      </w:r>
    </w:p>
    <w:p>
      <w:pPr>
        <w:pStyle w:val="Heading1"/>
      </w:pPr>
      <w:r>
        <w:t>1. Executive Overview</w:t>
      </w:r>
    </w:p>
    <w:p>
      <w:r>
        <w:t>This document aligns the technical and operational delivery of the Eskom GIT Enterprise Historian Licence, Maintenance &amp; Support project with the Supplier Development and Localisation (SDL) targets defined in Annexure P.</w:t>
      </w:r>
    </w:p>
    <w:p>
      <w:pPr>
        <w:pStyle w:val="Heading1"/>
      </w:pPr>
      <w:r>
        <w:t>2. Skills Development and Transfer</w:t>
      </w:r>
    </w:p>
    <w:p>
      <w:r>
        <w:t>As part of the implementation, we commit to the following skills development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Eskom Personnel Role</w:t>
            </w:r>
          </w:p>
        </w:tc>
        <w:tc>
          <w:tcPr>
            <w:tcW w:type="dxa" w:w="2880"/>
          </w:tcPr>
          <w:p>
            <w:r>
              <w:t>Training Scope</w:t>
            </w:r>
          </w:p>
        </w:tc>
        <w:tc>
          <w:tcPr>
            <w:tcW w:type="dxa" w:w="2880"/>
          </w:tcPr>
          <w:p>
            <w:r>
              <w:t>Target (No. of Persons)</w:t>
            </w:r>
          </w:p>
        </w:tc>
      </w:tr>
      <w:tr>
        <w:tc>
          <w:tcPr>
            <w:tcW w:type="dxa" w:w="2880"/>
          </w:tcPr>
          <w:p>
            <w:r>
              <w:t>System Administrators</w:t>
            </w:r>
          </w:p>
        </w:tc>
        <w:tc>
          <w:tcPr>
            <w:tcW w:type="dxa" w:w="2880"/>
          </w:tcPr>
          <w:p>
            <w:r>
              <w:t>Enterprise Historian AD integration, Ha/DR administration, backup recovery.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OT Network Engineers</w:t>
            </w:r>
          </w:p>
        </w:tc>
        <w:tc>
          <w:tcPr>
            <w:tcW w:type="dxa" w:w="2880"/>
          </w:tcPr>
          <w:p>
            <w:r>
              <w:t>Connector configuration, telemetry diagnostics, secure tag mapping.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Data Consumers / Analysts</w:t>
            </w:r>
          </w:p>
        </w:tc>
        <w:tc>
          <w:tcPr>
            <w:tcW w:type="dxa" w:w="2880"/>
          </w:tcPr>
          <w:p>
            <w:r>
              <w:t>Report generation, dashboarding, ad-hoc queries.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>
      <w:pPr>
        <w:pStyle w:val="Heading1"/>
      </w:pPr>
      <w:r>
        <w:t>3. Local Content and Sourcing</w:t>
      </w:r>
    </w:p>
    <w:p>
      <w:r>
        <w:t>While the Enterprise Historian core software is a proprietary COTS product developed internationally, 100% of the Implementation, Maintenance, and Support services (representing approximately 40% of the Total Contract Value) will be delivered by local, BBBEE-compliant resources permanently based in South Africa.</w:t>
      </w:r>
    </w:p>
    <w:p>
      <w:pPr>
        <w:pStyle w:val="Heading1"/>
      </w:pPr>
      <w:r>
        <w:t>4. Compliance Statement</w:t>
      </w:r>
    </w:p>
    <w:p>
      <w:r>
        <w:t>We hereby confirm compliance with the SDL criteria required in ITT E2142CXMWPR and agree to regular audits by the Eskom SDL team against these defined targets throughout the contract duration.</w:t>
      </w:r>
    </w:p>
    <w:p>
      <w:r>
        <w:br w:type="page"/>
      </w:r>
    </w:p>
    <w:p>
      <w:pPr>
        <w:jc w:val="center"/>
      </w:pPr>
      <w:r>
        <w:t>--- END OF SDL COMPLIANCE TEMPLATE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