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Conditions of Tender Acceptance</w:t>
      </w:r>
    </w:p>
    <w:p/>
    <w:p>
      <w:r>
        <w:t>Prepared by: Echo (Project Manager) &amp; Juliet (Legal)</w:t>
      </w:r>
    </w:p>
    <w:p>
      <w:pPr>
        <w:pStyle w:val="Heading1"/>
      </w:pPr>
      <w:r>
        <w:t>Standard Conditions Acceptance Statement</w:t>
      </w:r>
    </w:p>
    <w:p>
      <w:r>
        <w:t>We have read and understood the Standard Conditions of Tender as outlined in Annexure T.</w:t>
      </w:r>
    </w:p>
    <w:p>
      <w:r>
        <w:t>We hereby unconditionally accept these conditions, subject only to the specific deviations outlined in our Contractual Response (Annexure L).</w:t>
      </w:r>
    </w:p>
    <w:p>
      <w:pPr>
        <w:pStyle w:val="Heading1"/>
      </w:pPr>
      <w:r>
        <w:t>Signatures</w:t>
      </w:r>
    </w:p>
    <w:p>
      <w:r>
        <w:t>Signed: [E-SIGN] Echo (PM)</w:t>
        <w:br/>
        <w:t>Signed: [E-SIGN] Juliet (Legal)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