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Network Security Design and Rules Matrix</w:t>
      </w:r>
    </w:p>
    <w:p>
      <w:r>
        <w:t>Eskom GIT Enterprise Historian System</w:t>
        <w:br/>
        <w:t>Prepared by: Delta (Network &amp; Security Engineer)</w:t>
        <w:br/>
        <w:t>Date: 2026-03-13</w:t>
        <w:br/>
      </w:r>
    </w:p>
    <w:p>
      <w:pPr>
        <w:pStyle w:val="Heading1"/>
      </w:pPr>
      <w:r>
        <w:t>1. Network Segmentation Strategy</w:t>
      </w:r>
    </w:p>
    <w:p>
      <w:r>
        <w:t>The Enterprise Historian network topography leverages an IT/OT DMZ model based on Purdue Enterprise Reference Architecture (PERA) to strictly enforce segmentation. Firewalls reside between OT, DMZ, and IT zones. Data collectors operate in OT at level 3, pushing data securely through the DMZ (Level 3.5) to the IT Historian (Level 4).</w:t>
      </w:r>
    </w:p>
    <w:p>
      <w:pPr>
        <w:pStyle w:val="Heading1"/>
      </w:pPr>
      <w:r>
        <w:t>2. Firewall Rules Matrix</w:t>
      </w:r>
    </w:p>
    <w:p>
      <w:r>
        <w:t>All firewall rules default to implicit deny. Required communication ports are limited to necessary protocols (OPC UA, MQTT, HTTPS).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Source Zone</w:t>
            </w:r>
          </w:p>
        </w:tc>
        <w:tc>
          <w:tcPr>
            <w:tcW w:type="dxa" w:w="1728"/>
          </w:tcPr>
          <w:p>
            <w:r>
              <w:t>Dest Zone</w:t>
            </w:r>
          </w:p>
        </w:tc>
        <w:tc>
          <w:tcPr>
            <w:tcW w:type="dxa" w:w="1728"/>
          </w:tcPr>
          <w:p>
            <w:r>
              <w:t>Protocol</w:t>
            </w:r>
          </w:p>
        </w:tc>
        <w:tc>
          <w:tcPr>
            <w:tcW w:type="dxa" w:w="1728"/>
          </w:tcPr>
          <w:p>
            <w:r>
              <w:t>Port</w:t>
            </w:r>
          </w:p>
        </w:tc>
        <w:tc>
          <w:tcPr>
            <w:tcW w:type="dxa" w:w="1728"/>
          </w:tcPr>
          <w:p>
            <w:r>
              <w:t>Purpose</w:t>
            </w:r>
          </w:p>
        </w:tc>
      </w:tr>
      <w:tr>
        <w:tc>
          <w:tcPr>
            <w:tcW w:type="dxa" w:w="1728"/>
          </w:tcPr>
          <w:p>
            <w:r>
              <w:t>OT (L3)</w:t>
            </w:r>
          </w:p>
        </w:tc>
        <w:tc>
          <w:tcPr>
            <w:tcW w:type="dxa" w:w="1728"/>
          </w:tcPr>
          <w:p>
            <w:r>
              <w:t>DMZ (L3.5)</w:t>
            </w:r>
          </w:p>
        </w:tc>
        <w:tc>
          <w:tcPr>
            <w:tcW w:type="dxa" w:w="1728"/>
          </w:tcPr>
          <w:p>
            <w:r>
              <w:t>TCP (OPC UA)</w:t>
            </w:r>
          </w:p>
        </w:tc>
        <w:tc>
          <w:tcPr>
            <w:tcW w:type="dxa" w:w="1728"/>
          </w:tcPr>
          <w:p>
            <w:r>
              <w:t>4840</w:t>
            </w:r>
          </w:p>
        </w:tc>
        <w:tc>
          <w:tcPr>
            <w:tcW w:type="dxa" w:w="1728"/>
          </w:tcPr>
          <w:p>
            <w:r>
              <w:t>Collector to DMZ Buffer node</w:t>
            </w:r>
          </w:p>
        </w:tc>
      </w:tr>
      <w:tr>
        <w:tc>
          <w:tcPr>
            <w:tcW w:type="dxa" w:w="1728"/>
          </w:tcPr>
          <w:p>
            <w:r>
              <w:t>DMZ (L3.5)</w:t>
            </w:r>
          </w:p>
        </w:tc>
        <w:tc>
          <w:tcPr>
            <w:tcW w:type="dxa" w:w="1728"/>
          </w:tcPr>
          <w:p>
            <w:r>
              <w:t>IT (L4)</w:t>
            </w:r>
          </w:p>
        </w:tc>
        <w:tc>
          <w:tcPr>
            <w:tcW w:type="dxa" w:w="1728"/>
          </w:tcPr>
          <w:p>
            <w:r>
              <w:t>TCP (HTTPS)</w:t>
            </w:r>
          </w:p>
        </w:tc>
        <w:tc>
          <w:tcPr>
            <w:tcW w:type="dxa" w:w="1728"/>
          </w:tcPr>
          <w:p>
            <w:r>
              <w:t>443</w:t>
            </w:r>
          </w:p>
        </w:tc>
        <w:tc>
          <w:tcPr>
            <w:tcW w:type="dxa" w:w="1728"/>
          </w:tcPr>
          <w:p>
            <w:r>
              <w:t>Buffer node to Central Historian</w:t>
            </w:r>
          </w:p>
        </w:tc>
      </w:tr>
      <w:tr>
        <w:tc>
          <w:tcPr>
            <w:tcW w:type="dxa" w:w="1728"/>
          </w:tcPr>
          <w:p>
            <w:r>
              <w:t>IT (L4)</w:t>
            </w:r>
          </w:p>
        </w:tc>
        <w:tc>
          <w:tcPr>
            <w:tcW w:type="dxa" w:w="1728"/>
          </w:tcPr>
          <w:p>
            <w:r>
              <w:t>DMZ (L3.5)</w:t>
            </w:r>
          </w:p>
        </w:tc>
        <w:tc>
          <w:tcPr>
            <w:tcW w:type="dxa" w:w="1728"/>
          </w:tcPr>
          <w:p>
            <w:r>
              <w:t>TCP/UDP (NTP)</w:t>
            </w:r>
          </w:p>
        </w:tc>
        <w:tc>
          <w:tcPr>
            <w:tcW w:type="dxa" w:w="1728"/>
          </w:tcPr>
          <w:p>
            <w:r>
              <w:t>123</w:t>
            </w:r>
          </w:p>
        </w:tc>
        <w:tc>
          <w:tcPr>
            <w:tcW w:type="dxa" w:w="1728"/>
          </w:tcPr>
          <w:p>
            <w:r>
              <w:t>Time Synchronization</w:t>
            </w:r>
          </w:p>
        </w:tc>
      </w:tr>
      <w:tr>
        <w:tc>
          <w:tcPr>
            <w:tcW w:type="dxa" w:w="1728"/>
          </w:tcPr>
          <w:p>
            <w:r>
              <w:t>IT (L4)</w:t>
            </w:r>
          </w:p>
        </w:tc>
        <w:tc>
          <w:tcPr>
            <w:tcW w:type="dxa" w:w="1728"/>
          </w:tcPr>
          <w:p>
            <w:r>
              <w:t>DMZ (L3.5)</w:t>
            </w:r>
          </w:p>
        </w:tc>
        <w:tc>
          <w:tcPr>
            <w:tcW w:type="dxa" w:w="1728"/>
          </w:tcPr>
          <w:p>
            <w:r>
              <w:t>TCP (LDAPS)</w:t>
            </w:r>
          </w:p>
        </w:tc>
        <w:tc>
          <w:tcPr>
            <w:tcW w:type="dxa" w:w="1728"/>
          </w:tcPr>
          <w:p>
            <w:r>
              <w:t>636</w:t>
            </w:r>
          </w:p>
        </w:tc>
        <w:tc>
          <w:tcPr>
            <w:tcW w:type="dxa" w:w="1728"/>
          </w:tcPr>
          <w:p>
            <w:r>
              <w:t>AD Authentication</w:t>
            </w:r>
          </w:p>
        </w:tc>
      </w:tr>
    </w:tbl>
    <w:p>
      <w:pPr>
        <w:pStyle w:val="Heading1"/>
      </w:pPr>
      <w:r>
        <w:t>3. VPN and Remote Access</w:t>
      </w:r>
    </w:p>
    <w:p>
      <w:r>
        <w:t>Remote vendor access is restricted via bastion hosts. All VPN sessions require Multi-Factor Authentication (MFA) and are strictly monitored with automatic session timeouts.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