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0"/>
        <w:jc w:val="center"/>
      </w:pPr>
      <w:r>
        <w:rPr>
          <w:rFonts w:ascii="Arial" w:cs="Arial" w:eastAsia="Arial" w:hAnsi="Arial"/>
          <w:b/>
          <w:bCs/>
          <w:color w:val="1A2E4A"/>
          <w:sz w:val="64"/>
          <w:szCs w:val="64"/>
        </w:rPr>
        <w:t xml:space="preserve">VENDMO TECH</w:t>
      </w:r>
    </w:p>
    <w:p>
      <w:pPr>
        <w:spacing w:before="100" w:after="0"/>
        <w:jc w:val="center"/>
      </w:pPr>
      <w:r>
        <w:rPr>
          <w:rFonts w:ascii="Arial" w:cs="Arial" w:eastAsia="Arial" w:hAnsi="Arial"/>
          <w:color w:val="2C5F8A"/>
          <w:sz w:val="36"/>
          <w:szCs w:val="36"/>
        </w:rPr>
        <w:t xml:space="preserve">Cybersecurity Audit &amp; Risk Assessment Report</w:t>
      </w:r>
    </w:p>
    <w:p>
      <w:pPr>
        <w:spacing w:before="60" w:after="60"/>
      </w:pPr>
      <w:r>
        <w:t xml:space="preserve"/>
      </w:r>
    </w:p>
    <w:p>
      <w:pPr>
        <w:spacing w:before="0" w:after="0"/>
        <w:jc w:val="center"/>
      </w:pPr>
      <w:r>
        <w:rPr>
          <w:rFonts w:ascii="Arial" w:cs="Arial" w:eastAsia="Arial" w:hAnsi="Arial"/>
          <w:color w:val="2C5F8A"/>
          <w:sz w:val="24"/>
          <w:szCs w:val="24"/>
        </w:rPr>
        <w:t xml:space="preserve">━━━━━━━━━━━━━━━━━━━━━━━━━━━━━━━━━━━━━━━━━━━━━━━━━━━━━━━</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Document Type</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sz w:val="22"/>
                <w:szCs w:val="22"/>
              </w:rPr>
              <w:t xml:space="preserve">Cybersecurity Audit &amp; Risk Assessment Report</w:t>
            </w:r>
          </w:p>
        </w:tc>
      </w:tr>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Classification</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sz w:val="22"/>
                <w:szCs w:val="22"/>
              </w:rPr>
              <w:t xml:space="preserve">CONFIDENTIAL</w:t>
            </w:r>
          </w:p>
        </w:tc>
      </w:tr>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Prepared For</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sz w:val="22"/>
                <w:szCs w:val="22"/>
              </w:rPr>
              <w:t xml:space="preserve">Vendmo Tech – Executive Leadership &amp; Board</w:t>
            </w:r>
          </w:p>
        </w:tc>
      </w:tr>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Prepared By</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sz w:val="22"/>
                <w:szCs w:val="22"/>
              </w:rPr>
              <w:t xml:space="preserve">Information Security Team / External Audit Division</w:t>
            </w:r>
          </w:p>
        </w:tc>
      </w:tr>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Report Version</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sz w:val="22"/>
                <w:szCs w:val="22"/>
              </w:rPr>
              <w:t xml:space="preserve">v1.0 – Final</w:t>
            </w:r>
          </w:p>
        </w:tc>
      </w:tr>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Report Date</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sz w:val="22"/>
                <w:szCs w:val="22"/>
              </w:rPr>
              <w:t xml:space="preserve">March 2026</w:t>
            </w:r>
          </w:p>
        </w:tc>
      </w:tr>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Audit Period</w:t>
            </w:r>
          </w:p>
        </w:tc>
        <w:tc>
          <w:tcPr>
            <w:tcW w:type="dxa" w:w="6360"/>
            <w:tcBorders>
              <w:top w:val="single" w:color="BDC3C7" w:sz="1"/>
              <w:left w:val="single" w:color="BDC3C7" w:sz="1"/>
              <w:bottom w:val="single" w:color="BDC3C7" w:sz="1"/>
              <w:right w:val="single" w:color="BDC3C7" w:sz="1"/>
            </w:tcBorders>
            <w:shd w:fill="FFFFFF" w:val="clear"/>
            <w:tcMar>
              <w:top w:type="dxa" w:w="100"/>
              <w:left w:type="dxa" w:w="140"/>
              <w:bottom w:type="dxa" w:w="100"/>
              <w:right w:type="dxa" w:w="140"/>
            </w:tcMar>
          </w:tcPr>
          <w:p>
            <w:r>
              <w:rPr>
                <w:rFonts w:ascii="Arial" w:cs="Arial" w:eastAsia="Arial" w:hAnsi="Arial"/>
                <w:sz w:val="22"/>
                <w:szCs w:val="22"/>
              </w:rPr>
              <w:t xml:space="preserve">January 2026 – March 2026</w:t>
            </w:r>
          </w:p>
        </w:tc>
      </w:tr>
      <w:tr>
        <w:tc>
          <w:tcPr>
            <w:tcW w:type="dxa" w:w="3000"/>
            <w:tcBorders>
              <w:top w:val="single" w:color="BDC3C7" w:sz="1"/>
              <w:left w:val="single" w:color="BDC3C7" w:sz="1"/>
              <w:bottom w:val="single" w:color="BDC3C7" w:sz="1"/>
              <w:right w:val="single" w:color="BDC3C7" w:sz="1"/>
            </w:tcBorders>
            <w:shd w:fill="D6E4F0" w:val="clear"/>
            <w:tcMar>
              <w:top w:type="dxa" w:w="100"/>
              <w:left w:type="dxa" w:w="140"/>
              <w:bottom w:type="dxa" w:w="100"/>
              <w:right w:type="dxa" w:w="140"/>
            </w:tcMar>
          </w:tcPr>
          <w:p>
            <w:r>
              <w:rPr>
                <w:rFonts w:ascii="Arial" w:cs="Arial" w:eastAsia="Arial" w:hAnsi="Arial"/>
                <w:b/>
                <w:bCs/>
                <w:color w:val="1A2E4A"/>
                <w:sz w:val="22"/>
                <w:szCs w:val="22"/>
              </w:rPr>
              <w:t xml:space="preserve">Frameworks</w:t>
            </w:r>
          </w:p>
        </w:tc>
        <w:tc>
          <w:tcPr>
            <w:tcW w:type="dxa" w:w="6360"/>
            <w:tcBorders>
              <w:top w:val="single" w:color="BDC3C7" w:sz="1"/>
              <w:left w:val="single" w:color="BDC3C7" w:sz="1"/>
              <w:bottom w:val="single" w:color="BDC3C7" w:sz="1"/>
              <w:right w:val="single" w:color="BDC3C7" w:sz="1"/>
            </w:tcBorders>
            <w:shd w:fill="EBF5FB" w:val="clear"/>
            <w:tcMar>
              <w:top w:type="dxa" w:w="100"/>
              <w:left w:type="dxa" w:w="140"/>
              <w:bottom w:type="dxa" w:w="100"/>
              <w:right w:type="dxa" w:w="140"/>
            </w:tcMar>
          </w:tcPr>
          <w:p>
            <w:r>
              <w:rPr>
                <w:rFonts w:ascii="Arial" w:cs="Arial" w:eastAsia="Arial" w:hAnsi="Arial"/>
                <w:sz w:val="22"/>
                <w:szCs w:val="22"/>
              </w:rPr>
              <w:t xml:space="preserve">NIST CSF • ISO/IEC 27001:2022 • OWASP • CIS Controls</w:t>
            </w:r>
          </w:p>
        </w:tc>
      </w:tr>
    </w:tbl>
    <w:p>
      <w:pPr>
        <w:spacing w:before="60" w:after="60"/>
      </w:pPr>
      <w:r>
        <w:t xml:space="preserve"/>
      </w:r>
    </w:p>
    <w:p>
      <w:pPr>
        <w:spacing w:before="60" w:after="60"/>
      </w:pPr>
      <w:r>
        <w:t xml:space="preserve"/>
      </w:r>
    </w:p>
    <w:p>
      <w:pPr>
        <w:spacing w:before="60" w:after="60"/>
      </w:pPr>
      <w:r>
        <w:t xml:space="preserve"/>
      </w:r>
    </w:p>
    <w:p>
      <w:pPr>
        <w:spacing w:before="0" w:after="0"/>
        <w:jc w:val="center"/>
      </w:pPr>
      <w:r>
        <w:rPr>
          <w:rFonts w:ascii="Arial" w:cs="Arial" w:eastAsia="Arial" w:hAnsi="Arial"/>
          <w:b/>
          <w:bCs/>
          <w:color w:val="C0392B"/>
          <w:sz w:val="22"/>
          <w:szCs w:val="22"/>
        </w:rPr>
        <w:t xml:space="preserve">⚠  CONFIDENTIAL — NOT FOR PUBLIC DISTRIBUTION</w:t>
      </w:r>
    </w:p>
    <w:p>
      <w:pPr>
        <w:spacing w:before="60" w:after="0"/>
        <w:jc w:val="center"/>
      </w:pPr>
      <w:r>
        <w:rPr>
          <w:rFonts w:ascii="Arial" w:cs="Arial" w:eastAsia="Arial" w:hAnsi="Arial"/>
          <w:i/>
          <w:iCs/>
          <w:color w:val="666666"/>
          <w:sz w:val="18"/>
          <w:szCs w:val="18"/>
        </w:rPr>
        <w:t xml:space="preserve">This document contains sensitive security information. Handle in accordance with data classification policy.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C5F8A" w:sz="8" w:space="4"/>
        </w:pBdr>
        <w:spacing w:before="320" w:after="160"/>
      </w:pPr>
      <w:r>
        <w:rPr>
          <w:rFonts w:ascii="Arial" w:cs="Arial" w:eastAsia="Arial" w:hAnsi="Arial"/>
          <w:b/>
          <w:bCs/>
          <w:color w:val="1A2E4A"/>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1. Executive Summary</w:t>
      </w:r>
    </w:p>
    <w:p>
      <w:pPr>
        <w:spacing w:before="80" w:after="80"/>
      </w:pPr>
      <w:r>
        <w:rPr>
          <w:rFonts w:ascii="Arial" w:cs="Arial" w:eastAsia="Arial" w:hAnsi="Arial"/>
          <w:sz w:val="22"/>
          <w:szCs w:val="22"/>
        </w:rPr>
        <w:t xml:space="preserve">Vendmo Tech, a mid-sized fintech company headquartered in Johannesburg, South Africa, commissioned this comprehensive cybersecurity audit and risk assessment to evaluate the current state of its information security posture. The audit was conducted between January and March 2026 by the Information Security team, leveraging industry-standard tools including OWASP ZAP, Nmap, and Wireshark, and was aligned to the NIST Cybersecurity Framework (CSF) and ISO/IEC 27001:2022.</w:t>
      </w:r>
    </w:p>
    <w:p>
      <w:pPr>
        <w:spacing w:before="60" w:after="60"/>
      </w:pPr>
      <w:r>
        <w:t xml:space="preserve"/>
      </w:r>
    </w:p>
    <w:p>
      <w:pPr>
        <w:spacing w:before="80" w:after="80"/>
      </w:pPr>
      <w:r>
        <w:rPr>
          <w:rFonts w:ascii="Arial" w:cs="Arial" w:eastAsia="Arial" w:hAnsi="Arial"/>
          <w:sz w:val="22"/>
          <w:szCs w:val="22"/>
        </w:rPr>
        <w:t xml:space="preserve">The results of this assessment are deeply concerning and demand urgent executive attention. The audit identified 14 distinct security vulnerabilities across Vendmo Tech's technology estate, including three (3) Critical, four (4) High, five (5) Medium, and two (2) Low severity findings. Of particular gravity are:</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A fully exploitable Remote Code Execution (RCE) vulnerability in the production web server (Apache CVE-2021-41773) that is currently exposed to the internet.</w:t>
      </w:r>
    </w:p>
    <w:p>
      <w:pPr>
        <w:pStyle w:val="ListParagraph"/>
        <w:numPr>
          <w:ilvl w:val="0"/>
          <w:numId w:val="2"/>
        </w:numPr>
        <w:spacing w:before="60" w:after="60"/>
      </w:pPr>
      <w:r>
        <w:rPr>
          <w:rFonts w:ascii="Arial" w:cs="Arial" w:eastAsia="Arial" w:hAnsi="Arial"/>
          <w:sz w:val="22"/>
          <w:szCs w:val="22"/>
        </w:rPr>
        <w:t xml:space="preserve">The complete absence of Multi-Factor Authentication (MFA) on administrative and customer-facing portals — the primary vector for credential-based attacks.</w:t>
      </w:r>
    </w:p>
    <w:p>
      <w:pPr>
        <w:pStyle w:val="ListParagraph"/>
        <w:numPr>
          <w:ilvl w:val="0"/>
          <w:numId w:val="2"/>
        </w:numPr>
        <w:spacing w:before="60" w:after="60"/>
      </w:pPr>
      <w:r>
        <w:rPr>
          <w:rFonts w:ascii="Arial" w:cs="Arial" w:eastAsia="Arial" w:hAnsi="Arial"/>
          <w:sz w:val="22"/>
          <w:szCs w:val="22"/>
        </w:rPr>
        <w:t xml:space="preserve">Customer Personally Identifiable Information (PII) and payment-related data stored in plaintext, constituting a material violation of PCI-DSS, POPIA, and ISO 27001 controls.</w:t>
      </w:r>
    </w:p>
    <w:p>
      <w:pPr>
        <w:pStyle w:val="ListParagraph"/>
        <w:numPr>
          <w:ilvl w:val="0"/>
          <w:numId w:val="2"/>
        </w:numPr>
        <w:spacing w:before="60" w:after="60"/>
      </w:pPr>
      <w:r>
        <w:rPr>
          <w:rFonts w:ascii="Arial" w:cs="Arial" w:eastAsia="Arial" w:hAnsi="Arial"/>
          <w:sz w:val="22"/>
          <w:szCs w:val="22"/>
        </w:rPr>
        <w:t xml:space="preserve">A confirmed SQL Injection vulnerability in the customer search API endpoint, exposing the entire customer database to exfiltration.</w:t>
      </w:r>
    </w:p>
    <w:p>
      <w:pPr>
        <w:spacing w:before="60" w:after="60"/>
      </w:pPr>
      <w:r>
        <w:t xml:space="preserve"/>
      </w:r>
    </w:p>
    <w:p>
      <w:pPr>
        <w:spacing w:before="80" w:after="80"/>
      </w:pPr>
      <w:r>
        <w:rPr>
          <w:rFonts w:ascii="Arial" w:cs="Arial" w:eastAsia="Arial" w:hAnsi="Arial"/>
          <w:sz w:val="22"/>
          <w:szCs w:val="22"/>
        </w:rPr>
        <w:t xml:space="preserve">The organisation's current security posture is assessed as HIGH RISK. Without immediate intervention, Vendmo Tech faces a significant probability of a material data breach within the next 12 months, with estimated impact including regulatory fines of up to R10 million under POPIA, reputational damage, potential PCI-DSS de-certification, and civil litigation.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single" w:color="2C5F8A" w:sz="6"/>
              <w:bottom w:val="single" w:color="2C5F8A" w:sz="6"/>
              <w:right w:val="single" w:color="2C5F8A" w:sz="6"/>
            </w:tcBorders>
            <w:shd w:fill="D6E4F0"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Executive Risk Summary</w:t>
            </w:r>
          </w:p>
          <w:p>
            <w:pPr>
              <w:spacing w:before="30" w:after="30"/>
            </w:pPr>
            <w:r>
              <w:rPr>
                <w:rFonts w:ascii="Arial" w:cs="Arial" w:eastAsia="Arial" w:hAnsi="Arial"/>
                <w:sz w:val="20"/>
                <w:szCs w:val="20"/>
              </w:rPr>
              <w:t xml:space="preserve">• Total Vulnerabilities Identified:  14</w:t>
            </w:r>
          </w:p>
          <w:p>
            <w:pPr>
              <w:spacing w:before="30" w:after="30"/>
            </w:pPr>
            <w:r>
              <w:rPr>
                <w:rFonts w:ascii="Arial" w:cs="Arial" w:eastAsia="Arial" w:hAnsi="Arial"/>
                <w:sz w:val="20"/>
                <w:szCs w:val="20"/>
              </w:rPr>
              <w:t xml:space="preserve">• Critical Severity:                  3   (Immediate action required)</w:t>
            </w:r>
          </w:p>
          <w:p>
            <w:pPr>
              <w:spacing w:before="30" w:after="30"/>
            </w:pPr>
            <w:r>
              <w:rPr>
                <w:rFonts w:ascii="Arial" w:cs="Arial" w:eastAsia="Arial" w:hAnsi="Arial"/>
                <w:sz w:val="20"/>
                <w:szCs w:val="20"/>
              </w:rPr>
              <w:t xml:space="preserve">• High Severity:                      4   (Urgent action required within 30 days)</w:t>
            </w:r>
          </w:p>
          <w:p>
            <w:pPr>
              <w:spacing w:before="30" w:after="30"/>
            </w:pPr>
            <w:r>
              <w:rPr>
                <w:rFonts w:ascii="Arial" w:cs="Arial" w:eastAsia="Arial" w:hAnsi="Arial"/>
                <w:sz w:val="20"/>
                <w:szCs w:val="20"/>
              </w:rPr>
              <w:t xml:space="preserve">• Medium Severity:                    5   (Remediation required within 60 days)</w:t>
            </w:r>
          </w:p>
          <w:p>
            <w:pPr>
              <w:spacing w:before="30" w:after="30"/>
            </w:pPr>
            <w:r>
              <w:rPr>
                <w:rFonts w:ascii="Arial" w:cs="Arial" w:eastAsia="Arial" w:hAnsi="Arial"/>
                <w:sz w:val="20"/>
                <w:szCs w:val="20"/>
              </w:rPr>
              <w:t xml:space="preserve">• Low Severity:                       2   (Remediation required within 90 days)</w:t>
            </w:r>
          </w:p>
          <w:p>
            <w:pPr>
              <w:spacing w:before="30" w:after="30"/>
            </w:pPr>
            <w:r>
              <w:rPr>
                <w:rFonts w:ascii="Arial" w:cs="Arial" w:eastAsia="Arial" w:hAnsi="Arial"/>
                <w:sz w:val="20"/>
                <w:szCs w:val="20"/>
              </w:rPr>
              <w:t xml:space="preserve">• Overall Risk Rating:                HIGH</w:t>
            </w:r>
          </w:p>
          <w:p>
            <w:pPr>
              <w:spacing w:before="30" w:after="30"/>
            </w:pPr>
            <w:r>
              <w:rPr>
                <w:rFonts w:ascii="Arial" w:cs="Arial" w:eastAsia="Arial" w:hAnsi="Arial"/>
                <w:sz w:val="20"/>
                <w:szCs w:val="20"/>
              </w:rPr>
              <w:t xml:space="preserve">• Estimated Remediation Cost:         R 480,000 – R 1,200,000</w:t>
            </w:r>
          </w:p>
          <w:p>
            <w:pPr>
              <w:spacing w:before="30" w:after="30"/>
            </w:pPr>
            <w:r>
              <w:rPr>
                <w:rFonts w:ascii="Arial" w:cs="Arial" w:eastAsia="Arial" w:hAnsi="Arial"/>
                <w:sz w:val="20"/>
                <w:szCs w:val="20"/>
              </w:rPr>
              <w:t xml:space="preserve">• Key Regulatory Exposure:            POPIA, PCI-DSS, ISO 27001</w:t>
            </w:r>
          </w:p>
        </w:tc>
      </w:tr>
    </w:tbl>
    <w:p>
      <w:pPr>
        <w:spacing w:before="60" w:after="60"/>
      </w:pPr>
      <w:r>
        <w:t xml:space="preserve"/>
      </w:r>
    </w:p>
    <w:p>
      <w:pPr>
        <w:spacing w:before="80" w:after="80"/>
      </w:pPr>
      <w:r>
        <w:rPr>
          <w:rFonts w:ascii="Arial" w:cs="Arial" w:eastAsia="Arial" w:hAnsi="Arial"/>
          <w:sz w:val="22"/>
          <w:szCs w:val="22"/>
        </w:rPr>
        <w:t xml:space="preserve">This report provides a detailed methodology, asset inventory, risk assessment, vulnerability analysis, framework mapping, and a prioritised set of 12 actionable recommendations to systematically reduce Vendmo Tech's risk exposure to an acceptable level.</w:t>
      </w:r>
    </w:p>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2. Company Overview — Vendmo Tech</w:t>
      </w:r>
    </w:p>
    <w:p>
      <w:pPr>
        <w:pStyle w:val="Heading2"/>
        <w:spacing w:before="240" w:after="120"/>
      </w:pPr>
      <w:r>
        <w:rPr>
          <w:rFonts w:ascii="Arial" w:cs="Arial" w:eastAsia="Arial" w:hAnsi="Arial"/>
          <w:b/>
          <w:bCs/>
          <w:color w:val="2C5F8A"/>
          <w:sz w:val="28"/>
          <w:szCs w:val="28"/>
        </w:rPr>
        <w:t xml:space="preserve">2.1 Business Description</w:t>
      </w:r>
    </w:p>
    <w:p>
      <w:pPr>
        <w:spacing w:before="80" w:after="80"/>
      </w:pPr>
      <w:r>
        <w:rPr>
          <w:rFonts w:ascii="Arial" w:cs="Arial" w:eastAsia="Arial" w:hAnsi="Arial"/>
          <w:sz w:val="22"/>
          <w:szCs w:val="22"/>
        </w:rPr>
        <w:t xml:space="preserve">Vendmo Tech is a fictional mid-sized fintech company operating a peer-to-peer payment platform and merchant payment gateway serving approximately 85,000 customers across South Africa and Sub-Saharan Africa. The company employs 240 staff across engineering, product, operations, finance, and customer support functions.</w:t>
      </w:r>
    </w:p>
    <w:p>
      <w:pPr>
        <w:spacing w:before="60" w:after="60"/>
      </w:pPr>
      <w:r>
        <w:t xml:space="preserve"/>
      </w:r>
    </w:p>
    <w:p>
      <w:pPr>
        <w:spacing w:before="80" w:after="80"/>
      </w:pPr>
      <w:r>
        <w:rPr>
          <w:rFonts w:ascii="Arial" w:cs="Arial" w:eastAsia="Arial" w:hAnsi="Arial"/>
          <w:sz w:val="22"/>
          <w:szCs w:val="22"/>
        </w:rPr>
        <w:t xml:space="preserve">As a payment service provider, Vendmo Tech processes an average of R 120 million in transactions monthly and is subject to regulatory requirements including the Protection of Personal Information Act (POPIA), Payment Card Industry Data Security Standard (PCI-DSS), and is working towards ISO/IEC 27001:2022 certification.</w:t>
      </w:r>
    </w:p>
    <w:p>
      <w:pPr>
        <w:pStyle w:val="Heading2"/>
        <w:spacing w:before="240" w:after="120"/>
      </w:pPr>
      <w:r>
        <w:rPr>
          <w:rFonts w:ascii="Arial" w:cs="Arial" w:eastAsia="Arial" w:hAnsi="Arial"/>
          <w:b/>
          <w:bCs/>
          <w:color w:val="2C5F8A"/>
          <w:sz w:val="28"/>
          <w:szCs w:val="28"/>
        </w:rPr>
        <w:t xml:space="preserve">2.2 Organisational Structure (Security Context)</w:t>
      </w:r>
    </w:p>
    <w:p>
      <w:pPr>
        <w:pStyle w:val="ListParagraph"/>
        <w:numPr>
          <w:ilvl w:val="0"/>
          <w:numId w:val="2"/>
        </w:numPr>
        <w:spacing w:before="60" w:after="60"/>
      </w:pPr>
      <w:r>
        <w:rPr>
          <w:rFonts w:ascii="Arial" w:cs="Arial" w:eastAsia="Arial" w:hAnsi="Arial"/>
          <w:sz w:val="22"/>
          <w:szCs w:val="22"/>
        </w:rPr>
        <w:t xml:space="preserve">Executive Leadership: CEO, CFO, CTO</w:t>
      </w:r>
    </w:p>
    <w:p>
      <w:pPr>
        <w:pStyle w:val="ListParagraph"/>
        <w:numPr>
          <w:ilvl w:val="0"/>
          <w:numId w:val="2"/>
        </w:numPr>
        <w:spacing w:before="60" w:after="60"/>
      </w:pPr>
      <w:r>
        <w:rPr>
          <w:rFonts w:ascii="Arial" w:cs="Arial" w:eastAsia="Arial" w:hAnsi="Arial"/>
          <w:sz w:val="22"/>
          <w:szCs w:val="22"/>
        </w:rPr>
        <w:t xml:space="preserve">Information Technology: 18 staff (IT Ops, DevOps, Network, Helpdesk)</w:t>
      </w:r>
    </w:p>
    <w:p>
      <w:pPr>
        <w:pStyle w:val="ListParagraph"/>
        <w:numPr>
          <w:ilvl w:val="0"/>
          <w:numId w:val="2"/>
        </w:numPr>
        <w:spacing w:before="60" w:after="60"/>
      </w:pPr>
      <w:r>
        <w:rPr>
          <w:rFonts w:ascii="Arial" w:cs="Arial" w:eastAsia="Arial" w:hAnsi="Arial"/>
          <w:sz w:val="22"/>
          <w:szCs w:val="22"/>
        </w:rPr>
        <w:t xml:space="preserve">Development Team: 35 software engineers</w:t>
      </w:r>
    </w:p>
    <w:p>
      <w:pPr>
        <w:pStyle w:val="ListParagraph"/>
        <w:numPr>
          <w:ilvl w:val="0"/>
          <w:numId w:val="2"/>
        </w:numPr>
        <w:spacing w:before="60" w:after="60"/>
      </w:pPr>
      <w:r>
        <w:rPr>
          <w:rFonts w:ascii="Arial" w:cs="Arial" w:eastAsia="Arial" w:hAnsi="Arial"/>
          <w:sz w:val="22"/>
          <w:szCs w:val="22"/>
        </w:rPr>
        <w:t xml:space="preserve">Operations: 90 staff (Customer Support, Finance, Compliance)</w:t>
      </w:r>
    </w:p>
    <w:p>
      <w:pPr>
        <w:pStyle w:val="ListParagraph"/>
        <w:numPr>
          <w:ilvl w:val="0"/>
          <w:numId w:val="2"/>
        </w:numPr>
        <w:spacing w:before="60" w:after="60"/>
      </w:pPr>
      <w:r>
        <w:rPr>
          <w:rFonts w:ascii="Arial" w:cs="Arial" w:eastAsia="Arial" w:hAnsi="Arial"/>
          <w:sz w:val="22"/>
          <w:szCs w:val="22"/>
        </w:rPr>
        <w:t xml:space="preserve">Sales &amp; Marketing: 40 staff</w:t>
      </w:r>
    </w:p>
    <w:p>
      <w:pPr>
        <w:pStyle w:val="ListParagraph"/>
        <w:numPr>
          <w:ilvl w:val="0"/>
          <w:numId w:val="2"/>
        </w:numPr>
        <w:spacing w:before="60" w:after="60"/>
      </w:pPr>
      <w:r>
        <w:rPr>
          <w:rFonts w:ascii="Arial" w:cs="Arial" w:eastAsia="Arial" w:hAnsi="Arial"/>
          <w:sz w:val="22"/>
          <w:szCs w:val="22"/>
        </w:rPr>
        <w:t xml:space="preserve">Total Employees: ~240, plus ~85,000 registered customers</w:t>
      </w:r>
    </w:p>
    <w:p>
      <w:pPr>
        <w:spacing w:before="60" w:after="60"/>
      </w:pPr>
      <w:r>
        <w:t xml:space="preserve"/>
      </w:r>
    </w:p>
    <w:p>
      <w:pPr>
        <w:pStyle w:val="Heading2"/>
        <w:spacing w:before="240" w:after="120"/>
      </w:pPr>
      <w:r>
        <w:rPr>
          <w:rFonts w:ascii="Arial" w:cs="Arial" w:eastAsia="Arial" w:hAnsi="Arial"/>
          <w:b/>
          <w:bCs/>
          <w:color w:val="2C5F8A"/>
          <w:sz w:val="28"/>
          <w:szCs w:val="28"/>
        </w:rPr>
        <w:t xml:space="preserve">2.3 Technology Asset Inventory</w:t>
      </w:r>
    </w:p>
    <w:p>
      <w:pPr>
        <w:spacing w:before="80" w:after="80"/>
      </w:pPr>
      <w:r>
        <w:rPr>
          <w:rFonts w:ascii="Arial" w:cs="Arial" w:eastAsia="Arial" w:hAnsi="Arial"/>
          <w:sz w:val="22"/>
          <w:szCs w:val="22"/>
        </w:rPr>
        <w:t xml:space="preserve">The following table presents the critical assets in scope for this audit: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400"/>
        <w:gridCol w:w="1200"/>
        <w:gridCol w:w="900"/>
        <w:gridCol w:w="1060"/>
        <w:gridCol w:w="2000"/>
      </w:tblGrid>
      <w:tr>
        <w:tc>
          <w:tcPr>
            <w:tcW w:type="dxa" w:w="12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Asset ID</w:t>
            </w:r>
          </w:p>
        </w:tc>
        <w:tc>
          <w:tcPr>
            <w:tcW w:type="dxa" w:w="16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Asset Name</w:t>
            </w:r>
          </w:p>
        </w:tc>
        <w:tc>
          <w:tcPr>
            <w:tcW w:type="dxa" w:w="14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12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c>
          <w:tcPr>
            <w:tcW w:type="dxa" w:w="9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Criticality</w:t>
            </w:r>
          </w:p>
        </w:tc>
        <w:tc>
          <w:tcPr>
            <w:tcW w:type="dxa" w:w="106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Location</w:t>
            </w:r>
          </w:p>
        </w:tc>
        <w:tc>
          <w:tcPr>
            <w:tcW w:type="dxa" w:w="20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bCs/>
                <w:sz w:val="18"/>
                <w:szCs w:val="18"/>
              </w:rPr>
              <w:t xml:space="preserve">A-001</w:t>
            </w:r>
          </w:p>
        </w:tc>
        <w:tc>
          <w:tcPr>
            <w:tcW w:type="dxa" w:w="1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Customer Web App</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Web Application</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CTO</w:t>
            </w:r>
          </w:p>
        </w:tc>
        <w:tc>
          <w:tcPr>
            <w:tcW w:type="dxa" w:w="900"/>
            <w:tcBorders>
              <w:top w:val="single" w:color="BDC3C7" w:sz="1"/>
              <w:left w:val="single" w:color="BDC3C7" w:sz="1"/>
              <w:bottom w:val="single" w:color="BDC3C7" w:sz="1"/>
              <w:right w:val="single" w:color="BDC3C7" w:sz="1"/>
            </w:tcBorders>
            <w:shd w:fill="FADBD8"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Critical</w:t>
            </w:r>
          </w:p>
        </w:tc>
        <w:tc>
          <w:tcPr>
            <w:tcW w:type="dxa" w:w="1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Cloud (AWS)</w:t>
            </w:r>
          </w:p>
        </w:tc>
        <w:tc>
          <w:tcPr>
            <w:tcW w:type="dxa" w:w="2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Primary customer-facing payment and account management portal</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bCs/>
                <w:sz w:val="18"/>
                <w:szCs w:val="18"/>
              </w:rPr>
              <w:t xml:space="preserve">A-002</w:t>
            </w:r>
          </w:p>
        </w:tc>
        <w:tc>
          <w:tcPr>
            <w:tcW w:type="dxa" w:w="1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Admin Portal</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Web Application</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IT Admin</w:t>
            </w:r>
          </w:p>
        </w:tc>
        <w:tc>
          <w:tcPr>
            <w:tcW w:type="dxa" w:w="900"/>
            <w:tcBorders>
              <w:top w:val="single" w:color="BDC3C7" w:sz="1"/>
              <w:left w:val="single" w:color="BDC3C7" w:sz="1"/>
              <w:bottom w:val="single" w:color="BDC3C7" w:sz="1"/>
              <w:right w:val="single" w:color="BDC3C7" w:sz="1"/>
            </w:tcBorders>
            <w:shd w:fill="FADBD8"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Critical</w:t>
            </w:r>
          </w:p>
        </w:tc>
        <w:tc>
          <w:tcPr>
            <w:tcW w:type="dxa" w:w="10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On-Premise</w:t>
            </w:r>
          </w:p>
        </w:tc>
        <w:tc>
          <w:tcPr>
            <w:tcW w:type="dxa" w:w="2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Internal administrative interface for staff and system admins</w:t>
            </w:r>
          </w:p>
        </w:tc>
      </w:tr>
      <w:tr>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bCs/>
                <w:sz w:val="18"/>
                <w:szCs w:val="18"/>
              </w:rPr>
              <w:t xml:space="preserve">A-003</w:t>
            </w:r>
          </w:p>
        </w:tc>
        <w:tc>
          <w:tcPr>
            <w:tcW w:type="dxa" w:w="1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Customer DB (DB-01)</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Database Server</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Data Team</w:t>
            </w:r>
          </w:p>
        </w:tc>
        <w:tc>
          <w:tcPr>
            <w:tcW w:type="dxa" w:w="900"/>
            <w:tcBorders>
              <w:top w:val="single" w:color="BDC3C7" w:sz="1"/>
              <w:left w:val="single" w:color="BDC3C7" w:sz="1"/>
              <w:bottom w:val="single" w:color="BDC3C7" w:sz="1"/>
              <w:right w:val="single" w:color="BDC3C7" w:sz="1"/>
            </w:tcBorders>
            <w:shd w:fill="FADBD8"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Critical</w:t>
            </w:r>
          </w:p>
        </w:tc>
        <w:tc>
          <w:tcPr>
            <w:tcW w:type="dxa" w:w="1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On-Premise</w:t>
            </w:r>
          </w:p>
        </w:tc>
        <w:tc>
          <w:tcPr>
            <w:tcW w:type="dxa" w:w="2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PostgreSQL database holding all customer PII, transaction data</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bCs/>
                <w:sz w:val="18"/>
                <w:szCs w:val="18"/>
              </w:rPr>
              <w:t xml:space="preserve">A-004</w:t>
            </w:r>
          </w:p>
        </w:tc>
        <w:tc>
          <w:tcPr>
            <w:tcW w:type="dxa" w:w="1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Web Server (WS-01)</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Server</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IT Ops</w:t>
            </w:r>
          </w:p>
        </w:tc>
        <w:tc>
          <w:tcPr>
            <w:tcW w:type="dxa" w:w="900"/>
            <w:tcBorders>
              <w:top w:val="single" w:color="BDC3C7" w:sz="1"/>
              <w:left w:val="single" w:color="BDC3C7" w:sz="1"/>
              <w:bottom w:val="single" w:color="BDC3C7" w:sz="1"/>
              <w:right w:val="single" w:color="BDC3C7" w:sz="1"/>
            </w:tcBorders>
            <w:shd w:fill="FADBD8"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Critical</w:t>
            </w:r>
          </w:p>
        </w:tc>
        <w:tc>
          <w:tcPr>
            <w:tcW w:type="dxa" w:w="10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On-Premise</w:t>
            </w:r>
          </w:p>
        </w:tc>
        <w:tc>
          <w:tcPr>
            <w:tcW w:type="dxa" w:w="2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Apache 2.4.49 hosting primary public-facing website</w:t>
            </w:r>
          </w:p>
        </w:tc>
      </w:tr>
      <w:tr>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bCs/>
                <w:sz w:val="18"/>
                <w:szCs w:val="18"/>
              </w:rPr>
              <w:t xml:space="preserve">A-005</w:t>
            </w:r>
          </w:p>
        </w:tc>
        <w:tc>
          <w:tcPr>
            <w:tcW w:type="dxa" w:w="1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Internal API</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API Service</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Dev Team</w:t>
            </w:r>
          </w:p>
        </w:tc>
        <w:tc>
          <w:tcPr>
            <w:tcW w:type="dxa" w:w="900"/>
            <w:tcBorders>
              <w:top w:val="single" w:color="BDC3C7" w:sz="1"/>
              <w:left w:val="single" w:color="BDC3C7" w:sz="1"/>
              <w:bottom w:val="single" w:color="BDC3C7" w:sz="1"/>
              <w:right w:val="single" w:color="BDC3C7"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8"/>
                <w:szCs w:val="18"/>
              </w:rPr>
              <w:t xml:space="preserve">High</w:t>
            </w:r>
          </w:p>
        </w:tc>
        <w:tc>
          <w:tcPr>
            <w:tcW w:type="dxa" w:w="1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On-Premise</w:t>
            </w:r>
          </w:p>
        </w:tc>
        <w:tc>
          <w:tcPr>
            <w:tcW w:type="dxa" w:w="2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RESTful API bridging frontend app and backend services</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bCs/>
                <w:sz w:val="18"/>
                <w:szCs w:val="18"/>
              </w:rPr>
              <w:t xml:space="preserve">A-006</w:t>
            </w:r>
          </w:p>
        </w:tc>
        <w:tc>
          <w:tcPr>
            <w:tcW w:type="dxa" w:w="1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Active Directory</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Identity Service</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IT Admin</w:t>
            </w:r>
          </w:p>
        </w:tc>
        <w:tc>
          <w:tcPr>
            <w:tcW w:type="dxa" w:w="900"/>
            <w:tcBorders>
              <w:top w:val="single" w:color="BDC3C7" w:sz="1"/>
              <w:left w:val="single" w:color="BDC3C7" w:sz="1"/>
              <w:bottom w:val="single" w:color="BDC3C7" w:sz="1"/>
              <w:right w:val="single" w:color="BDC3C7" w:sz="1"/>
            </w:tcBorders>
            <w:shd w:fill="FADBD8"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Critical</w:t>
            </w:r>
          </w:p>
        </w:tc>
        <w:tc>
          <w:tcPr>
            <w:tcW w:type="dxa" w:w="10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On-Premise</w:t>
            </w:r>
          </w:p>
        </w:tc>
        <w:tc>
          <w:tcPr>
            <w:tcW w:type="dxa" w:w="2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Central directory for all employee authentication and authorisation</w:t>
            </w:r>
          </w:p>
        </w:tc>
      </w:tr>
      <w:tr>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bCs/>
                <w:sz w:val="18"/>
                <w:szCs w:val="18"/>
              </w:rPr>
              <w:t xml:space="preserve">A-007</w:t>
            </w:r>
          </w:p>
        </w:tc>
        <w:tc>
          <w:tcPr>
            <w:tcW w:type="dxa" w:w="1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Core Switches (SW-01/02)</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Network Device</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Network Team</w:t>
            </w:r>
          </w:p>
        </w:tc>
        <w:tc>
          <w:tcPr>
            <w:tcW w:type="dxa" w:w="900"/>
            <w:tcBorders>
              <w:top w:val="single" w:color="BDC3C7" w:sz="1"/>
              <w:left w:val="single" w:color="BDC3C7" w:sz="1"/>
              <w:bottom w:val="single" w:color="BDC3C7" w:sz="1"/>
              <w:right w:val="single" w:color="BDC3C7"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8"/>
                <w:szCs w:val="18"/>
              </w:rPr>
              <w:t xml:space="preserve">High</w:t>
            </w:r>
          </w:p>
        </w:tc>
        <w:tc>
          <w:tcPr>
            <w:tcW w:type="dxa" w:w="1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On-Premise</w:t>
            </w:r>
          </w:p>
        </w:tc>
        <w:tc>
          <w:tcPr>
            <w:tcW w:type="dxa" w:w="2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Layer 3 managed switches forming core network backbone</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bCs/>
                <w:sz w:val="18"/>
                <w:szCs w:val="18"/>
              </w:rPr>
              <w:t xml:space="preserve">A-008</w:t>
            </w:r>
          </w:p>
        </w:tc>
        <w:tc>
          <w:tcPr>
            <w:tcW w:type="dxa" w:w="1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Perimeter Firewall (FW-01)</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Network Device</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Network Team</w:t>
            </w:r>
          </w:p>
        </w:tc>
        <w:tc>
          <w:tcPr>
            <w:tcW w:type="dxa" w:w="900"/>
            <w:tcBorders>
              <w:top w:val="single" w:color="BDC3C7" w:sz="1"/>
              <w:left w:val="single" w:color="BDC3C7" w:sz="1"/>
              <w:bottom w:val="single" w:color="BDC3C7" w:sz="1"/>
              <w:right w:val="single" w:color="BDC3C7" w:sz="1"/>
            </w:tcBorders>
            <w:shd w:fill="FADBD8"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Critical</w:t>
            </w:r>
          </w:p>
        </w:tc>
        <w:tc>
          <w:tcPr>
            <w:tcW w:type="dxa" w:w="10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On-Premise</w:t>
            </w:r>
          </w:p>
        </w:tc>
        <w:tc>
          <w:tcPr>
            <w:tcW w:type="dxa" w:w="2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Palo Alto firewall controlling ingress/egress traffic</w:t>
            </w:r>
          </w:p>
        </w:tc>
      </w:tr>
      <w:tr>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bCs/>
                <w:sz w:val="18"/>
                <w:szCs w:val="18"/>
              </w:rPr>
              <w:t xml:space="preserve">A-009</w:t>
            </w:r>
          </w:p>
        </w:tc>
        <w:tc>
          <w:tcPr>
            <w:tcW w:type="dxa" w:w="1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Employee Workstations (×80)</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Endpoint</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IT Ops</w:t>
            </w:r>
          </w:p>
        </w:tc>
        <w:tc>
          <w:tcPr>
            <w:tcW w:type="dxa" w:w="900"/>
            <w:tcBorders>
              <w:top w:val="single" w:color="BDC3C7" w:sz="1"/>
              <w:left w:val="single" w:color="BDC3C7" w:sz="1"/>
              <w:bottom w:val="single" w:color="BDC3C7" w:sz="1"/>
              <w:right w:val="single" w:color="BDC3C7" w:sz="1"/>
            </w:tcBorders>
            <w:shd w:fill="FEF9E7" w:val="clear"/>
            <w:tcMar>
              <w:top w:type="dxa" w:w="70"/>
              <w:left w:type="dxa" w:w="100"/>
              <w:bottom w:type="dxa" w:w="70"/>
              <w:right w:type="dxa" w:w="100"/>
            </w:tcMar>
            <w:vAlign w:val="center"/>
          </w:tcPr>
          <w:p>
            <w:pPr>
              <w:jc w:val="center"/>
            </w:pPr>
            <w:r>
              <w:rPr>
                <w:rFonts w:ascii="Arial" w:cs="Arial" w:eastAsia="Arial" w:hAnsi="Arial"/>
                <w:b/>
                <w:bCs/>
                <w:color w:val="F1C40F"/>
                <w:sz w:val="18"/>
                <w:szCs w:val="18"/>
              </w:rPr>
              <w:t xml:space="preserve">Medium</w:t>
            </w:r>
          </w:p>
        </w:tc>
        <w:tc>
          <w:tcPr>
            <w:tcW w:type="dxa" w:w="1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On-Premise</w:t>
            </w:r>
          </w:p>
        </w:tc>
        <w:tc>
          <w:tcPr>
            <w:tcW w:type="dxa" w:w="2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Windows 10/11 endpoints across all departments</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bCs/>
                <w:sz w:val="18"/>
                <w:szCs w:val="18"/>
              </w:rPr>
              <w:t xml:space="preserve">A-010</w:t>
            </w:r>
          </w:p>
        </w:tc>
        <w:tc>
          <w:tcPr>
            <w:tcW w:type="dxa" w:w="1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Backup Server (BK-01)</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Server</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IT Ops</w:t>
            </w:r>
          </w:p>
        </w:tc>
        <w:tc>
          <w:tcPr>
            <w:tcW w:type="dxa" w:w="900"/>
            <w:tcBorders>
              <w:top w:val="single" w:color="BDC3C7" w:sz="1"/>
              <w:left w:val="single" w:color="BDC3C7" w:sz="1"/>
              <w:bottom w:val="single" w:color="BDC3C7" w:sz="1"/>
              <w:right w:val="single" w:color="BDC3C7"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8"/>
                <w:szCs w:val="18"/>
              </w:rPr>
              <w:t xml:space="preserve">High</w:t>
            </w:r>
          </w:p>
        </w:tc>
        <w:tc>
          <w:tcPr>
            <w:tcW w:type="dxa" w:w="10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On-Premise</w:t>
            </w:r>
          </w:p>
        </w:tc>
        <w:tc>
          <w:tcPr>
            <w:tcW w:type="dxa" w:w="2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Nightly backup of critical databases and application files</w:t>
            </w:r>
          </w:p>
        </w:tc>
      </w:tr>
      <w:tr>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bCs/>
                <w:sz w:val="18"/>
                <w:szCs w:val="18"/>
              </w:rPr>
              <w:t xml:space="preserve">A-011</w:t>
            </w:r>
          </w:p>
        </w:tc>
        <w:tc>
          <w:tcPr>
            <w:tcW w:type="dxa" w:w="1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CCTV &amp; Physical Systems</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Physical</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Facilities</w:t>
            </w:r>
          </w:p>
        </w:tc>
        <w:tc>
          <w:tcPr>
            <w:tcW w:type="dxa" w:w="900"/>
            <w:tcBorders>
              <w:top w:val="single" w:color="BDC3C7" w:sz="1"/>
              <w:left w:val="single" w:color="BDC3C7" w:sz="1"/>
              <w:bottom w:val="single" w:color="BDC3C7" w:sz="1"/>
              <w:right w:val="single" w:color="BDC3C7" w:sz="1"/>
            </w:tcBorders>
            <w:shd w:fill="FEF9E7" w:val="clear"/>
            <w:tcMar>
              <w:top w:type="dxa" w:w="70"/>
              <w:left w:type="dxa" w:w="100"/>
              <w:bottom w:type="dxa" w:w="70"/>
              <w:right w:type="dxa" w:w="100"/>
            </w:tcMar>
            <w:vAlign w:val="center"/>
          </w:tcPr>
          <w:p>
            <w:pPr>
              <w:jc w:val="center"/>
            </w:pPr>
            <w:r>
              <w:rPr>
                <w:rFonts w:ascii="Arial" w:cs="Arial" w:eastAsia="Arial" w:hAnsi="Arial"/>
                <w:b/>
                <w:bCs/>
                <w:color w:val="F1C40F"/>
                <w:sz w:val="18"/>
                <w:szCs w:val="18"/>
              </w:rPr>
              <w:t xml:space="preserve">Medium</w:t>
            </w:r>
          </w:p>
        </w:tc>
        <w:tc>
          <w:tcPr>
            <w:tcW w:type="dxa" w:w="1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On-Premise</w:t>
            </w:r>
          </w:p>
        </w:tc>
        <w:tc>
          <w:tcPr>
            <w:tcW w:type="dxa" w:w="2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IP camera network and access control badge readers</w:t>
            </w:r>
          </w:p>
        </w:tc>
      </w:tr>
      <w:tr>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bCs/>
                <w:sz w:val="18"/>
                <w:szCs w:val="18"/>
              </w:rPr>
              <w:t xml:space="preserve">A-012</w:t>
            </w:r>
          </w:p>
        </w:tc>
        <w:tc>
          <w:tcPr>
            <w:tcW w:type="dxa" w:w="1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Cloud Storage (AWS S3)</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Cloud Storage</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Dev Team</w:t>
            </w:r>
          </w:p>
        </w:tc>
        <w:tc>
          <w:tcPr>
            <w:tcW w:type="dxa" w:w="900"/>
            <w:tcBorders>
              <w:top w:val="single" w:color="BDC3C7" w:sz="1"/>
              <w:left w:val="single" w:color="BDC3C7" w:sz="1"/>
              <w:bottom w:val="single" w:color="BDC3C7" w:sz="1"/>
              <w:right w:val="single" w:color="BDC3C7"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8"/>
                <w:szCs w:val="18"/>
              </w:rPr>
              <w:t xml:space="preserve">High</w:t>
            </w:r>
          </w:p>
        </w:tc>
        <w:tc>
          <w:tcPr>
            <w:tcW w:type="dxa" w:w="10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Cloud (AWS)</w:t>
            </w:r>
          </w:p>
        </w:tc>
        <w:tc>
          <w:tcPr>
            <w:tcW w:type="dxa" w:w="2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Stores application artefacts, employee documents, and logs</w:t>
            </w:r>
          </w:p>
        </w:tc>
      </w:tr>
    </w:tbl>
    <w:p>
      <w:pPr>
        <w:spacing w:before="60" w:after="60"/>
      </w:pPr>
      <w:r>
        <w:t xml:space="preserve"/>
      </w:r>
    </w:p>
    <w:p>
      <w:pPr>
        <w:pStyle w:val="Heading2"/>
        <w:spacing w:before="240" w:after="120"/>
      </w:pPr>
      <w:r>
        <w:rPr>
          <w:rFonts w:ascii="Arial" w:cs="Arial" w:eastAsia="Arial" w:hAnsi="Arial"/>
          <w:b/>
          <w:bCs/>
          <w:color w:val="2C5F8A"/>
          <w:sz w:val="28"/>
          <w:szCs w:val="28"/>
        </w:rPr>
        <w:t xml:space="preserve">2.4 User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Category</w:t>
            </w:r>
          </w:p>
        </w:tc>
        <w:tc>
          <w:tcPr>
            <w:tcW w:type="dxa" w:w="30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Count</w:t>
            </w:r>
          </w:p>
        </w:tc>
        <w:tc>
          <w:tcPr>
            <w:tcW w:type="dxa" w:w="436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Access Level</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0"/>
                <w:szCs w:val="20"/>
              </w:rPr>
              <w:t xml:space="preserve">System Administrators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privileged access to all systems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IT &amp; Network Engineers</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Network, server, and infrastructure access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0"/>
                <w:szCs w:val="20"/>
              </w:rPr>
              <w:t xml:space="preserve">Software Developers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Code repositories, dev/staging environments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Finance &amp; Compliance</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Financial data, transaction records, reports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0"/>
                <w:szCs w:val="20"/>
              </w:rPr>
              <w:t xml:space="preserve">Customer Support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Read-only access to customer accounts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General Employees</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102</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Email, internal tools, wiki, CRM</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0"/>
                <w:szCs w:val="20"/>
              </w:rPr>
              <w:t xml:space="preserve">External Customers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~85,000</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 portal, mobile app, API</w:t>
            </w:r>
          </w:p>
        </w:tc>
      </w:tr>
    </w:tbl>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3. Audit Methodology</w:t>
      </w:r>
    </w:p>
    <w:p>
      <w:pPr>
        <w:pStyle w:val="Heading2"/>
        <w:spacing w:before="240" w:after="120"/>
      </w:pPr>
      <w:r>
        <w:rPr>
          <w:rFonts w:ascii="Arial" w:cs="Arial" w:eastAsia="Arial" w:hAnsi="Arial"/>
          <w:b/>
          <w:bCs/>
          <w:color w:val="2C5F8A"/>
          <w:sz w:val="28"/>
          <w:szCs w:val="28"/>
        </w:rPr>
        <w:t xml:space="preserve">3.1 Frameworks &amp; Standards Applied</w:t>
      </w:r>
    </w:p>
    <w:p>
      <w:pPr>
        <w:spacing w:before="80" w:after="80"/>
      </w:pPr>
      <w:r>
        <w:rPr>
          <w:rFonts w:ascii="Arial" w:cs="Arial" w:eastAsia="Arial" w:hAnsi="Arial"/>
          <w:sz w:val="22"/>
          <w:szCs w:val="22"/>
        </w:rPr>
        <w:t xml:space="preserve">This assessment was conducted in accordance with the following recognised international frameworks: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single" w:color="2C5F8A" w:sz="6"/>
              <w:bottom w:val="single" w:color="2C5F8A" w:sz="6"/>
              <w:right w:val="single" w:color="2C5F8A" w:sz="6"/>
            </w:tcBorders>
            <w:shd w:fill="D6E4F0"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NIST Cybersecurity Framework (CSF) v1.1</w:t>
            </w:r>
          </w:p>
          <w:p>
            <w:pPr>
              <w:spacing w:before="30" w:after="30"/>
            </w:pPr>
            <w:r>
              <w:rPr>
                <w:rFonts w:ascii="Arial" w:cs="Arial" w:eastAsia="Arial" w:hAnsi="Arial"/>
                <w:sz w:val="20"/>
                <w:szCs w:val="20"/>
              </w:rPr>
              <w:t xml:space="preserve">Five core functions — Identify, Protect, Detect, Respond, Recover — were used to structure audit activities.</w:t>
            </w:r>
          </w:p>
          <w:p>
            <w:pPr>
              <w:spacing w:before="30" w:after="30"/>
            </w:pPr>
            <w:r>
              <w:rPr>
                <w:rFonts w:ascii="Arial" w:cs="Arial" w:eastAsia="Arial" w:hAnsi="Arial"/>
                <w:sz w:val="20"/>
                <w:szCs w:val="20"/>
              </w:rPr>
              <w:t xml:space="preserve">Control mappings are referenced throughout this report as "PR.AC", "DE.CM", "RS.RP", etc.</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single" w:color="2C5F8A" w:sz="6"/>
              <w:bottom w:val="single" w:color="2C5F8A" w:sz="6"/>
              <w:right w:val="single" w:color="2C5F8A" w:sz="6"/>
            </w:tcBorders>
            <w:shd w:fill="D5F0EC"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ISO/IEC 27001:2022 – Information Security Management</w:t>
            </w:r>
          </w:p>
          <w:p>
            <w:pPr>
              <w:spacing w:before="30" w:after="30"/>
            </w:pPr>
            <w:r>
              <w:rPr>
                <w:rFonts w:ascii="Arial" w:cs="Arial" w:eastAsia="Arial" w:hAnsi="Arial"/>
                <w:sz w:val="20"/>
                <w:szCs w:val="20"/>
              </w:rPr>
              <w:t xml:space="preserve">Annex A controls (A.5 through A.18) were used to evaluate policy compliance, access control, cryptography,</w:t>
            </w:r>
          </w:p>
          <w:p>
            <w:pPr>
              <w:spacing w:before="30" w:after="30"/>
            </w:pPr>
            <w:r>
              <w:rPr>
                <w:rFonts w:ascii="Arial" w:cs="Arial" w:eastAsia="Arial" w:hAnsi="Arial"/>
                <w:sz w:val="20"/>
                <w:szCs w:val="20"/>
              </w:rPr>
              <w:t xml:space="preserve">network security, system development, and incident management practices.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single" w:color="2C5F8A" w:sz="6"/>
              <w:bottom w:val="single" w:color="2C5F8A" w:sz="6"/>
              <w:right w:val="single" w:color="2C5F8A" w:sz="6"/>
            </w:tcBorders>
            <w:shd w:fill="D6E4F0"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OWASP Top 10 (2021) &amp; OWASP Testing Guide v4</w:t>
            </w:r>
          </w:p>
          <w:p>
            <w:pPr>
              <w:spacing w:before="30" w:after="30"/>
            </w:pPr>
            <w:r>
              <w:rPr>
                <w:rFonts w:ascii="Arial" w:cs="Arial" w:eastAsia="Arial" w:hAnsi="Arial"/>
                <w:sz w:val="20"/>
                <w:szCs w:val="20"/>
              </w:rPr>
              <w:t xml:space="preserve">Used as the primary reference for web application vulnerability assessment, including injection, broken</w:t>
            </w:r>
          </w:p>
          <w:p>
            <w:pPr>
              <w:spacing w:before="30" w:after="30"/>
            </w:pPr>
            <w:r>
              <w:rPr>
                <w:rFonts w:ascii="Arial" w:cs="Arial" w:eastAsia="Arial" w:hAnsi="Arial"/>
                <w:sz w:val="20"/>
                <w:szCs w:val="20"/>
              </w:rPr>
              <w:t xml:space="preserve">authentication, security misconfiguration, and vulnerable / outdated components.</w:t>
            </w:r>
          </w:p>
        </w:tc>
      </w:tr>
    </w:tbl>
    <w:p>
      <w:pPr>
        <w:spacing w:before="60" w:after="60"/>
      </w:pPr>
      <w:r>
        <w:t xml:space="preserve"/>
      </w:r>
    </w:p>
    <w:p>
      <w:pPr>
        <w:pStyle w:val="Heading2"/>
        <w:spacing w:before="240" w:after="120"/>
      </w:pPr>
      <w:r>
        <w:rPr>
          <w:rFonts w:ascii="Arial" w:cs="Arial" w:eastAsia="Arial" w:hAnsi="Arial"/>
          <w:b/>
          <w:bCs/>
          <w:color w:val="2C5F8A"/>
          <w:sz w:val="28"/>
          <w:szCs w:val="28"/>
        </w:rPr>
        <w:t xml:space="preserve">3.2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w:t>
            </w:r>
          </w:p>
        </w:tc>
        <w:tc>
          <w:tcPr>
            <w:tcW w:type="dxa" w:w="20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276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c>
          <w:tcPr>
            <w:tcW w:type="dxa" w:w="28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Findings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8"/>
                <w:szCs w:val="18"/>
              </w:rPr>
              <w:t xml:space="preserve">OWASP ZAP</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8"/>
                <w:szCs w:val="18"/>
              </w:rPr>
              <w:t xml:space="preserve">2.14.0</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8"/>
                <w:szCs w:val="18"/>
              </w:rPr>
              <w:t xml:space="preserve">Web application vulnerability scanning, active &amp; passive scan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8"/>
                <w:szCs w:val="18"/>
              </w:rPr>
              <w:t xml:space="preserve">VND-001, 006, 008</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18"/>
                <w:szCs w:val="18"/>
              </w:rPr>
              <w:t xml:space="preserve">Nmap</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18"/>
                <w:szCs w:val="18"/>
              </w:rPr>
              <w:t xml:space="preserve">7.94</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18"/>
                <w:szCs w:val="18"/>
              </w:rPr>
              <w:t xml:space="preserve">Network discovery, port scanning, OS and version detection</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18"/>
                <w:szCs w:val="18"/>
              </w:rPr>
              <w:t xml:space="preserve">VND-004, 007, 002</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8"/>
                <w:szCs w:val="18"/>
              </w:rPr>
              <w:t xml:space="preserve">Wireshark</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8"/>
                <w:szCs w:val="18"/>
              </w:rPr>
              <w:t xml:space="preserve">4.2.0</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8"/>
                <w:szCs w:val="18"/>
              </w:rPr>
              <w:t xml:space="preserve">Network traffic capture and protocol analysis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8"/>
                <w:szCs w:val="18"/>
              </w:rPr>
              <w:t xml:space="preserve">VND-005, 013</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18"/>
                <w:szCs w:val="18"/>
              </w:rPr>
              <w:t xml:space="preserve">Nessus</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18"/>
                <w:szCs w:val="18"/>
              </w:rPr>
              <w:t xml:space="preserve">10.6</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18"/>
                <w:szCs w:val="18"/>
              </w:rPr>
              <w:t xml:space="preserve">Vulnerability scanning across all network hosts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18"/>
                <w:szCs w:val="18"/>
              </w:rPr>
              <w:t xml:space="preserve">VND-002, 009</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8"/>
                <w:szCs w:val="18"/>
              </w:rPr>
              <w:t xml:space="preserve">Metasploit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8"/>
                <w:szCs w:val="18"/>
              </w:rPr>
              <w:t xml:space="preserve">6.3</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8"/>
                <w:szCs w:val="18"/>
              </w:rPr>
              <w:t xml:space="preserve">Controlled exploitation for PoC verification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8"/>
                <w:szCs w:val="18"/>
              </w:rPr>
              <w:t xml:space="preserve">VND-002, 006</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18"/>
                <w:szCs w:val="18"/>
              </w:rPr>
              <w:t xml:space="preserve">Burp Suite Pro</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18"/>
                <w:szCs w:val="18"/>
              </w:rPr>
              <w:t xml:space="preserve">2023.10</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18"/>
                <w:szCs w:val="18"/>
              </w:rPr>
              <w:t xml:space="preserve">Manual web application testing and interception</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18"/>
                <w:szCs w:val="18"/>
              </w:rPr>
              <w:t xml:space="preserve">VND-006, 008</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8"/>
                <w:szCs w:val="18"/>
              </w:rPr>
              <w:t xml:space="preserve">Active Directory Audit Tool</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8"/>
                <w:szCs w:val="18"/>
              </w:rPr>
              <w:t xml:space="preserve">Internal</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8"/>
                <w:szCs w:val="18"/>
              </w:rPr>
              <w:t xml:space="preserve">IAM review and privilege enumeration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18"/>
                <w:szCs w:val="18"/>
              </w:rPr>
              <w:t xml:space="preserve">VND-011</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18"/>
                <w:szCs w:val="18"/>
              </w:rPr>
              <w:t xml:space="preserve">Manual Review</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18"/>
                <w:szCs w:val="18"/>
              </w:rPr>
              <w:t xml:space="preserve">N/A</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18"/>
                <w:szCs w:val="18"/>
              </w:rPr>
              <w:t xml:space="preserve">Policy, compliance, and configuration review</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18"/>
                <w:szCs w:val="18"/>
              </w:rPr>
              <w:t xml:space="preserve">VND-003, 009, 010, 012, 014</w:t>
            </w:r>
          </w:p>
        </w:tc>
      </w:tr>
    </w:tbl>
    <w:p>
      <w:pPr>
        <w:spacing w:before="60" w:after="60"/>
      </w:pPr>
      <w:r>
        <w:t xml:space="preserve"/>
      </w:r>
    </w:p>
    <w:p>
      <w:pPr>
        <w:pStyle w:val="Heading2"/>
        <w:spacing w:before="240" w:after="120"/>
      </w:pPr>
      <w:r>
        <w:rPr>
          <w:rFonts w:ascii="Arial" w:cs="Arial" w:eastAsia="Arial" w:hAnsi="Arial"/>
          <w:b/>
          <w:bCs/>
          <w:color w:val="2C5F8A"/>
          <w:sz w:val="28"/>
          <w:szCs w:val="28"/>
        </w:rPr>
        <w:t xml:space="preserve">3.3 Audit Phases</w:t>
      </w:r>
    </w:p>
    <w:p>
      <w:pPr>
        <w:pStyle w:val="ListParagraph"/>
        <w:numPr>
          <w:ilvl w:val="0"/>
          <w:numId w:val="3"/>
        </w:numPr>
        <w:spacing w:before="60" w:after="60"/>
      </w:pPr>
      <w:r>
        <w:rPr>
          <w:rFonts w:ascii="Arial" w:cs="Arial" w:eastAsia="Arial" w:hAnsi="Arial"/>
          <w:sz w:val="22"/>
          <w:szCs w:val="22"/>
        </w:rPr>
        <w:t xml:space="preserve">Planning &amp; Scoping: Asset inventory, rules of engagement, stakeholder interviews, audit schedule.</w:t>
      </w:r>
    </w:p>
    <w:p>
      <w:pPr>
        <w:pStyle w:val="ListParagraph"/>
        <w:numPr>
          <w:ilvl w:val="0"/>
          <w:numId w:val="3"/>
        </w:numPr>
        <w:spacing w:before="60" w:after="60"/>
      </w:pPr>
      <w:r>
        <w:rPr>
          <w:rFonts w:ascii="Arial" w:cs="Arial" w:eastAsia="Arial" w:hAnsi="Arial"/>
          <w:sz w:val="22"/>
          <w:szCs w:val="22"/>
        </w:rPr>
        <w:t xml:space="preserve">Reconnaissance &amp; Discovery: Nmap network scans, passive OSINT, DNS enumeration, asset fingerprinting.</w:t>
      </w:r>
    </w:p>
    <w:p>
      <w:pPr>
        <w:pStyle w:val="ListParagraph"/>
        <w:numPr>
          <w:ilvl w:val="0"/>
          <w:numId w:val="3"/>
        </w:numPr>
        <w:spacing w:before="60" w:after="60"/>
      </w:pPr>
      <w:r>
        <w:rPr>
          <w:rFonts w:ascii="Arial" w:cs="Arial" w:eastAsia="Arial" w:hAnsi="Arial"/>
          <w:sz w:val="22"/>
          <w:szCs w:val="22"/>
        </w:rPr>
        <w:t xml:space="preserve">Vulnerability Assessment: Automated scanning (ZAP, Nessus) across all in-scope systems.</w:t>
      </w:r>
    </w:p>
    <w:p>
      <w:pPr>
        <w:pStyle w:val="ListParagraph"/>
        <w:numPr>
          <w:ilvl w:val="0"/>
          <w:numId w:val="3"/>
        </w:numPr>
        <w:spacing w:before="60" w:after="60"/>
      </w:pPr>
      <w:r>
        <w:rPr>
          <w:rFonts w:ascii="Arial" w:cs="Arial" w:eastAsia="Arial" w:hAnsi="Arial"/>
          <w:sz w:val="22"/>
          <w:szCs w:val="22"/>
        </w:rPr>
        <w:t xml:space="preserve">Manual Testing &amp; Exploitation (Controlled): Verification of critical findings via Burp Suite and Metasploit in isolated test window.</w:t>
      </w:r>
    </w:p>
    <w:p>
      <w:pPr>
        <w:pStyle w:val="ListParagraph"/>
        <w:numPr>
          <w:ilvl w:val="0"/>
          <w:numId w:val="3"/>
        </w:numPr>
        <w:spacing w:before="60" w:after="60"/>
      </w:pPr>
      <w:r>
        <w:rPr>
          <w:rFonts w:ascii="Arial" w:cs="Arial" w:eastAsia="Arial" w:hAnsi="Arial"/>
          <w:sz w:val="22"/>
          <w:szCs w:val="22"/>
        </w:rPr>
        <w:t xml:space="preserve">Traffic Analysis: Wireshark captures on internal network segments to detect cleartext transmission.</w:t>
      </w:r>
    </w:p>
    <w:p>
      <w:pPr>
        <w:pStyle w:val="ListParagraph"/>
        <w:numPr>
          <w:ilvl w:val="0"/>
          <w:numId w:val="3"/>
        </w:numPr>
        <w:spacing w:before="60" w:after="60"/>
      </w:pPr>
      <w:r>
        <w:rPr>
          <w:rFonts w:ascii="Arial" w:cs="Arial" w:eastAsia="Arial" w:hAnsi="Arial"/>
          <w:sz w:val="22"/>
          <w:szCs w:val="22"/>
        </w:rPr>
        <w:t xml:space="preserve">Policy &amp; Compliance Review: Documentation review against NIST CSF and ISO 27001 Annex A.</w:t>
      </w:r>
    </w:p>
    <w:p>
      <w:pPr>
        <w:pStyle w:val="ListParagraph"/>
        <w:numPr>
          <w:ilvl w:val="0"/>
          <w:numId w:val="3"/>
        </w:numPr>
        <w:spacing w:before="60" w:after="60"/>
      </w:pPr>
      <w:r>
        <w:rPr>
          <w:rFonts w:ascii="Arial" w:cs="Arial" w:eastAsia="Arial" w:hAnsi="Arial"/>
          <w:sz w:val="22"/>
          <w:szCs w:val="22"/>
        </w:rPr>
        <w:t xml:space="preserve">Reporting &amp; Recommendations: Risk scoring, framework mapping, and mitigation recommendations.</w:t>
      </w:r>
    </w:p>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4. Risk Assessment</w:t>
      </w:r>
    </w:p>
    <w:p>
      <w:pPr>
        <w:pStyle w:val="Heading2"/>
        <w:spacing w:before="240" w:after="120"/>
      </w:pPr>
      <w:r>
        <w:rPr>
          <w:rFonts w:ascii="Arial" w:cs="Arial" w:eastAsia="Arial" w:hAnsi="Arial"/>
          <w:b/>
          <w:bCs/>
          <w:color w:val="2C5F8A"/>
          <w:sz w:val="28"/>
          <w:szCs w:val="28"/>
        </w:rPr>
        <w:t xml:space="preserve">4.1 Threat Landscape</w:t>
      </w:r>
    </w:p>
    <w:p>
      <w:pPr>
        <w:spacing w:before="80" w:after="80"/>
      </w:pPr>
      <w:r>
        <w:rPr>
          <w:rFonts w:ascii="Arial" w:cs="Arial" w:eastAsia="Arial" w:hAnsi="Arial"/>
          <w:sz w:val="22"/>
          <w:szCs w:val="22"/>
        </w:rPr>
        <w:t xml:space="preserve">Vendmo Tech, as a fintech handling payment data and PII, operates in a high-threat environment. The following threat categories were assessed as most relevant: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280"/>
        <w:gridCol w:w="2280"/>
      </w:tblGrid>
      <w:tr>
        <w:tc>
          <w:tcPr>
            <w:tcW w:type="dxa" w:w="18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Threat Category</w:t>
            </w:r>
          </w:p>
        </w:tc>
        <w:tc>
          <w:tcPr>
            <w:tcW w:type="dxa" w:w="40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128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Likelihood</w:t>
            </w:r>
          </w:p>
        </w:tc>
        <w:tc>
          <w:tcPr>
            <w:tcW w:type="dxa" w:w="228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Example Vectors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18"/>
                <w:szCs w:val="18"/>
              </w:rPr>
              <w:t xml:space="preserve">Phishing / Social Engineering</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Targeted email attacks to steal credentials or deploy malware</w:t>
            </w:r>
          </w:p>
        </w:tc>
        <w:tc>
          <w:tcPr>
            <w:tcW w:type="dxa" w:w="1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HIGH</w:t>
            </w:r>
          </w:p>
        </w:tc>
        <w:tc>
          <w:tcPr>
            <w:tcW w:type="dxa" w:w="2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Spear-phishing, BEC, credential harvesting pages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18"/>
                <w:szCs w:val="18"/>
              </w:rPr>
              <w:t xml:space="preserve">Malware &amp; Ransomware</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Malicious software encrypting or exfiltrating data for financial gain</w:t>
            </w:r>
          </w:p>
        </w:tc>
        <w:tc>
          <w:tcPr>
            <w:tcW w:type="dxa" w:w="12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E67E22"/>
                <w:sz w:val="18"/>
                <w:szCs w:val="18"/>
              </w:rPr>
              <w:t xml:space="preserve">HIGH</w:t>
            </w:r>
          </w:p>
        </w:tc>
        <w:tc>
          <w:tcPr>
            <w:tcW w:type="dxa" w:w="22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Drive-by downloads, malicious attachments, supply chain</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18"/>
                <w:szCs w:val="18"/>
              </w:rPr>
              <w:t xml:space="preserve">Web Application Attacks</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Exploitation of vulnerabilities in internet-facing applications</w:t>
            </w:r>
          </w:p>
        </w:tc>
        <w:tc>
          <w:tcPr>
            <w:tcW w:type="dxa" w:w="1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E67E22"/>
                <w:sz w:val="18"/>
                <w:szCs w:val="18"/>
              </w:rPr>
              <w:t xml:space="preserve">HIGH</w:t>
            </w:r>
          </w:p>
        </w:tc>
        <w:tc>
          <w:tcPr>
            <w:tcW w:type="dxa" w:w="2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SQLi, XSS, IDOR, broken authentication</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18"/>
                <w:szCs w:val="18"/>
              </w:rPr>
              <w:t xml:space="preserve">Insider Threats</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Malicious or negligent employees abusing access to sensitive data</w:t>
            </w:r>
          </w:p>
        </w:tc>
        <w:tc>
          <w:tcPr>
            <w:tcW w:type="dxa" w:w="12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F1C40F"/>
                <w:sz w:val="18"/>
                <w:szCs w:val="18"/>
              </w:rPr>
              <w:t xml:space="preserve">MEDIUM</w:t>
            </w:r>
          </w:p>
        </w:tc>
        <w:tc>
          <w:tcPr>
            <w:tcW w:type="dxa" w:w="22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Privilege abuse, data exfiltration, sabotage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18"/>
                <w:szCs w:val="18"/>
              </w:rPr>
              <w:t xml:space="preserve">Supply Chain Compromise</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Compromise via third-party vendors, open-source libraries</w:t>
            </w:r>
          </w:p>
        </w:tc>
        <w:tc>
          <w:tcPr>
            <w:tcW w:type="dxa" w:w="1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F1C40F"/>
                <w:sz w:val="18"/>
                <w:szCs w:val="18"/>
              </w:rPr>
              <w:t xml:space="preserve">MEDIUM</w:t>
            </w:r>
          </w:p>
        </w:tc>
        <w:tc>
          <w:tcPr>
            <w:tcW w:type="dxa" w:w="2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Malicious packages, compromised vendor portals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18"/>
                <w:szCs w:val="18"/>
              </w:rPr>
              <w:t xml:space="preserve">Network Intrusion</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Unauthorised access via perimeter weaknesses or lateral movement</w:t>
            </w:r>
          </w:p>
        </w:tc>
        <w:tc>
          <w:tcPr>
            <w:tcW w:type="dxa" w:w="12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E67E22"/>
                <w:sz w:val="18"/>
                <w:szCs w:val="18"/>
              </w:rPr>
              <w:t xml:space="preserve">HIGH</w:t>
            </w:r>
          </w:p>
        </w:tc>
        <w:tc>
          <w:tcPr>
            <w:tcW w:type="dxa" w:w="22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Exploitation of open ports, default credentials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18"/>
                <w:szCs w:val="18"/>
              </w:rPr>
              <w:t xml:space="preserve">DDoS Attacks</w:t>
            </w:r>
          </w:p>
        </w:tc>
        <w:tc>
          <w:tcPr>
            <w:tcW w:type="dxa" w:w="4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Volumetric attacks targeting availability of payment services</w:t>
            </w:r>
          </w:p>
        </w:tc>
        <w:tc>
          <w:tcPr>
            <w:tcW w:type="dxa" w:w="1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color w:val="F1C40F"/>
                <w:sz w:val="18"/>
                <w:szCs w:val="18"/>
              </w:rPr>
              <w:t xml:space="preserve">MEDIUM</w:t>
            </w:r>
          </w:p>
        </w:tc>
        <w:tc>
          <w:tcPr>
            <w:tcW w:type="dxa" w:w="2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Botnets, amplification attacks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18"/>
                <w:szCs w:val="18"/>
              </w:rPr>
              <w:t xml:space="preserve">Data Theft / Exfiltration</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Targeted theft of customer PII, payment data, or IP</w:t>
            </w:r>
          </w:p>
        </w:tc>
        <w:tc>
          <w:tcPr>
            <w:tcW w:type="dxa" w:w="12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color w:val="E67E22"/>
                <w:sz w:val="18"/>
                <w:szCs w:val="18"/>
              </w:rPr>
              <w:t xml:space="preserve">HIGH</w:t>
            </w:r>
          </w:p>
        </w:tc>
        <w:tc>
          <w:tcPr>
            <w:tcW w:type="dxa" w:w="22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API abuse, DB exploitation, insider exfil</w:t>
            </w:r>
          </w:p>
        </w:tc>
      </w:tr>
    </w:tbl>
    <w:p>
      <w:pPr>
        <w:spacing w:before="60" w:after="60"/>
      </w:pPr>
      <w:r>
        <w:t xml:space="preserve"/>
      </w:r>
    </w:p>
    <w:p>
      <w:pPr>
        <w:pStyle w:val="Heading2"/>
        <w:spacing w:before="240" w:after="120"/>
      </w:pPr>
      <w:r>
        <w:rPr>
          <w:rFonts w:ascii="Arial" w:cs="Arial" w:eastAsia="Arial" w:hAnsi="Arial"/>
          <w:b/>
          <w:bCs/>
          <w:color w:val="2C5F8A"/>
          <w:sz w:val="28"/>
          <w:szCs w:val="28"/>
        </w:rPr>
        <w:t xml:space="preserve">4.2 Risk Assessment Matrix</w:t>
      </w:r>
    </w:p>
    <w:p>
      <w:pPr>
        <w:spacing w:before="80" w:after="80"/>
      </w:pPr>
      <w:r>
        <w:rPr>
          <w:rFonts w:ascii="Arial" w:cs="Arial" w:eastAsia="Arial" w:hAnsi="Arial"/>
          <w:sz w:val="22"/>
          <w:szCs w:val="22"/>
        </w:rPr>
        <w:t xml:space="preserve">Risks are scored using a standard Likelihood × Impact matrix. Scores range from 1 (lowest) to 25 (highest). The matrix below illustrates the risk scoring framework used throughout this report.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560"/>
      </w:tblGrid>
      <w:tr>
        <w:tc>
          <w:tcPr>
            <w:tcW w:type="dxa" w:w="1800"/>
            <w:gridSpan w:val="1"/>
            <w:tcBorders>
              <w:top w:val="single" w:color="BDC3C7" w:sz="1"/>
              <w:left w:val="single" w:color="BDC3C7" w:sz="1"/>
              <w:bottom w:val="single" w:color="BDC3C7" w:sz="1"/>
              <w:right w:val="single" w:color="BDC3C7" w:sz="1"/>
            </w:tcBorders>
            <w:shd w:fill="0D7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Likelihood \ Impact</w:t>
            </w:r>
          </w:p>
        </w:tc>
        <w:tc>
          <w:tcPr>
            <w:tcW w:type="dxa" w:w="12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1 - Rare</w:t>
            </w:r>
          </w:p>
        </w:tc>
        <w:tc>
          <w:tcPr>
            <w:tcW w:type="dxa" w:w="12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2 - Unlikely</w:t>
            </w:r>
          </w:p>
        </w:tc>
        <w:tc>
          <w:tcPr>
            <w:tcW w:type="dxa" w:w="12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3 - Possible</w:t>
            </w:r>
          </w:p>
        </w:tc>
        <w:tc>
          <w:tcPr>
            <w:tcW w:type="dxa" w:w="12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4 - Likely</w:t>
            </w:r>
          </w:p>
        </w:tc>
        <w:tc>
          <w:tcPr>
            <w:tcW w:type="dxa" w:w="12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5 - Certain</w:t>
            </w:r>
          </w:p>
        </w:tc>
        <w:tc>
          <w:tcPr>
            <w:tcW w:type="dxa" w:w="156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w:r>
          </w:p>
        </w:tc>
      </w:tr>
      <w:tr>
        <w:tc>
          <w:tcPr>
            <w:tcW w:type="dxa" w:w="1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pPr>
              <w:jc w:val="center"/>
            </w:pPr>
            <w:r>
              <w:rPr>
                <w:rFonts w:ascii="Arial" w:cs="Arial" w:eastAsia="Arial" w:hAnsi="Arial"/>
                <w:b/>
                <w:bCs/>
                <w:color w:val="1A2E4A"/>
                <w:sz w:val="20"/>
                <w:szCs w:val="20"/>
              </w:rPr>
              <w:t xml:space="preserve">5 – Certain</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jc w:val="center"/>
            </w:pPr>
            <w:r>
              <w:rPr>
                <w:rFonts w:ascii="Arial" w:cs="Arial" w:eastAsia="Arial" w:hAnsi="Arial"/>
                <w:b/>
                <w:bCs/>
                <w:color w:val="F1C40F"/>
                <w:sz w:val="22"/>
                <w:szCs w:val="22"/>
              </w:rPr>
              <w:t xml:space="preserve">5</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10</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15</w:t>
            </w:r>
          </w:p>
        </w:tc>
        <w:tc>
          <w:tcPr>
            <w:tcW w:type="dxa" w:w="1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20</w:t>
            </w:r>
          </w:p>
        </w:tc>
        <w:tc>
          <w:tcPr>
            <w:tcW w:type="dxa" w:w="1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25</w:t>
            </w:r>
          </w:p>
        </w:tc>
        <w:tc>
          <w:tcPr>
            <w:tcW w:type="dxa" w:w="1560"/>
            <w:tcBorders>
              <w:top w:val="single" w:color="BDC3C7" w:sz="1"/>
              <w:left w:val="single" w:color="BDC3C7" w:sz="1"/>
              <w:bottom w:val="single" w:color="BDC3C7" w:sz="1"/>
              <w:right w:val="single" w:color="BDC3C7" w:sz="1"/>
            </w:tcBorders>
            <w:shd w:fill="F2F4F6"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pPr>
              <w:jc w:val="center"/>
            </w:pPr>
            <w:r>
              <w:rPr>
                <w:rFonts w:ascii="Arial" w:cs="Arial" w:eastAsia="Arial" w:hAnsi="Arial"/>
                <w:b/>
                <w:bCs/>
                <w:color w:val="1A2E4A"/>
                <w:sz w:val="20"/>
                <w:szCs w:val="20"/>
              </w:rPr>
              <w:t xml:space="preserve">4 – Likely</w:t>
            </w:r>
          </w:p>
        </w:tc>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4</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jc w:val="center"/>
            </w:pPr>
            <w:r>
              <w:rPr>
                <w:rFonts w:ascii="Arial" w:cs="Arial" w:eastAsia="Arial" w:hAnsi="Arial"/>
                <w:b/>
                <w:bCs/>
                <w:color w:val="F1C40F"/>
                <w:sz w:val="22"/>
                <w:szCs w:val="22"/>
              </w:rPr>
              <w:t xml:space="preserve">8</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12</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16</w:t>
            </w:r>
          </w:p>
        </w:tc>
        <w:tc>
          <w:tcPr>
            <w:tcW w:type="dxa" w:w="1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C0392B"/>
                <w:sz w:val="22"/>
                <w:szCs w:val="22"/>
              </w:rPr>
              <w:t xml:space="preserve">20</w:t>
            </w:r>
          </w:p>
        </w:tc>
        <w:tc>
          <w:tcPr>
            <w:tcW w:type="dxa" w:w="1560"/>
            <w:tcBorders>
              <w:top w:val="single" w:color="BDC3C7" w:sz="1"/>
              <w:left w:val="single" w:color="BDC3C7" w:sz="1"/>
              <w:bottom w:val="single" w:color="BDC3C7" w:sz="1"/>
              <w:right w:val="single" w:color="BDC3C7" w:sz="1"/>
            </w:tcBorders>
            <w:shd w:fill="F2F4F6"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pPr>
              <w:jc w:val="center"/>
            </w:pPr>
            <w:r>
              <w:rPr>
                <w:rFonts w:ascii="Arial" w:cs="Arial" w:eastAsia="Arial" w:hAnsi="Arial"/>
                <w:b/>
                <w:bCs/>
                <w:color w:val="1A2E4A"/>
                <w:sz w:val="20"/>
                <w:szCs w:val="20"/>
              </w:rPr>
              <w:t xml:space="preserve">3 – Possible</w:t>
            </w:r>
          </w:p>
        </w:tc>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3</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jc w:val="center"/>
            </w:pPr>
            <w:r>
              <w:rPr>
                <w:rFonts w:ascii="Arial" w:cs="Arial" w:eastAsia="Arial" w:hAnsi="Arial"/>
                <w:b/>
                <w:bCs/>
                <w:color w:val="F1C40F"/>
                <w:sz w:val="22"/>
                <w:szCs w:val="22"/>
              </w:rPr>
              <w:t xml:space="preserve">6</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jc w:val="center"/>
            </w:pPr>
            <w:r>
              <w:rPr>
                <w:rFonts w:ascii="Arial" w:cs="Arial" w:eastAsia="Arial" w:hAnsi="Arial"/>
                <w:b/>
                <w:bCs/>
                <w:color w:val="F1C40F"/>
                <w:sz w:val="22"/>
                <w:szCs w:val="22"/>
              </w:rPr>
              <w:t xml:space="preserve">9</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12</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15</w:t>
            </w:r>
          </w:p>
        </w:tc>
        <w:tc>
          <w:tcPr>
            <w:tcW w:type="dxa" w:w="1560"/>
            <w:tcBorders>
              <w:top w:val="single" w:color="BDC3C7" w:sz="1"/>
              <w:left w:val="single" w:color="BDC3C7" w:sz="1"/>
              <w:bottom w:val="single" w:color="BDC3C7" w:sz="1"/>
              <w:right w:val="single" w:color="BDC3C7" w:sz="1"/>
            </w:tcBorders>
            <w:shd w:fill="F2F4F6"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pPr>
              <w:jc w:val="center"/>
            </w:pPr>
            <w:r>
              <w:rPr>
                <w:rFonts w:ascii="Arial" w:cs="Arial" w:eastAsia="Arial" w:hAnsi="Arial"/>
                <w:b/>
                <w:bCs/>
                <w:color w:val="1A2E4A"/>
                <w:sz w:val="20"/>
                <w:szCs w:val="20"/>
              </w:rPr>
              <w:t xml:space="preserve">2 – Unlikely</w:t>
            </w:r>
          </w:p>
        </w:tc>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2</w:t>
            </w:r>
          </w:p>
        </w:tc>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4</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jc w:val="center"/>
            </w:pPr>
            <w:r>
              <w:rPr>
                <w:rFonts w:ascii="Arial" w:cs="Arial" w:eastAsia="Arial" w:hAnsi="Arial"/>
                <w:b/>
                <w:bCs/>
                <w:color w:val="F1C40F"/>
                <w:sz w:val="22"/>
                <w:szCs w:val="22"/>
              </w:rPr>
              <w:t xml:space="preserve">6</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jc w:val="center"/>
            </w:pPr>
            <w:r>
              <w:rPr>
                <w:rFonts w:ascii="Arial" w:cs="Arial" w:eastAsia="Arial" w:hAnsi="Arial"/>
                <w:b/>
                <w:bCs/>
                <w:color w:val="F1C40F"/>
                <w:sz w:val="22"/>
                <w:szCs w:val="22"/>
              </w:rPr>
              <w:t xml:space="preserve">8</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22"/>
                <w:szCs w:val="22"/>
              </w:rPr>
              <w:t xml:space="preserve">10</w:t>
            </w:r>
          </w:p>
        </w:tc>
        <w:tc>
          <w:tcPr>
            <w:tcW w:type="dxa" w:w="1560"/>
            <w:tcBorders>
              <w:top w:val="single" w:color="BDC3C7" w:sz="1"/>
              <w:left w:val="single" w:color="BDC3C7" w:sz="1"/>
              <w:bottom w:val="single" w:color="BDC3C7" w:sz="1"/>
              <w:right w:val="single" w:color="BDC3C7" w:sz="1"/>
            </w:tcBorders>
            <w:shd w:fill="F2F4F6"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pPr>
              <w:jc w:val="center"/>
            </w:pPr>
            <w:r>
              <w:rPr>
                <w:rFonts w:ascii="Arial" w:cs="Arial" w:eastAsia="Arial" w:hAnsi="Arial"/>
                <w:b/>
                <w:bCs/>
                <w:color w:val="1A2E4A"/>
                <w:sz w:val="20"/>
                <w:szCs w:val="20"/>
              </w:rPr>
              <w:t xml:space="preserve">1 – Rare</w:t>
            </w:r>
          </w:p>
        </w:tc>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1</w:t>
            </w:r>
          </w:p>
        </w:tc>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2</w:t>
            </w:r>
          </w:p>
        </w:tc>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3</w:t>
            </w:r>
          </w:p>
        </w:tc>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4</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jc w:val="center"/>
            </w:pPr>
            <w:r>
              <w:rPr>
                <w:rFonts w:ascii="Arial" w:cs="Arial" w:eastAsia="Arial" w:hAnsi="Arial"/>
                <w:b/>
                <w:bCs/>
                <w:color w:val="F1C40F"/>
                <w:sz w:val="22"/>
                <w:szCs w:val="22"/>
              </w:rPr>
              <w:t xml:space="preserve">5</w:t>
            </w:r>
          </w:p>
        </w:tc>
        <w:tc>
          <w:tcPr>
            <w:tcW w:type="dxa" w:w="1560"/>
            <w:tcBorders>
              <w:top w:val="single" w:color="BDC3C7" w:sz="1"/>
              <w:left w:val="single" w:color="BDC3C7" w:sz="1"/>
              <w:bottom w:val="single" w:color="BDC3C7" w:sz="1"/>
              <w:right w:val="single" w:color="BDC3C7" w:sz="1"/>
            </w:tcBorders>
            <w:shd w:fill="F2F4F6" w:val="clear"/>
            <w:tcMar>
              <w:top w:type="dxa" w:w="80"/>
              <w:left w:type="dxa" w:w="120"/>
              <w:bottom w:type="dxa" w:w="80"/>
              <w:right w:type="dxa" w:w="120"/>
            </w:tcMar>
          </w:tcPr>
          <w:p>
            <w:r>
              <w:rPr>
                <w:rFonts w:ascii="Arial" w:cs="Arial" w:eastAsia="Arial" w:hAnsi="Arial"/>
                <w:sz w:val="20"/>
                <w:szCs w:val="20"/>
              </w:rPr>
              <w:t xml:space="preserve"/>
            </w:r>
          </w:p>
        </w:tc>
      </w:tr>
      <w:tr>
        <w:tc>
          <w:tcPr>
            <w:tcW w:type="dxa" w:w="1800"/>
            <w:gridSpan w:val="1"/>
            <w:tcBorders>
              <w:top w:val="single" w:color="BDC3C7" w:sz="1"/>
              <w:left w:val="single" w:color="BDC3C7" w:sz="1"/>
              <w:bottom w:val="single" w:color="BDC3C7" w:sz="1"/>
              <w:right w:val="single" w:color="BDC3C7" w:sz="1"/>
            </w:tcBorders>
            <w:shd w:fill="0D7C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Legend</w:t>
            </w:r>
          </w:p>
        </w:tc>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1–3: LOW</w:t>
            </w:r>
          </w:p>
        </w:tc>
        <w:tc>
          <w:tcPr>
            <w:tcW w:type="dxa" w:w="12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4–6: LOW-MED</w:t>
            </w:r>
          </w:p>
        </w:tc>
        <w:tc>
          <w:tcPr>
            <w:tcW w:type="dxa" w:w="12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tcPr>
          <w:p>
            <w:pPr>
              <w:jc w:val="center"/>
            </w:pPr>
            <w:r>
              <w:rPr>
                <w:rFonts w:ascii="Arial" w:cs="Arial" w:eastAsia="Arial" w:hAnsi="Arial"/>
                <w:b/>
                <w:bCs/>
                <w:color w:val="F1C40F"/>
                <w:sz w:val="18"/>
                <w:szCs w:val="18"/>
              </w:rPr>
              <w:t xml:space="preserve">8–9: MEDIUM</w:t>
            </w:r>
          </w:p>
        </w:tc>
        <w:tc>
          <w:tcPr>
            <w:tcW w:type="dxa" w:w="12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10–12: HIGH</w:t>
            </w:r>
          </w:p>
        </w:tc>
        <w:tc>
          <w:tcPr>
            <w:tcW w:type="dxa" w:w="12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15–25: CRITICAL</w:t>
            </w:r>
          </w:p>
        </w:tc>
        <w:tc>
          <w:tcPr>
            <w:tcW w:type="dxa" w:w="1560"/>
            <w:tcBorders>
              <w:top w:val="single" w:color="BDC3C7" w:sz="1"/>
              <w:left w:val="single" w:color="BDC3C7" w:sz="1"/>
              <w:bottom w:val="single" w:color="BDC3C7" w:sz="1"/>
              <w:right w:val="single" w:color="BDC3C7" w:sz="1"/>
            </w:tcBorders>
            <w:shd w:fill="F2F4F6" w:val="clear"/>
            <w:tcMar>
              <w:top w:type="dxa" w:w="80"/>
              <w:left w:type="dxa" w:w="120"/>
              <w:bottom w:type="dxa" w:w="80"/>
              <w:right w:type="dxa" w:w="120"/>
            </w:tcMar>
          </w:tcPr>
          <w:p>
            <w:r>
              <w:t xml:space="preserve"/>
            </w:r>
          </w:p>
        </w:tc>
      </w:tr>
    </w:tbl>
    <w:p>
      <w:pPr>
        <w:spacing w:before="60" w:after="60"/>
      </w:pPr>
      <w:r>
        <w:t xml:space="preserve"/>
      </w:r>
    </w:p>
    <w:p>
      <w:pPr>
        <w:pStyle w:val="Heading2"/>
        <w:spacing w:before="240" w:after="120"/>
      </w:pPr>
      <w:r>
        <w:rPr>
          <w:rFonts w:ascii="Arial" w:cs="Arial" w:eastAsia="Arial" w:hAnsi="Arial"/>
          <w:b/>
          <w:bCs/>
          <w:color w:val="2C5F8A"/>
          <w:sz w:val="28"/>
          <w:szCs w:val="28"/>
        </w:rPr>
        <w:t xml:space="preserve">4.3 Risk Register</w:t>
      </w:r>
    </w:p>
    <w:p>
      <w:pPr>
        <w:spacing w:before="80" w:after="80"/>
      </w:pPr>
      <w:r>
        <w:rPr>
          <w:rFonts w:ascii="Arial" w:cs="Arial" w:eastAsia="Arial" w:hAnsi="Arial"/>
          <w:sz w:val="22"/>
          <w:szCs w:val="22"/>
        </w:rPr>
        <w:t xml:space="preserve">The following table presents the consolidated risk register for Vendmo Tech. Risks are derived from identified vulnerabilities and the assessed threat landscape.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200"/>
        <w:gridCol w:w="1000"/>
        <w:gridCol w:w="1000"/>
        <w:gridCol w:w="600"/>
        <w:gridCol w:w="1260"/>
        <w:gridCol w:w="600"/>
      </w:tblGrid>
      <w:tr>
        <w:tc>
          <w:tcPr>
            <w:tcW w:type="dxa" w:w="7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0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Description</w:t>
            </w:r>
          </w:p>
        </w:tc>
        <w:tc>
          <w:tcPr>
            <w:tcW w:type="dxa" w:w="12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Threat Category</w:t>
            </w:r>
          </w:p>
        </w:tc>
        <w:tc>
          <w:tcPr>
            <w:tcW w:type="dxa" w:w="10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Likelihood (1-5)</w:t>
            </w:r>
          </w:p>
        </w:tc>
        <w:tc>
          <w:tcPr>
            <w:tcW w:type="dxa" w:w="10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 (1-5)</w:t>
            </w:r>
          </w:p>
        </w:tc>
        <w:tc>
          <w:tcPr>
            <w:tcW w:type="dxa" w:w="6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w:t>
            </w:r>
          </w:p>
        </w:tc>
        <w:tc>
          <w:tcPr>
            <w:tcW w:type="dxa" w:w="126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Level</w:t>
            </w:r>
          </w:p>
        </w:tc>
        <w:tc>
          <w:tcPr>
            <w:tcW w:type="dxa" w:w="6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R-001</w:t>
            </w:r>
          </w:p>
        </w:tc>
        <w:tc>
          <w:tcPr>
            <w:tcW w:type="dxa" w:w="2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Credential theft via phishing leading to full account takeover</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Phishing / Social Engineering</w:t>
            </w:r>
          </w:p>
        </w:tc>
        <w:tc>
          <w:tcPr>
            <w:tcW w:type="dxa" w:w="1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5</w:t>
            </w:r>
          </w:p>
        </w:tc>
        <w:tc>
          <w:tcPr>
            <w:tcW w:type="dxa" w:w="1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5</w:t>
            </w:r>
          </w:p>
        </w:tc>
        <w:tc>
          <w:tcPr>
            <w:tcW w:type="dxa" w:w="6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25</w:t>
            </w:r>
          </w:p>
        </w:tc>
        <w:tc>
          <w:tcPr>
            <w:tcW w:type="dxa" w:w="1260"/>
            <w:tcBorders>
              <w:top w:val="single" w:color="BDC3C7" w:sz="1"/>
              <w:left w:val="single" w:color="BDC3C7" w:sz="1"/>
              <w:bottom w:val="single" w:color="BDC3C7" w:sz="1"/>
              <w:right w:val="single" w:color="BDC3C7" w:sz="1"/>
            </w:tcBorders>
            <w:shd w:fill="FADBD8"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CRITICAL</w:t>
            </w:r>
          </w:p>
        </w:tc>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P1</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R-002</w:t>
            </w:r>
          </w:p>
        </w:tc>
        <w:tc>
          <w:tcPr>
            <w:tcW w:type="dxa" w:w="2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Exploitation of unpatched Apache RCE resulting in server compromise</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Unpatched Software</w:t>
            </w:r>
          </w:p>
        </w:tc>
        <w:tc>
          <w:tcPr>
            <w:tcW w:type="dxa" w:w="1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5</w:t>
            </w:r>
          </w:p>
        </w:tc>
        <w:tc>
          <w:tcPr>
            <w:tcW w:type="dxa" w:w="1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5</w:t>
            </w:r>
          </w:p>
        </w:tc>
        <w:tc>
          <w:tcPr>
            <w:tcW w:type="dxa" w:w="6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25</w:t>
            </w:r>
          </w:p>
        </w:tc>
        <w:tc>
          <w:tcPr>
            <w:tcW w:type="dxa" w:w="1260"/>
            <w:tcBorders>
              <w:top w:val="single" w:color="BDC3C7" w:sz="1"/>
              <w:left w:val="single" w:color="BDC3C7" w:sz="1"/>
              <w:bottom w:val="single" w:color="BDC3C7" w:sz="1"/>
              <w:right w:val="single" w:color="BDC3C7" w:sz="1"/>
            </w:tcBorders>
            <w:shd w:fill="FADBD8"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CRITICAL</w:t>
            </w:r>
          </w:p>
        </w:tc>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P1</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R-003</w:t>
            </w:r>
          </w:p>
        </w:tc>
        <w:tc>
          <w:tcPr>
            <w:tcW w:type="dxa" w:w="2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SQL Injection attack exfiltrating customer PII from production DB</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Web Application Attack</w:t>
            </w:r>
          </w:p>
        </w:tc>
        <w:tc>
          <w:tcPr>
            <w:tcW w:type="dxa" w:w="1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4</w:t>
            </w:r>
          </w:p>
        </w:tc>
        <w:tc>
          <w:tcPr>
            <w:tcW w:type="dxa" w:w="1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5</w:t>
            </w:r>
          </w:p>
        </w:tc>
        <w:tc>
          <w:tcPr>
            <w:tcW w:type="dxa" w:w="6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20</w:t>
            </w:r>
          </w:p>
        </w:tc>
        <w:tc>
          <w:tcPr>
            <w:tcW w:type="dxa" w:w="1260"/>
            <w:tcBorders>
              <w:top w:val="single" w:color="BDC3C7" w:sz="1"/>
              <w:left w:val="single" w:color="BDC3C7" w:sz="1"/>
              <w:bottom w:val="single" w:color="BDC3C7" w:sz="1"/>
              <w:right w:val="single" w:color="BDC3C7" w:sz="1"/>
            </w:tcBorders>
            <w:shd w:fill="FADBD8" w:val="clear"/>
            <w:tcMar>
              <w:top w:type="dxa" w:w="70"/>
              <w:left w:type="dxa" w:w="100"/>
              <w:bottom w:type="dxa" w:w="70"/>
              <w:right w:type="dxa" w:w="100"/>
            </w:tcMar>
            <w:vAlign w:val="center"/>
          </w:tcPr>
          <w:p>
            <w:pPr>
              <w:jc w:val="center"/>
            </w:pPr>
            <w:r>
              <w:rPr>
                <w:rFonts w:ascii="Arial" w:cs="Arial" w:eastAsia="Arial" w:hAnsi="Arial"/>
                <w:b/>
                <w:bCs/>
                <w:color w:val="C0392B"/>
                <w:sz w:val="18"/>
                <w:szCs w:val="18"/>
              </w:rPr>
              <w:t xml:space="preserve">CRITICAL</w:t>
            </w:r>
          </w:p>
        </w:tc>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P1</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R-004</w:t>
            </w:r>
          </w:p>
        </w:tc>
        <w:tc>
          <w:tcPr>
            <w:tcW w:type="dxa" w:w="2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Network eavesdropping via plaintext internal API traffic</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Network / MITM</w:t>
            </w:r>
          </w:p>
        </w:tc>
        <w:tc>
          <w:tcPr>
            <w:tcW w:type="dxa" w:w="1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3</w:t>
            </w:r>
          </w:p>
        </w:tc>
        <w:tc>
          <w:tcPr>
            <w:tcW w:type="dxa" w:w="1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5</w:t>
            </w:r>
          </w:p>
        </w:tc>
        <w:tc>
          <w:tcPr>
            <w:tcW w:type="dxa" w:w="6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15</w:t>
            </w:r>
          </w:p>
        </w:tc>
        <w:tc>
          <w:tcPr>
            <w:tcW w:type="dxa" w:w="1260"/>
            <w:tcBorders>
              <w:top w:val="single" w:color="BDC3C7" w:sz="1"/>
              <w:left w:val="single" w:color="BDC3C7" w:sz="1"/>
              <w:bottom w:val="single" w:color="BDC3C7" w:sz="1"/>
              <w:right w:val="single" w:color="BDC3C7"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8"/>
                <w:szCs w:val="18"/>
              </w:rPr>
              <w:t xml:space="preserve">HIGH</w:t>
            </w:r>
          </w:p>
        </w:tc>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P2</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R-005</w:t>
            </w:r>
          </w:p>
        </w:tc>
        <w:tc>
          <w:tcPr>
            <w:tcW w:type="dxa" w:w="2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Insider threat: privileged user exfiltrating sensitive data</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Insider Threat</w:t>
            </w:r>
          </w:p>
        </w:tc>
        <w:tc>
          <w:tcPr>
            <w:tcW w:type="dxa" w:w="1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3</w:t>
            </w:r>
          </w:p>
        </w:tc>
        <w:tc>
          <w:tcPr>
            <w:tcW w:type="dxa" w:w="1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4</w:t>
            </w:r>
          </w:p>
        </w:tc>
        <w:tc>
          <w:tcPr>
            <w:tcW w:type="dxa" w:w="6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12</w:t>
            </w:r>
          </w:p>
        </w:tc>
        <w:tc>
          <w:tcPr>
            <w:tcW w:type="dxa" w:w="1260"/>
            <w:tcBorders>
              <w:top w:val="single" w:color="BDC3C7" w:sz="1"/>
              <w:left w:val="single" w:color="BDC3C7" w:sz="1"/>
              <w:bottom w:val="single" w:color="BDC3C7" w:sz="1"/>
              <w:right w:val="single" w:color="BDC3C7"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8"/>
                <w:szCs w:val="18"/>
              </w:rPr>
              <w:t xml:space="preserve">HIGH</w:t>
            </w:r>
          </w:p>
        </w:tc>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P2</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R-006</w:t>
            </w:r>
          </w:p>
        </w:tc>
        <w:tc>
          <w:tcPr>
            <w:tcW w:type="dxa" w:w="2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Ransomware deployment from compromised endpoint</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Malware / Ransomware</w:t>
            </w:r>
          </w:p>
        </w:tc>
        <w:tc>
          <w:tcPr>
            <w:tcW w:type="dxa" w:w="1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4</w:t>
            </w:r>
          </w:p>
        </w:tc>
        <w:tc>
          <w:tcPr>
            <w:tcW w:type="dxa" w:w="1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4</w:t>
            </w:r>
          </w:p>
        </w:tc>
        <w:tc>
          <w:tcPr>
            <w:tcW w:type="dxa" w:w="6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16</w:t>
            </w:r>
          </w:p>
        </w:tc>
        <w:tc>
          <w:tcPr>
            <w:tcW w:type="dxa" w:w="1260"/>
            <w:tcBorders>
              <w:top w:val="single" w:color="BDC3C7" w:sz="1"/>
              <w:left w:val="single" w:color="BDC3C7" w:sz="1"/>
              <w:bottom w:val="single" w:color="BDC3C7" w:sz="1"/>
              <w:right w:val="single" w:color="BDC3C7"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8"/>
                <w:szCs w:val="18"/>
              </w:rPr>
              <w:t xml:space="preserve">HIGH</w:t>
            </w:r>
          </w:p>
        </w:tc>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P2</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R-007</w:t>
            </w:r>
          </w:p>
        </w:tc>
        <w:tc>
          <w:tcPr>
            <w:tcW w:type="dxa" w:w="2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Regulatory penalty (POPIA / PCI-DSS) due to unencrypted PII</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Compliance / Legal</w:t>
            </w:r>
          </w:p>
        </w:tc>
        <w:tc>
          <w:tcPr>
            <w:tcW w:type="dxa" w:w="1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3</w:t>
            </w:r>
          </w:p>
        </w:tc>
        <w:tc>
          <w:tcPr>
            <w:tcW w:type="dxa" w:w="1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4</w:t>
            </w:r>
          </w:p>
        </w:tc>
        <w:tc>
          <w:tcPr>
            <w:tcW w:type="dxa" w:w="6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12</w:t>
            </w:r>
          </w:p>
        </w:tc>
        <w:tc>
          <w:tcPr>
            <w:tcW w:type="dxa" w:w="1260"/>
            <w:tcBorders>
              <w:top w:val="single" w:color="BDC3C7" w:sz="1"/>
              <w:left w:val="single" w:color="BDC3C7" w:sz="1"/>
              <w:bottom w:val="single" w:color="BDC3C7" w:sz="1"/>
              <w:right w:val="single" w:color="BDC3C7"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8"/>
                <w:szCs w:val="18"/>
              </w:rPr>
              <w:t xml:space="preserve">HIGH</w:t>
            </w:r>
          </w:p>
        </w:tc>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P2</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R-008</w:t>
            </w:r>
          </w:p>
        </w:tc>
        <w:tc>
          <w:tcPr>
            <w:tcW w:type="dxa" w:w="2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Brute force of network devices via default credentials</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Credential Attack</w:t>
            </w:r>
          </w:p>
        </w:tc>
        <w:tc>
          <w:tcPr>
            <w:tcW w:type="dxa" w:w="1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4</w:t>
            </w:r>
          </w:p>
        </w:tc>
        <w:tc>
          <w:tcPr>
            <w:tcW w:type="dxa" w:w="1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3</w:t>
            </w:r>
          </w:p>
        </w:tc>
        <w:tc>
          <w:tcPr>
            <w:tcW w:type="dxa" w:w="6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12</w:t>
            </w:r>
          </w:p>
        </w:tc>
        <w:tc>
          <w:tcPr>
            <w:tcW w:type="dxa" w:w="1260"/>
            <w:tcBorders>
              <w:top w:val="single" w:color="BDC3C7" w:sz="1"/>
              <w:left w:val="single" w:color="BDC3C7" w:sz="1"/>
              <w:bottom w:val="single" w:color="BDC3C7" w:sz="1"/>
              <w:right w:val="single" w:color="BDC3C7" w:sz="1"/>
            </w:tcBorders>
            <w:shd w:fill="FEF9E7" w:val="clear"/>
            <w:tcMar>
              <w:top w:type="dxa" w:w="70"/>
              <w:left w:type="dxa" w:w="100"/>
              <w:bottom w:type="dxa" w:w="70"/>
              <w:right w:type="dxa" w:w="100"/>
            </w:tcMar>
            <w:vAlign w:val="center"/>
          </w:tcPr>
          <w:p>
            <w:pPr>
              <w:jc w:val="center"/>
            </w:pPr>
            <w:r>
              <w:rPr>
                <w:rFonts w:ascii="Arial" w:cs="Arial" w:eastAsia="Arial" w:hAnsi="Arial"/>
                <w:b/>
                <w:bCs/>
                <w:color w:val="F1C40F"/>
                <w:sz w:val="18"/>
                <w:szCs w:val="18"/>
              </w:rPr>
              <w:t xml:space="preserve">MEDIUM</w:t>
            </w:r>
          </w:p>
        </w:tc>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P3</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R-009</w:t>
            </w:r>
          </w:p>
        </w:tc>
        <w:tc>
          <w:tcPr>
            <w:tcW w:type="dxa" w:w="2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Business disruption from prolonged undetected breach (no SIEM)</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Detection Failure</w:t>
            </w:r>
          </w:p>
        </w:tc>
        <w:tc>
          <w:tcPr>
            <w:tcW w:type="dxa" w:w="1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3</w:t>
            </w:r>
          </w:p>
        </w:tc>
        <w:tc>
          <w:tcPr>
            <w:tcW w:type="dxa" w:w="1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3</w:t>
            </w:r>
          </w:p>
        </w:tc>
        <w:tc>
          <w:tcPr>
            <w:tcW w:type="dxa" w:w="6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9</w:t>
            </w:r>
          </w:p>
        </w:tc>
        <w:tc>
          <w:tcPr>
            <w:tcW w:type="dxa" w:w="1260"/>
            <w:tcBorders>
              <w:top w:val="single" w:color="BDC3C7" w:sz="1"/>
              <w:left w:val="single" w:color="BDC3C7" w:sz="1"/>
              <w:bottom w:val="single" w:color="BDC3C7" w:sz="1"/>
              <w:right w:val="single" w:color="BDC3C7" w:sz="1"/>
            </w:tcBorders>
            <w:shd w:fill="FEF9E7" w:val="clear"/>
            <w:tcMar>
              <w:top w:type="dxa" w:w="70"/>
              <w:left w:type="dxa" w:w="100"/>
              <w:bottom w:type="dxa" w:w="70"/>
              <w:right w:type="dxa" w:w="100"/>
            </w:tcMar>
            <w:vAlign w:val="center"/>
          </w:tcPr>
          <w:p>
            <w:pPr>
              <w:jc w:val="center"/>
            </w:pPr>
            <w:r>
              <w:rPr>
                <w:rFonts w:ascii="Arial" w:cs="Arial" w:eastAsia="Arial" w:hAnsi="Arial"/>
                <w:b/>
                <w:bCs/>
                <w:color w:val="F1C40F"/>
                <w:sz w:val="18"/>
                <w:szCs w:val="18"/>
              </w:rPr>
              <w:t xml:space="preserve">MEDIUM</w:t>
            </w:r>
          </w:p>
        </w:tc>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P3</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R-010</w:t>
            </w:r>
          </w:p>
        </w:tc>
        <w:tc>
          <w:tcPr>
            <w:tcW w:type="dxa" w:w="2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Reputational damage from public disclosure of a data breach</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Reputational</w:t>
            </w:r>
          </w:p>
        </w:tc>
        <w:tc>
          <w:tcPr>
            <w:tcW w:type="dxa" w:w="1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3</w:t>
            </w:r>
          </w:p>
        </w:tc>
        <w:tc>
          <w:tcPr>
            <w:tcW w:type="dxa" w:w="1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4</w:t>
            </w:r>
          </w:p>
        </w:tc>
        <w:tc>
          <w:tcPr>
            <w:tcW w:type="dxa" w:w="6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12</w:t>
            </w:r>
          </w:p>
        </w:tc>
        <w:tc>
          <w:tcPr>
            <w:tcW w:type="dxa" w:w="1260"/>
            <w:tcBorders>
              <w:top w:val="single" w:color="BDC3C7" w:sz="1"/>
              <w:left w:val="single" w:color="BDC3C7" w:sz="1"/>
              <w:bottom w:val="single" w:color="BDC3C7" w:sz="1"/>
              <w:right w:val="single" w:color="BDC3C7"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8"/>
                <w:szCs w:val="18"/>
              </w:rPr>
              <w:t xml:space="preserve">HIGH</w:t>
            </w:r>
          </w:p>
        </w:tc>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P2</w:t>
            </w:r>
          </w:p>
        </w:tc>
      </w:tr>
    </w:tbl>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5. Security Audit Findings</w:t>
      </w:r>
    </w:p>
    <w:p>
      <w:pPr>
        <w:pStyle w:val="Heading2"/>
        <w:spacing w:before="240" w:after="120"/>
      </w:pPr>
      <w:r>
        <w:rPr>
          <w:rFonts w:ascii="Arial" w:cs="Arial" w:eastAsia="Arial" w:hAnsi="Arial"/>
          <w:b/>
          <w:bCs/>
          <w:color w:val="2C5F8A"/>
          <w:sz w:val="28"/>
          <w:szCs w:val="28"/>
        </w:rPr>
        <w:t xml:space="preserve">5.1 Authentication &amp; Identity</w:t>
      </w:r>
    </w:p>
    <w:p>
      <w:pPr>
        <w:spacing w:before="80" w:after="80"/>
      </w:pPr>
      <w:r>
        <w:rPr>
          <w:rFonts w:ascii="Arial" w:cs="Arial" w:eastAsia="Arial" w:hAnsi="Arial"/>
          <w:sz w:val="22"/>
          <w:szCs w:val="22"/>
        </w:rPr>
        <w:t xml:space="preserve">Authentication controls were found to be severely deficient. MFA is absent across all administrative and customer-facing systems. Password policies do not meet minimum complexity requirements on 34% of tested accounts. Session token expiry is not enforced on the customer web portal, allowing indefinite session persistence.</w:t>
      </w:r>
    </w:p>
    <w:p>
      <w:pPr>
        <w:spacing w:before="60" w:after="60"/>
      </w:pPr>
      <w:r>
        <w:t xml:space="preserve"/>
      </w:r>
    </w:p>
    <w:p>
      <w:pPr>
        <w:spacing w:before="80" w:after="80"/>
      </w:pPr>
      <w:r>
        <w:rPr>
          <w:rFonts w:ascii="Arial" w:cs="Arial" w:eastAsia="Arial" w:hAnsi="Arial"/>
          <w:sz w:val="22"/>
          <w:szCs w:val="22"/>
        </w:rPr>
        <w:t xml:space="preserve">Active Directory audit revealed 53 non-administrative users holding Domain Admin rights — a critical least-privilege violation that dramatically expands the blast radius of any successful credential compromise.</w:t>
      </w:r>
    </w:p>
    <w:p>
      <w:pPr>
        <w:spacing w:before="60" w:after="60"/>
      </w:pPr>
      <w:r>
        <w:t xml:space="preserve"/>
      </w:r>
    </w:p>
    <w:p>
      <w:pPr>
        <w:pStyle w:val="Heading2"/>
        <w:spacing w:before="240" w:after="120"/>
      </w:pPr>
      <w:r>
        <w:rPr>
          <w:rFonts w:ascii="Arial" w:cs="Arial" w:eastAsia="Arial" w:hAnsi="Arial"/>
          <w:b/>
          <w:bCs/>
          <w:color w:val="2C5F8A"/>
          <w:sz w:val="28"/>
          <w:szCs w:val="28"/>
        </w:rPr>
        <w:t xml:space="preserve">5.2 Network Security</w:t>
      </w:r>
    </w:p>
    <w:p>
      <w:pPr>
        <w:spacing w:before="80" w:after="80"/>
      </w:pPr>
      <w:r>
        <w:rPr>
          <w:rFonts w:ascii="Arial" w:cs="Arial" w:eastAsia="Arial" w:hAnsi="Arial"/>
          <w:sz w:val="22"/>
          <w:szCs w:val="22"/>
        </w:rPr>
        <w:t xml:space="preserve">Nmap scans across the 192.168.0.0/16 and 10.0.0.0/8 internal address spaces and external-facing IP ranges identified significant network security weaknesses. The perimeter firewall (FW-01) permits inbound Telnet (TCP 23), FTP (TCP 21), and unrestricted RPC (TCP 135) connections from external sources.</w:t>
      </w:r>
    </w:p>
    <w:p>
      <w:pPr>
        <w:spacing w:before="60" w:after="60"/>
      </w:pPr>
      <w:r>
        <w:t xml:space="preserve"/>
      </w:r>
    </w:p>
    <w:p>
      <w:pPr>
        <w:spacing w:before="80" w:after="80"/>
      </w:pPr>
      <w:r>
        <w:rPr>
          <w:rFonts w:ascii="Arial" w:cs="Arial" w:eastAsia="Arial" w:hAnsi="Arial"/>
          <w:sz w:val="22"/>
          <w:szCs w:val="22"/>
        </w:rPr>
        <w:t xml:space="preserve">Core network switches (SW-01, SW-02) were found to accept login using manufacturer default credentials, presenting an unacceptable risk of network-level lateral movement. No network segmentation (VLAN isolation) separates the cardholder data environment from general corporate networks — a direct PCI-DSS violation.</w:t>
      </w:r>
    </w:p>
    <w:p>
      <w:pPr>
        <w:spacing w:before="60" w:after="60"/>
      </w:pPr>
      <w:r>
        <w:t xml:space="preserve"/>
      </w:r>
    </w:p>
    <w:p>
      <w:pPr>
        <w:pStyle w:val="Heading2"/>
        <w:spacing w:before="240" w:after="120"/>
      </w:pPr>
      <w:r>
        <w:rPr>
          <w:rFonts w:ascii="Arial" w:cs="Arial" w:eastAsia="Arial" w:hAnsi="Arial"/>
          <w:b/>
          <w:bCs/>
          <w:color w:val="2C5F8A"/>
          <w:sz w:val="28"/>
          <w:szCs w:val="28"/>
        </w:rPr>
        <w:t xml:space="preserve">5.3 Web Application Security</w:t>
      </w:r>
    </w:p>
    <w:p>
      <w:pPr>
        <w:spacing w:before="80" w:after="80"/>
      </w:pPr>
      <w:r>
        <w:rPr>
          <w:rFonts w:ascii="Arial" w:cs="Arial" w:eastAsia="Arial" w:hAnsi="Arial"/>
          <w:sz w:val="22"/>
          <w:szCs w:val="22"/>
        </w:rPr>
        <w:t xml:space="preserve">OWASP ZAP active scanning of the customer web portal and admin interface identified multiple high-severity findings. A confirmed SQL Injection vulnerability in the /api/v1/customers/search endpoint was verified via manual testing using Burp Suite. Out-of-band exploitation demonstrated full database read access.</w:t>
      </w:r>
    </w:p>
    <w:p>
      <w:pPr>
        <w:spacing w:before="60" w:after="60"/>
      </w:pPr>
      <w:r>
        <w:t xml:space="preserve"/>
      </w:r>
    </w:p>
    <w:p>
      <w:pPr>
        <w:spacing w:before="80" w:after="80"/>
      </w:pPr>
      <w:r>
        <w:rPr>
          <w:rFonts w:ascii="Arial" w:cs="Arial" w:eastAsia="Arial" w:hAnsi="Arial"/>
          <w:sz w:val="22"/>
          <w:szCs w:val="22"/>
        </w:rPr>
        <w:t xml:space="preserve">HTTP security headers are absent across all web application responses. Specifically, Content-Security-Policy, X-Frame-Options, X-Content-Type-Options, Referrer-Policy, and Strict-Transport-Security headers are not configured, significantly increasing XSS and clickjacking exposure.</w:t>
      </w:r>
    </w:p>
    <w:p>
      <w:pPr>
        <w:spacing w:before="60" w:after="60"/>
      </w:pPr>
      <w:r>
        <w:t xml:space="preserve"/>
      </w:r>
    </w:p>
    <w:p>
      <w:pPr>
        <w:pStyle w:val="Heading2"/>
        <w:spacing w:before="240" w:after="120"/>
      </w:pPr>
      <w:r>
        <w:rPr>
          <w:rFonts w:ascii="Arial" w:cs="Arial" w:eastAsia="Arial" w:hAnsi="Arial"/>
          <w:b/>
          <w:bCs/>
          <w:color w:val="2C5F8A"/>
          <w:sz w:val="28"/>
          <w:szCs w:val="28"/>
        </w:rPr>
        <w:t xml:space="preserve">5.4 Data Protection</w:t>
      </w:r>
    </w:p>
    <w:p>
      <w:pPr>
        <w:spacing w:before="80" w:after="80"/>
      </w:pPr>
      <w:r>
        <w:rPr>
          <w:rFonts w:ascii="Arial" w:cs="Arial" w:eastAsia="Arial" w:hAnsi="Arial"/>
          <w:sz w:val="22"/>
          <w:szCs w:val="22"/>
        </w:rPr>
        <w:t xml:space="preserve">Database schema review of the Customer DB (A-003) confirmed that customer PII fields including full name, South African ID number, residential address, and email address are stored without encryption. This constitutes a violation of POPIA Section 19 (security safeguards), PCI-DSS Requirement 3 (protect stored cardholder data), and ISO 27001 control A.10.1.1 (cryptographic controls policy).</w:t>
      </w:r>
    </w:p>
    <w:p>
      <w:pPr>
        <w:spacing w:before="60" w:after="60"/>
      </w:pPr>
      <w:r>
        <w:t xml:space="preserve"/>
      </w:r>
    </w:p>
    <w:p>
      <w:pPr>
        <w:spacing w:before="80" w:after="80"/>
      </w:pPr>
      <w:r>
        <w:rPr>
          <w:rFonts w:ascii="Arial" w:cs="Arial" w:eastAsia="Arial" w:hAnsi="Arial"/>
          <w:sz w:val="22"/>
          <w:szCs w:val="22"/>
        </w:rPr>
        <w:t xml:space="preserve">Wireshark analysis of internal network traffic on VLAN segments captured multiple HTTP sessions transmitting session tokens and API keys in plaintext, including a capture of administrative credentials traversing the network unencrypted.</w:t>
      </w:r>
    </w:p>
    <w:p>
      <w:pPr>
        <w:spacing w:before="60" w:after="60"/>
      </w:pPr>
      <w:r>
        <w:t xml:space="preserve"/>
      </w:r>
    </w:p>
    <w:p>
      <w:pPr>
        <w:pStyle w:val="Heading2"/>
        <w:spacing w:before="240" w:after="120"/>
      </w:pPr>
      <w:r>
        <w:rPr>
          <w:rFonts w:ascii="Arial" w:cs="Arial" w:eastAsia="Arial" w:hAnsi="Arial"/>
          <w:b/>
          <w:bCs/>
          <w:color w:val="2C5F8A"/>
          <w:sz w:val="28"/>
          <w:szCs w:val="28"/>
        </w:rPr>
        <w:t xml:space="preserve">5.5 Operational Security &amp; Compliance</w:t>
      </w:r>
    </w:p>
    <w:p>
      <w:pPr>
        <w:spacing w:before="80" w:after="80"/>
      </w:pPr>
      <w:r>
        <w:rPr>
          <w:rFonts w:ascii="Arial" w:cs="Arial" w:eastAsia="Arial" w:hAnsi="Arial"/>
          <w:sz w:val="22"/>
          <w:szCs w:val="22"/>
        </w:rPr>
        <w:t xml:space="preserve">A review of operational security practices revealed the absence of a formal patch management policy. Software version auditing across 80 workstations and 12 servers found that 67% of installed packages are more than 90 days behind current releases. The production web server is running Apache 2.4.49, which carries a CVSS 9.8 rated path traversal and RCE vulnerability (CVE-2021-41773).</w:t>
      </w:r>
    </w:p>
    <w:p>
      <w:pPr>
        <w:spacing w:before="60" w:after="60"/>
      </w:pPr>
      <w:r>
        <w:t xml:space="preserve"/>
      </w:r>
    </w:p>
    <w:p>
      <w:pPr>
        <w:spacing w:before="80" w:after="80"/>
      </w:pPr>
      <w:r>
        <w:rPr>
          <w:rFonts w:ascii="Arial" w:cs="Arial" w:eastAsia="Arial" w:hAnsi="Arial"/>
          <w:sz w:val="22"/>
          <w:szCs w:val="22"/>
        </w:rPr>
        <w:t xml:space="preserve">Log retention is inconsistent, ranging from 7 days to 30 days across systems. No centralised SIEM or log aggregation platform is in place. No formal security awareness training programme exists, and simulated phishing campaigns returned a 42% click rate — significantly exceeding the industry benchmark of below 5%.</w:t>
      </w:r>
    </w:p>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6. Vulnerability Findings</w:t>
      </w:r>
    </w:p>
    <w:p>
      <w:pPr>
        <w:pStyle w:val="Heading2"/>
        <w:spacing w:before="240" w:after="120"/>
      </w:pPr>
      <w:r>
        <w:rPr>
          <w:rFonts w:ascii="Arial" w:cs="Arial" w:eastAsia="Arial" w:hAnsi="Arial"/>
          <w:b/>
          <w:bCs/>
          <w:color w:val="2C5F8A"/>
          <w:sz w:val="28"/>
          <w:szCs w:val="28"/>
        </w:rPr>
        <w:t xml:space="preserve">6.1 Vulnerability Summary Table</w:t>
      </w:r>
    </w:p>
    <w:p>
      <w:pPr>
        <w:spacing w:before="80" w:after="80"/>
      </w:pPr>
      <w:r>
        <w:rPr>
          <w:rFonts w:ascii="Arial" w:cs="Arial" w:eastAsia="Arial" w:hAnsi="Arial"/>
          <w:sz w:val="22"/>
          <w:szCs w:val="22"/>
        </w:rPr>
        <w:t xml:space="preserve">The table below provides a consolidated view of all 14 identified vulnerabilities with severity, description, tool, affected asset, NIST/ISO mapping, and CVSS score.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500"/>
        <w:gridCol w:w="1100"/>
        <w:gridCol w:w="1200"/>
        <w:gridCol w:w="960"/>
        <w:gridCol w:w="600"/>
        <w:gridCol w:w="400"/>
      </w:tblGrid>
      <w:tr>
        <w:tc>
          <w:tcPr>
            <w:tcW w:type="dxa" w:w="7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9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w:t>
            </w:r>
          </w:p>
        </w:tc>
        <w:tc>
          <w:tcPr>
            <w:tcW w:type="dxa" w:w="25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Vulnerability</w:t>
            </w:r>
          </w:p>
        </w:tc>
        <w:tc>
          <w:tcPr>
            <w:tcW w:type="dxa" w:w="11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Tool Used</w:t>
            </w:r>
          </w:p>
        </w:tc>
        <w:tc>
          <w:tcPr>
            <w:tcW w:type="dxa" w:w="12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Affected Asset</w:t>
            </w:r>
          </w:p>
        </w:tc>
        <w:tc>
          <w:tcPr>
            <w:tcW w:type="dxa" w:w="96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NIST Ctrl.</w:t>
            </w:r>
          </w:p>
        </w:tc>
        <w:tc>
          <w:tcPr>
            <w:tcW w:type="dxa" w:w="6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ISO 27001</w:t>
            </w:r>
          </w:p>
        </w:tc>
        <w:tc>
          <w:tcPr>
            <w:tcW w:type="dxa" w:w="4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CVSS</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VND-001</w:t>
            </w:r>
          </w:p>
        </w:tc>
        <w:tc>
          <w:tcPr>
            <w:tcW w:type="dxa" w:w="9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2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b/>
                <w:bCs/>
                <w:sz w:val="18"/>
                <w:szCs w:val="18"/>
              </w:rPr>
              <w:t xml:space="preserve">No Multi-Factor Authentication on Admin Portals</w:t>
            </w:r>
          </w:p>
          <w:p>
            <w:r>
              <w:rPr>
                <w:rFonts w:ascii="Arial" w:cs="Arial" w:eastAsia="Arial" w:hAnsi="Arial"/>
                <w:i/>
                <w:iCs/>
                <w:color w:val="666666"/>
                <w:sz w:val="16"/>
                <w:szCs w:val="16"/>
              </w:rPr>
              <w:t xml:space="preserve">Administrative accounts and the customer-facing web portal have no MFA enforcement. An attacker can ...</w:t>
            </w:r>
          </w:p>
        </w:tc>
        <w:tc>
          <w:tcPr>
            <w:tcW w:type="dxa" w:w="11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OWASP ZAP / Manual</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Admin Portal, Customer Dashboard</w:t>
            </w:r>
          </w:p>
        </w:tc>
        <w:tc>
          <w:tcPr>
            <w:tcW w:type="dxa" w:w="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PR.AC-1</w:t>
            </w:r>
          </w:p>
        </w:tc>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A.9.4.2</w:t>
            </w:r>
          </w:p>
        </w:tc>
        <w:tc>
          <w:tcPr>
            <w:tcW w:type="dxa" w:w="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9.1</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VND-002</w:t>
            </w:r>
          </w:p>
        </w:tc>
        <w:tc>
          <w:tcPr>
            <w:tcW w:type="dxa" w:w="9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25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b/>
                <w:bCs/>
                <w:sz w:val="18"/>
                <w:szCs w:val="18"/>
              </w:rPr>
              <w:t xml:space="preserve">Unpatched Apache Web Server (CVE-2021-41773)</w:t>
            </w:r>
          </w:p>
          <w:p>
            <w:r>
              <w:rPr>
                <w:rFonts w:ascii="Arial" w:cs="Arial" w:eastAsia="Arial" w:hAnsi="Arial"/>
                <w:i/>
                <w:iCs/>
                <w:color w:val="666666"/>
                <w:sz w:val="16"/>
                <w:szCs w:val="16"/>
              </w:rPr>
              <w:t xml:space="preserve">The primary web server runs Apache 2.4.49, which is vulnerable to path traversal and RCE. Public exp...</w:t>
            </w:r>
          </w:p>
        </w:tc>
        <w:tc>
          <w:tcPr>
            <w:tcW w:type="dxa" w:w="11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Nmap / Nessus</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Web Server (WS-01)</w:t>
            </w:r>
          </w:p>
        </w:tc>
        <w:tc>
          <w:tcPr>
            <w:tcW w:type="dxa" w:w="9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PR.IP-12</w:t>
            </w:r>
          </w:p>
        </w:tc>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A.12.6.1</w:t>
            </w:r>
          </w:p>
        </w:tc>
        <w:tc>
          <w:tcPr>
            <w:tcW w:type="dxa" w:w="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9.8</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VND-003</w:t>
            </w:r>
          </w:p>
        </w:tc>
        <w:tc>
          <w:tcPr>
            <w:tcW w:type="dxa" w:w="900"/>
            <w:tcBorders>
              <w:top w:val="single" w:color="BDC3C7" w:sz="1"/>
              <w:left w:val="single" w:color="BDC3C7" w:sz="1"/>
              <w:bottom w:val="single" w:color="BDC3C7" w:sz="1"/>
              <w:right w:val="single" w:color="BDC3C7" w:sz="1"/>
            </w:tcBorders>
            <w:shd w:fill="FADBD8" w:val="clear"/>
            <w:tcMar>
              <w:top w:type="dxa" w:w="80"/>
              <w:left w:type="dxa" w:w="120"/>
              <w:bottom w:type="dxa" w:w="80"/>
              <w:right w:type="dxa" w:w="120"/>
            </w:tcMar>
            <w:vAlign w:val="center"/>
          </w:tcPr>
          <w:p>
            <w:pPr>
              <w:jc w:val="center"/>
            </w:pPr>
            <w:r>
              <w:rPr>
                <w:rFonts w:ascii="Arial" w:cs="Arial" w:eastAsia="Arial" w:hAnsi="Arial"/>
                <w:b/>
                <w:bCs/>
                <w:color w:val="C0392B"/>
                <w:sz w:val="18"/>
                <w:szCs w:val="18"/>
              </w:rPr>
              <w:t xml:space="preserve">CRITICAL</w:t>
            </w:r>
          </w:p>
        </w:tc>
        <w:tc>
          <w:tcPr>
            <w:tcW w:type="dxa" w:w="2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b/>
                <w:bCs/>
                <w:sz w:val="18"/>
                <w:szCs w:val="18"/>
              </w:rPr>
              <w:t xml:space="preserve">Plaintext Storage of Customer PII &amp; Payment Data</w:t>
            </w:r>
          </w:p>
          <w:p>
            <w:r>
              <w:rPr>
                <w:rFonts w:ascii="Arial" w:cs="Arial" w:eastAsia="Arial" w:hAnsi="Arial"/>
                <w:i/>
                <w:iCs/>
                <w:color w:val="666666"/>
                <w:sz w:val="16"/>
                <w:szCs w:val="16"/>
              </w:rPr>
              <w:t xml:space="preserve">Customer PII (names, addresses, SSNs) and tokenised payment references are stored without encryption...</w:t>
            </w:r>
          </w:p>
        </w:tc>
        <w:tc>
          <w:tcPr>
            <w:tcW w:type="dxa" w:w="11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Database Audit / Manual Review</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Customer DB (DB-01)</w:t>
            </w:r>
          </w:p>
        </w:tc>
        <w:tc>
          <w:tcPr>
            <w:tcW w:type="dxa" w:w="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PR.DS-1</w:t>
            </w:r>
          </w:p>
        </w:tc>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A.10.1.1</w:t>
            </w:r>
          </w:p>
        </w:tc>
        <w:tc>
          <w:tcPr>
            <w:tcW w:type="dxa" w:w="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9.0</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VND-004</w:t>
            </w:r>
          </w:p>
        </w:tc>
        <w:tc>
          <w:tcPr>
            <w:tcW w:type="dxa" w:w="9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25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b/>
                <w:bCs/>
                <w:sz w:val="18"/>
                <w:szCs w:val="18"/>
              </w:rPr>
              <w:t xml:space="preserve">Default Credentials on Network Switches</w:t>
            </w:r>
          </w:p>
          <w:p>
            <w:r>
              <w:rPr>
                <w:rFonts w:ascii="Arial" w:cs="Arial" w:eastAsia="Arial" w:hAnsi="Arial"/>
                <w:i/>
                <w:iCs/>
                <w:color w:val="666666"/>
                <w:sz w:val="16"/>
                <w:szCs w:val="16"/>
              </w:rPr>
              <w:t xml:space="preserve">Multiple managed switches still use manufacturer default credentials (admin/admin). A lateral moveme...</w:t>
            </w:r>
          </w:p>
        </w:tc>
        <w:tc>
          <w:tcPr>
            <w:tcW w:type="dxa" w:w="11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Nmap / Manual</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Core Network Switch (SW-01, SW-02)</w:t>
            </w:r>
          </w:p>
        </w:tc>
        <w:tc>
          <w:tcPr>
            <w:tcW w:type="dxa" w:w="9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PR.AC-4</w:t>
            </w:r>
          </w:p>
        </w:tc>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A.9.1.2</w:t>
            </w:r>
          </w:p>
        </w:tc>
        <w:tc>
          <w:tcPr>
            <w:tcW w:type="dxa" w:w="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8.8</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VND-005</w:t>
            </w:r>
          </w:p>
        </w:tc>
        <w:tc>
          <w:tcPr>
            <w:tcW w:type="dxa" w:w="9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2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b/>
                <w:bCs/>
                <w:sz w:val="18"/>
                <w:szCs w:val="18"/>
              </w:rPr>
              <w:t xml:space="preserve">Sensitive Data Transmitted Over HTTP</w:t>
            </w:r>
          </w:p>
          <w:p>
            <w:r>
              <w:rPr>
                <w:rFonts w:ascii="Arial" w:cs="Arial" w:eastAsia="Arial" w:hAnsi="Arial"/>
                <w:i/>
                <w:iCs/>
                <w:color w:val="666666"/>
                <w:sz w:val="16"/>
                <w:szCs w:val="16"/>
              </w:rPr>
              <w:t xml:space="preserve">Wireshark packet capture reveals session tokens, employee credentials, and API keys transmitted in c...</w:t>
            </w:r>
          </w:p>
        </w:tc>
        <w:tc>
          <w:tcPr>
            <w:tcW w:type="dxa" w:w="11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Wireshark</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Internal API (api.vendmotech.internal)</w:t>
            </w:r>
          </w:p>
        </w:tc>
        <w:tc>
          <w:tcPr>
            <w:tcW w:type="dxa" w:w="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PR.DS-2</w:t>
            </w:r>
          </w:p>
        </w:tc>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A.10.1.1</w:t>
            </w:r>
          </w:p>
        </w:tc>
        <w:tc>
          <w:tcPr>
            <w:tcW w:type="dxa" w:w="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8.1</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VND-006</w:t>
            </w:r>
          </w:p>
        </w:tc>
        <w:tc>
          <w:tcPr>
            <w:tcW w:type="dxa" w:w="9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25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b/>
                <w:bCs/>
                <w:sz w:val="18"/>
                <w:szCs w:val="18"/>
              </w:rPr>
              <w:t xml:space="preserve">SQL Injection in Customer Search Endpoint</w:t>
            </w:r>
          </w:p>
          <w:p>
            <w:r>
              <w:rPr>
                <w:rFonts w:ascii="Arial" w:cs="Arial" w:eastAsia="Arial" w:hAnsi="Arial"/>
                <w:i/>
                <w:iCs/>
                <w:color w:val="666666"/>
                <w:sz w:val="16"/>
                <w:szCs w:val="16"/>
              </w:rPr>
              <w:t xml:space="preserve">OWASP ZAP automated scan identified a confirmed SQL Injection vulnerability in the /api/v1/customers...</w:t>
            </w:r>
          </w:p>
        </w:tc>
        <w:tc>
          <w:tcPr>
            <w:tcW w:type="dxa" w:w="11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OWASP ZAP</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Customer Web Application</w:t>
            </w:r>
          </w:p>
        </w:tc>
        <w:tc>
          <w:tcPr>
            <w:tcW w:type="dxa" w:w="9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PR.IP-1</w:t>
            </w:r>
          </w:p>
        </w:tc>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A.14.2.1</w:t>
            </w:r>
          </w:p>
        </w:tc>
        <w:tc>
          <w:tcPr>
            <w:tcW w:type="dxa" w:w="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8.5</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VND-007</w:t>
            </w:r>
          </w:p>
        </w:tc>
        <w:tc>
          <w:tcPr>
            <w:tcW w:type="dxa" w:w="900"/>
            <w:tcBorders>
              <w:top w:val="single" w:color="BDC3C7" w:sz="1"/>
              <w:left w:val="single" w:color="BDC3C7" w:sz="1"/>
              <w:bottom w:val="single" w:color="BDC3C7" w:sz="1"/>
              <w:right w:val="single" w:color="BDC3C7" w:sz="1"/>
            </w:tcBorders>
            <w:shd w:fill="FDEBD0" w:val="clear"/>
            <w:tcMar>
              <w:top w:type="dxa" w:w="80"/>
              <w:left w:type="dxa" w:w="120"/>
              <w:bottom w:type="dxa" w:w="80"/>
              <w:right w:type="dxa" w:w="120"/>
            </w:tcMar>
            <w:vAlign w:val="center"/>
          </w:tcPr>
          <w:p>
            <w:pPr>
              <w:jc w:val="center"/>
            </w:pPr>
            <w:r>
              <w:rPr>
                <w:rFonts w:ascii="Arial" w:cs="Arial" w:eastAsia="Arial" w:hAnsi="Arial"/>
                <w:b/>
                <w:bCs/>
                <w:color w:val="E67E22"/>
                <w:sz w:val="18"/>
                <w:szCs w:val="18"/>
              </w:rPr>
              <w:t xml:space="preserve">HIGH</w:t>
            </w:r>
          </w:p>
        </w:tc>
        <w:tc>
          <w:tcPr>
            <w:tcW w:type="dxa" w:w="2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b/>
                <w:bCs/>
                <w:sz w:val="18"/>
                <w:szCs w:val="18"/>
              </w:rPr>
              <w:t xml:space="preserve">Overly Permissive Firewall Ruleset</w:t>
            </w:r>
          </w:p>
          <w:p>
            <w:r>
              <w:rPr>
                <w:rFonts w:ascii="Arial" w:cs="Arial" w:eastAsia="Arial" w:hAnsi="Arial"/>
                <w:i/>
                <w:iCs/>
                <w:color w:val="666666"/>
                <w:sz w:val="16"/>
                <w:szCs w:val="16"/>
              </w:rPr>
              <w:t xml:space="preserve">Nmap scan reveals 34 unnecessary open ports including Telnet (23), FTP (21) and RPC (135). Inbound r...</w:t>
            </w:r>
          </w:p>
        </w:tc>
        <w:tc>
          <w:tcPr>
            <w:tcW w:type="dxa" w:w="11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Nmap / Firewall Audit</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Perimeter Firewall (FW-01)</w:t>
            </w:r>
          </w:p>
        </w:tc>
        <w:tc>
          <w:tcPr>
            <w:tcW w:type="dxa" w:w="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PR.AC-5</w:t>
            </w:r>
          </w:p>
        </w:tc>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A.13.1.1</w:t>
            </w:r>
          </w:p>
        </w:tc>
        <w:tc>
          <w:tcPr>
            <w:tcW w:type="dxa" w:w="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7.8</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VND-008</w:t>
            </w:r>
          </w:p>
        </w:tc>
        <w:tc>
          <w:tcPr>
            <w:tcW w:type="dxa" w:w="9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25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b/>
                <w:bCs/>
                <w:sz w:val="18"/>
                <w:szCs w:val="18"/>
              </w:rPr>
              <w:t xml:space="preserve">Missing Security Headers on Web Application</w:t>
            </w:r>
          </w:p>
          <w:p>
            <w:r>
              <w:rPr>
                <w:rFonts w:ascii="Arial" w:cs="Arial" w:eastAsia="Arial" w:hAnsi="Arial"/>
                <w:i/>
                <w:iCs/>
                <w:color w:val="666666"/>
                <w:sz w:val="16"/>
                <w:szCs w:val="16"/>
              </w:rPr>
              <w:t xml:space="preserve">Web application responses are missing critical headers: Content-Security-Policy, X-Frame-Options, X-...</w:t>
            </w:r>
          </w:p>
        </w:tc>
        <w:tc>
          <w:tcPr>
            <w:tcW w:type="dxa" w:w="11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OWASP ZAP</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Customer Web Application</w:t>
            </w:r>
          </w:p>
        </w:tc>
        <w:tc>
          <w:tcPr>
            <w:tcW w:type="dxa" w:w="9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PR.IP-1</w:t>
            </w:r>
          </w:p>
        </w:tc>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A.14.1.2</w:t>
            </w:r>
          </w:p>
        </w:tc>
        <w:tc>
          <w:tcPr>
            <w:tcW w:type="dxa" w:w="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5.4</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VND-009</w:t>
            </w:r>
          </w:p>
        </w:tc>
        <w:tc>
          <w:tcPr>
            <w:tcW w:type="dxa" w:w="9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2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b/>
                <w:bCs/>
                <w:sz w:val="18"/>
                <w:szCs w:val="18"/>
              </w:rPr>
              <w:t xml:space="preserve">Absence of a Formal Patch Management Process</w:t>
            </w:r>
          </w:p>
          <w:p>
            <w:r>
              <w:rPr>
                <w:rFonts w:ascii="Arial" w:cs="Arial" w:eastAsia="Arial" w:hAnsi="Arial"/>
                <w:i/>
                <w:iCs/>
                <w:color w:val="666666"/>
                <w:sz w:val="16"/>
                <w:szCs w:val="16"/>
              </w:rPr>
              <w:t xml:space="preserve">No documented patch management policy exists. Third-party software assessments show 67% of installed...</w:t>
            </w:r>
          </w:p>
        </w:tc>
        <w:tc>
          <w:tcPr>
            <w:tcW w:type="dxa" w:w="11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Process Audit / ISO 27001 Review</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All Systems</w:t>
            </w:r>
          </w:p>
        </w:tc>
        <w:tc>
          <w:tcPr>
            <w:tcW w:type="dxa" w:w="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PR.IP-12</w:t>
            </w:r>
          </w:p>
        </w:tc>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A.12.6.1</w:t>
            </w:r>
          </w:p>
        </w:tc>
        <w:tc>
          <w:tcPr>
            <w:tcW w:type="dxa" w:w="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5.9</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VND-010</w:t>
            </w:r>
          </w:p>
        </w:tc>
        <w:tc>
          <w:tcPr>
            <w:tcW w:type="dxa" w:w="9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25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b/>
                <w:bCs/>
                <w:sz w:val="18"/>
                <w:szCs w:val="18"/>
              </w:rPr>
              <w:t xml:space="preserve">No Employee Cybersecurity Awareness Training</w:t>
            </w:r>
          </w:p>
          <w:p>
            <w:r>
              <w:rPr>
                <w:rFonts w:ascii="Arial" w:cs="Arial" w:eastAsia="Arial" w:hAnsi="Arial"/>
                <w:i/>
                <w:iCs/>
                <w:color w:val="666666"/>
                <w:sz w:val="16"/>
                <w:szCs w:val="16"/>
              </w:rPr>
              <w:t xml:space="preserve">No formal security awareness training programme exists. Simulated phishing campaigns indicate 42% of...</w:t>
            </w:r>
          </w:p>
        </w:tc>
        <w:tc>
          <w:tcPr>
            <w:tcW w:type="dxa" w:w="11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HR / Compliance Audit</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All Employees</w:t>
            </w:r>
          </w:p>
        </w:tc>
        <w:tc>
          <w:tcPr>
            <w:tcW w:type="dxa" w:w="9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PR.AT-1</w:t>
            </w:r>
          </w:p>
        </w:tc>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A.7.2.2</w:t>
            </w:r>
          </w:p>
        </w:tc>
        <w:tc>
          <w:tcPr>
            <w:tcW w:type="dxa" w:w="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5.5</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VND-011</w:t>
            </w:r>
          </w:p>
        </w:tc>
        <w:tc>
          <w:tcPr>
            <w:tcW w:type="dxa" w:w="9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2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b/>
                <w:bCs/>
                <w:sz w:val="18"/>
                <w:szCs w:val="18"/>
              </w:rPr>
              <w:t xml:space="preserve">Excessive Privileged Access (Principle of Least Privilege Violation)</w:t>
            </w:r>
          </w:p>
          <w:p>
            <w:r>
              <w:rPr>
                <w:rFonts w:ascii="Arial" w:cs="Arial" w:eastAsia="Arial" w:hAnsi="Arial"/>
                <w:i/>
                <w:iCs/>
                <w:color w:val="666666"/>
                <w:sz w:val="16"/>
                <w:szCs w:val="16"/>
              </w:rPr>
              <w:t xml:space="preserve">Audit of 240 user accounts found 53 non-administrative accounts with domain admin rights. 12 service...</w:t>
            </w:r>
          </w:p>
        </w:tc>
        <w:tc>
          <w:tcPr>
            <w:tcW w:type="dxa" w:w="11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IAM Audit</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Active Directory / Cloud IAM</w:t>
            </w:r>
          </w:p>
        </w:tc>
        <w:tc>
          <w:tcPr>
            <w:tcW w:type="dxa" w:w="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PR.AC-4</w:t>
            </w:r>
          </w:p>
        </w:tc>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A.9.2.3</w:t>
            </w:r>
          </w:p>
        </w:tc>
        <w:tc>
          <w:tcPr>
            <w:tcW w:type="dxa" w:w="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6.2</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VND-012</w:t>
            </w:r>
          </w:p>
        </w:tc>
        <w:tc>
          <w:tcPr>
            <w:tcW w:type="dxa" w:w="9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jc w:val="center"/>
            </w:pPr>
            <w:r>
              <w:rPr>
                <w:rFonts w:ascii="Arial" w:cs="Arial" w:eastAsia="Arial" w:hAnsi="Arial"/>
                <w:b/>
                <w:bCs/>
                <w:color w:val="F1C40F"/>
                <w:sz w:val="18"/>
                <w:szCs w:val="18"/>
              </w:rPr>
              <w:t xml:space="preserve">MEDIUM</w:t>
            </w:r>
          </w:p>
        </w:tc>
        <w:tc>
          <w:tcPr>
            <w:tcW w:type="dxa" w:w="25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b/>
                <w:bCs/>
                <w:sz w:val="18"/>
                <w:szCs w:val="18"/>
              </w:rPr>
              <w:t xml:space="preserve">Inadequate Logging and Audit Trail</w:t>
            </w:r>
          </w:p>
          <w:p>
            <w:r>
              <w:rPr>
                <w:rFonts w:ascii="Arial" w:cs="Arial" w:eastAsia="Arial" w:hAnsi="Arial"/>
                <w:i/>
                <w:iCs/>
                <w:color w:val="666666"/>
                <w:sz w:val="16"/>
                <w:szCs w:val="16"/>
              </w:rPr>
              <w:t xml:space="preserve">System logs are not centralised. Log retention is 7 days on most hosts (PCI-DSS requires 12 months o...</w:t>
            </w:r>
          </w:p>
        </w:tc>
        <w:tc>
          <w:tcPr>
            <w:tcW w:type="dxa" w:w="11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SIEM / Log Review</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All Servers, Firewall</w:t>
            </w:r>
          </w:p>
        </w:tc>
        <w:tc>
          <w:tcPr>
            <w:tcW w:type="dxa" w:w="9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DE.CM-7</w:t>
            </w:r>
          </w:p>
        </w:tc>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A.12.4.1</w:t>
            </w:r>
          </w:p>
        </w:tc>
        <w:tc>
          <w:tcPr>
            <w:tcW w:type="dxa" w:w="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5.0</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VND-013</w:t>
            </w:r>
          </w:p>
        </w:tc>
        <w:tc>
          <w:tcPr>
            <w:tcW w:type="dxa" w:w="9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LOW</w:t>
            </w:r>
          </w:p>
        </w:tc>
        <w:tc>
          <w:tcPr>
            <w:tcW w:type="dxa" w:w="25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b/>
                <w:bCs/>
                <w:sz w:val="18"/>
                <w:szCs w:val="18"/>
              </w:rPr>
              <w:t xml:space="preserve">Self-Signed TLS Certificates</w:t>
            </w:r>
          </w:p>
          <w:p>
            <w:r>
              <w:rPr>
                <w:rFonts w:ascii="Arial" w:cs="Arial" w:eastAsia="Arial" w:hAnsi="Arial"/>
                <w:i/>
                <w:iCs/>
                <w:color w:val="666666"/>
                <w:sz w:val="16"/>
                <w:szCs w:val="16"/>
              </w:rPr>
              <w:t xml:space="preserve">Several internal services use self-signed TLS certificates. This prevents proper certificate validat...</w:t>
            </w:r>
          </w:p>
        </w:tc>
        <w:tc>
          <w:tcPr>
            <w:tcW w:type="dxa" w:w="11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Wireshark / SSL Labs</w:t>
            </w:r>
          </w:p>
        </w:tc>
        <w:tc>
          <w:tcPr>
            <w:tcW w:type="dxa" w:w="1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left"/>
            </w:pPr>
            <w:r>
              <w:rPr>
                <w:rFonts w:ascii="Arial" w:cs="Arial" w:eastAsia="Arial" w:hAnsi="Arial"/>
                <w:sz w:val="18"/>
                <w:szCs w:val="18"/>
              </w:rPr>
              <w:t xml:space="preserve">Internal Services</w:t>
            </w:r>
          </w:p>
        </w:tc>
        <w:tc>
          <w:tcPr>
            <w:tcW w:type="dxa" w:w="9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PR.DS-2</w:t>
            </w:r>
          </w:p>
        </w:tc>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A.10.1.1</w:t>
            </w:r>
          </w:p>
        </w:tc>
        <w:tc>
          <w:tcPr>
            <w:tcW w:type="dxa" w:w="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8"/>
                <w:szCs w:val="18"/>
              </w:rPr>
              <w:t xml:space="preserve">3.7</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VND-014</w:t>
            </w:r>
          </w:p>
        </w:tc>
        <w:tc>
          <w:tcPr>
            <w:tcW w:type="dxa" w:w="9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vAlign w:val="center"/>
          </w:tcPr>
          <w:p>
            <w:pPr>
              <w:jc w:val="center"/>
            </w:pPr>
            <w:r>
              <w:rPr>
                <w:rFonts w:ascii="Arial" w:cs="Arial" w:eastAsia="Arial" w:hAnsi="Arial"/>
                <w:b/>
                <w:bCs/>
                <w:color w:val="27AE60"/>
                <w:sz w:val="18"/>
                <w:szCs w:val="18"/>
              </w:rPr>
              <w:t xml:space="preserve">LOW</w:t>
            </w:r>
          </w:p>
        </w:tc>
        <w:tc>
          <w:tcPr>
            <w:tcW w:type="dxa" w:w="25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b/>
                <w:bCs/>
                <w:sz w:val="18"/>
                <w:szCs w:val="18"/>
              </w:rPr>
              <w:t xml:space="preserve">No Formal Incident Response Plan</w:t>
            </w:r>
          </w:p>
          <w:p>
            <w:r>
              <w:rPr>
                <w:rFonts w:ascii="Arial" w:cs="Arial" w:eastAsia="Arial" w:hAnsi="Arial"/>
                <w:i/>
                <w:iCs/>
                <w:color w:val="666666"/>
                <w:sz w:val="16"/>
                <w:szCs w:val="16"/>
              </w:rPr>
              <w:t xml:space="preserve">No documented incident response plan or playbooks exist. In the event of a breach, mean time to cont...</w:t>
            </w:r>
          </w:p>
        </w:tc>
        <w:tc>
          <w:tcPr>
            <w:tcW w:type="dxa" w:w="11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Policy / Compliance Audit</w:t>
            </w:r>
          </w:p>
        </w:tc>
        <w:tc>
          <w:tcPr>
            <w:tcW w:type="dxa" w:w="1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left"/>
            </w:pPr>
            <w:r>
              <w:rPr>
                <w:rFonts w:ascii="Arial" w:cs="Arial" w:eastAsia="Arial" w:hAnsi="Arial"/>
                <w:sz w:val="18"/>
                <w:szCs w:val="18"/>
              </w:rPr>
              <w:t xml:space="preserve">Organisational Process</w:t>
            </w:r>
          </w:p>
        </w:tc>
        <w:tc>
          <w:tcPr>
            <w:tcW w:type="dxa" w:w="9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RS.RP-1</w:t>
            </w:r>
          </w:p>
        </w:tc>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A.16.1.1</w:t>
            </w:r>
          </w:p>
        </w:tc>
        <w:tc>
          <w:tcPr>
            <w:tcW w:type="dxa" w:w="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8"/>
                <w:szCs w:val="18"/>
              </w:rPr>
              <w:t xml:space="preserve">3.1</w:t>
            </w:r>
          </w:p>
        </w:tc>
      </w:tr>
    </w:tbl>
    <w:p>
      <w:pPr>
        <w:spacing w:before="60" w:after="60"/>
      </w:pPr>
      <w:r>
        <w:t xml:space="preserve"/>
      </w:r>
    </w:p>
    <w:p>
      <w:pPr>
        <w:pStyle w:val="Heading2"/>
        <w:spacing w:before="240" w:after="120"/>
      </w:pPr>
      <w:r>
        <w:rPr>
          <w:rFonts w:ascii="Arial" w:cs="Arial" w:eastAsia="Arial" w:hAnsi="Arial"/>
          <w:b/>
          <w:bCs/>
          <w:color w:val="2C5F8A"/>
          <w:sz w:val="28"/>
          <w:szCs w:val="28"/>
        </w:rPr>
        <w:t xml:space="preserve">6.2 Critical Vulnerability Deep-Dives</w:t>
      </w:r>
    </w:p>
    <w:p>
      <w:pPr>
        <w:pStyle w:val="Heading3"/>
        <w:spacing w:before="180" w:after="80"/>
      </w:pPr>
      <w:r>
        <w:rPr>
          <w:rFonts w:ascii="Arial" w:cs="Arial" w:eastAsia="Arial" w:hAnsi="Arial"/>
          <w:b/>
          <w:bCs/>
          <w:color w:val="0D7C6E"/>
          <w:sz w:val="24"/>
          <w:szCs w:val="24"/>
        </w:rPr>
        <w:t xml:space="preserve">VND-001 — No Multi-Factor Authentication (CRITICAL, CVSS 9.1)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single" w:color="2C5F8A" w:sz="6"/>
              <w:bottom w:val="single" w:color="2C5F8A" w:sz="6"/>
              <w:right w:val="single" w:color="2C5F8A" w:sz="6"/>
            </w:tcBorders>
            <w:shd w:fill="FADBD8"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Finding Detail: VND-001</w:t>
            </w:r>
          </w:p>
          <w:p>
            <w:pPr>
              <w:spacing w:before="30" w:after="30"/>
            </w:pPr>
            <w:r>
              <w:rPr>
                <w:rFonts w:ascii="Arial" w:cs="Arial" w:eastAsia="Arial" w:hAnsi="Arial"/>
                <w:sz w:val="20"/>
                <w:szCs w:val="20"/>
              </w:rPr>
              <w:t xml:space="preserve">Severity: CRITICAL  |  CVSS: 9.1  |  NIST: PR.AC-1  |  ISO: A.9.4.2</w:t>
            </w:r>
          </w:p>
          <w:p>
            <w:pPr>
              <w:spacing w:before="30" w:after="30"/>
            </w:pPr>
            <w:r>
              <w:rPr>
                <w:rFonts w:ascii="Arial" w:cs="Arial" w:eastAsia="Arial" w:hAnsi="Arial"/>
                <w:sz w:val="20"/>
                <w:szCs w:val="20"/>
              </w:rPr>
              <w:t xml:space="preserve">Affected Assets: Admin Portal, Customer Dashboard, Active Directory</w:t>
            </w:r>
          </w:p>
          <w:p>
            <w:pPr>
              <w:spacing w:before="30" w:after="30"/>
            </w:pPr>
            <w:r>
              <w:rPr>
                <w:rFonts w:ascii="Arial" w:cs="Arial" w:eastAsia="Arial" w:hAnsi="Arial"/>
                <w:sz w:val="20"/>
                <w:szCs w:val="20"/>
              </w:rPr>
              <w:t xml:space="preserve"/>
            </w:r>
          </w:p>
          <w:p>
            <w:pPr>
              <w:spacing w:before="30" w:after="30"/>
            </w:pPr>
            <w:r>
              <w:rPr>
                <w:rFonts w:ascii="Arial" w:cs="Arial" w:eastAsia="Arial" w:hAnsi="Arial"/>
                <w:sz w:val="20"/>
                <w:szCs w:val="20"/>
              </w:rPr>
              <w:t xml:space="preserve">Evidence: Manual testing confirmed that both the admin portal (https://admin.vendmotech.co.za) and the</w:t>
            </w:r>
          </w:p>
          <w:p>
            <w:pPr>
              <w:spacing w:before="30" w:after="30"/>
            </w:pPr>
            <w:r>
              <w:rPr>
                <w:rFonts w:ascii="Arial" w:cs="Arial" w:eastAsia="Arial" w:hAnsi="Arial"/>
                <w:sz w:val="20"/>
                <w:szCs w:val="20"/>
              </w:rPr>
              <w:t xml:space="preserve">customer dashboard allow successful login with only username and password. No TOTP, push notification,</w:t>
            </w:r>
          </w:p>
          <w:p>
            <w:pPr>
              <w:spacing w:before="30" w:after="30"/>
            </w:pPr>
            <w:r>
              <w:rPr>
                <w:rFonts w:ascii="Arial" w:cs="Arial" w:eastAsia="Arial" w:hAnsi="Arial"/>
                <w:sz w:val="20"/>
                <w:szCs w:val="20"/>
              </w:rPr>
              <w:t xml:space="preserve">or hardware token second factor is required. Account lockout is not enforced after failed attempts.</w:t>
            </w:r>
          </w:p>
          <w:p>
            <w:pPr>
              <w:spacing w:before="30" w:after="30"/>
            </w:pPr>
            <w:r>
              <w:rPr>
                <w:rFonts w:ascii="Arial" w:cs="Arial" w:eastAsia="Arial" w:hAnsi="Arial"/>
                <w:sz w:val="20"/>
                <w:szCs w:val="20"/>
              </w:rPr>
              <w:t xml:space="preserve"/>
            </w:r>
          </w:p>
          <w:p>
            <w:pPr>
              <w:spacing w:before="30" w:after="30"/>
            </w:pPr>
            <w:r>
              <w:rPr>
                <w:rFonts w:ascii="Arial" w:cs="Arial" w:eastAsia="Arial" w:hAnsi="Arial"/>
                <w:sz w:val="20"/>
                <w:szCs w:val="20"/>
              </w:rPr>
              <w:t xml:space="preserve">Risk: A successful phishing attack, password spray, or credential stuffing campaign provides immediate,</w:t>
            </w:r>
          </w:p>
          <w:p>
            <w:pPr>
              <w:spacing w:before="30" w:after="30"/>
            </w:pPr>
            <w:r>
              <w:rPr>
                <w:rFonts w:ascii="Arial" w:cs="Arial" w:eastAsia="Arial" w:hAnsi="Arial"/>
                <w:sz w:val="20"/>
                <w:szCs w:val="20"/>
              </w:rPr>
              <w:t xml:space="preserve">unrestricted account access. With 53 accounts holding Domain Admin rights, a single compromised credential</w:t>
            </w:r>
          </w:p>
          <w:p>
            <w:pPr>
              <w:spacing w:before="30" w:after="30"/>
            </w:pPr>
            <w:r>
              <w:rPr>
                <w:rFonts w:ascii="Arial" w:cs="Arial" w:eastAsia="Arial" w:hAnsi="Arial"/>
                <w:sz w:val="20"/>
                <w:szCs w:val="20"/>
              </w:rPr>
              <w:t xml:space="preserve">could result in full Active Directory and infrastructure compromise.</w:t>
            </w:r>
          </w:p>
          <w:p>
            <w:pPr>
              <w:spacing w:before="30" w:after="30"/>
            </w:pPr>
            <w:r>
              <w:rPr>
                <w:rFonts w:ascii="Arial" w:cs="Arial" w:eastAsia="Arial" w:hAnsi="Arial"/>
                <w:sz w:val="20"/>
                <w:szCs w:val="20"/>
              </w:rPr>
              <w:t xml:space="preserve"/>
            </w:r>
          </w:p>
          <w:p>
            <w:pPr>
              <w:spacing w:before="30" w:after="30"/>
            </w:pPr>
            <w:r>
              <w:rPr>
                <w:rFonts w:ascii="Arial" w:cs="Arial" w:eastAsia="Arial" w:hAnsi="Arial"/>
                <w:sz w:val="20"/>
                <w:szCs w:val="20"/>
              </w:rPr>
              <w:t xml:space="preserve">Remediation: Deploy MFA immediately using Duo Security, Okta, or Microsoft Authenticator. Enforce on</w:t>
            </w:r>
          </w:p>
          <w:p>
            <w:pPr>
              <w:spacing w:before="30" w:after="30"/>
            </w:pPr>
            <w:r>
              <w:rPr>
                <w:rFonts w:ascii="Arial" w:cs="Arial" w:eastAsia="Arial" w:hAnsi="Arial"/>
                <w:sz w:val="20"/>
                <w:szCs w:val="20"/>
              </w:rPr>
              <w:t xml:space="preserve">administrative accounts within 24 hours, all staff accounts within 7 days, and customer accounts within 30 days.</w:t>
            </w:r>
          </w:p>
        </w:tc>
      </w:tr>
    </w:tbl>
    <w:p>
      <w:pPr>
        <w:spacing w:before="60" w:after="60"/>
      </w:pPr>
      <w:r>
        <w:t xml:space="preserve"/>
      </w:r>
    </w:p>
    <w:p>
      <w:pPr>
        <w:pStyle w:val="Heading3"/>
        <w:spacing w:before="180" w:after="80"/>
      </w:pPr>
      <w:r>
        <w:rPr>
          <w:rFonts w:ascii="Arial" w:cs="Arial" w:eastAsia="Arial" w:hAnsi="Arial"/>
          <w:b/>
          <w:bCs/>
          <w:color w:val="0D7C6E"/>
          <w:sz w:val="24"/>
          <w:szCs w:val="24"/>
        </w:rPr>
        <w:t xml:space="preserve">VND-002 — Unpatched Apache RCE (CVE-2021-41773) (CRITICAL, CVSS 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single" w:color="2C5F8A" w:sz="6"/>
              <w:bottom w:val="single" w:color="2C5F8A" w:sz="6"/>
              <w:right w:val="single" w:color="2C5F8A" w:sz="6"/>
            </w:tcBorders>
            <w:shd w:fill="FADBD8"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Finding Detail: VND-002</w:t>
            </w:r>
          </w:p>
          <w:p>
            <w:pPr>
              <w:spacing w:before="30" w:after="30"/>
            </w:pPr>
            <w:r>
              <w:rPr>
                <w:rFonts w:ascii="Arial" w:cs="Arial" w:eastAsia="Arial" w:hAnsi="Arial"/>
                <w:sz w:val="20"/>
                <w:szCs w:val="20"/>
              </w:rPr>
              <w:t xml:space="preserve">Severity: CRITICAL  |  CVSS: 9.8  |  NIST: PR.IP-12  |  ISO: A.12.6.1</w:t>
            </w:r>
          </w:p>
          <w:p>
            <w:pPr>
              <w:spacing w:before="30" w:after="30"/>
            </w:pPr>
            <w:r>
              <w:rPr>
                <w:rFonts w:ascii="Arial" w:cs="Arial" w:eastAsia="Arial" w:hAnsi="Arial"/>
                <w:sz w:val="20"/>
                <w:szCs w:val="20"/>
              </w:rPr>
              <w:t xml:space="preserve">Affected Assets: Web Server WS-01 (Apache 2.4.49)</w:t>
            </w:r>
          </w:p>
          <w:p>
            <w:pPr>
              <w:spacing w:before="30" w:after="30"/>
            </w:pPr>
            <w:r>
              <w:rPr>
                <w:rFonts w:ascii="Arial" w:cs="Arial" w:eastAsia="Arial" w:hAnsi="Arial"/>
                <w:sz w:val="20"/>
                <w:szCs w:val="20"/>
              </w:rPr>
              <w:t xml:space="preserve"/>
            </w:r>
          </w:p>
          <w:p>
            <w:pPr>
              <w:spacing w:before="30" w:after="30"/>
            </w:pPr>
            <w:r>
              <w:rPr>
                <w:rFonts w:ascii="Arial" w:cs="Arial" w:eastAsia="Arial" w:hAnsi="Arial"/>
                <w:sz w:val="20"/>
                <w:szCs w:val="20"/>
              </w:rPr>
              <w:t xml:space="preserve">Evidence: Nmap version scan identified Apache/2.4.49 on WS-01. CVE-2021-41773 allows a path traversal</w:t>
            </w:r>
          </w:p>
          <w:p>
            <w:pPr>
              <w:spacing w:before="30" w:after="30"/>
            </w:pPr>
            <w:r>
              <w:rPr>
                <w:rFonts w:ascii="Arial" w:cs="Arial" w:eastAsia="Arial" w:hAnsi="Arial"/>
                <w:sz w:val="20"/>
                <w:szCs w:val="20"/>
              </w:rPr>
              <w:t xml:space="preserve">attack to map URLs to files outside the document root. When CGI scripts are enabled (confirmed via</w:t>
            </w:r>
          </w:p>
          <w:p>
            <w:pPr>
              <w:spacing w:before="30" w:after="30"/>
            </w:pPr>
            <w:r>
              <w:rPr>
                <w:rFonts w:ascii="Arial" w:cs="Arial" w:eastAsia="Arial" w:hAnsi="Arial"/>
                <w:sz w:val="20"/>
                <w:szCs w:val="20"/>
              </w:rPr>
              <w:t xml:space="preserve">Metasploit), this is exploitable for unauthenticated remote code execution.</w:t>
            </w:r>
          </w:p>
          <w:p>
            <w:pPr>
              <w:spacing w:before="30" w:after="30"/>
            </w:pPr>
            <w:r>
              <w:rPr>
                <w:rFonts w:ascii="Arial" w:cs="Arial" w:eastAsia="Arial" w:hAnsi="Arial"/>
                <w:sz w:val="20"/>
                <w:szCs w:val="20"/>
              </w:rPr>
              <w:t xml:space="preserve"/>
            </w:r>
          </w:p>
          <w:p>
            <w:pPr>
              <w:spacing w:before="30" w:after="30"/>
            </w:pPr>
            <w:r>
              <w:rPr>
                <w:rFonts w:ascii="Arial" w:cs="Arial" w:eastAsia="Arial" w:hAnsi="Arial"/>
                <w:sz w:val="20"/>
                <w:szCs w:val="20"/>
              </w:rPr>
              <w:t xml:space="preserve">Proof of Concept (controlled lab): A HTTP GET request to /.%2e/.%2e/etc/passwd returned the system</w:t>
            </w:r>
          </w:p>
          <w:p>
            <w:pPr>
              <w:spacing w:before="30" w:after="30"/>
            </w:pPr>
            <w:r>
              <w:rPr>
                <w:rFonts w:ascii="Arial" w:cs="Arial" w:eastAsia="Arial" w:hAnsi="Arial"/>
                <w:sz w:val="20"/>
                <w:szCs w:val="20"/>
              </w:rPr>
              <w:t xml:space="preserve">password file. RCE was demonstrated by executing a reverse shell payload.</w:t>
            </w:r>
          </w:p>
          <w:p>
            <w:pPr>
              <w:spacing w:before="30" w:after="30"/>
            </w:pPr>
            <w:r>
              <w:rPr>
                <w:rFonts w:ascii="Arial" w:cs="Arial" w:eastAsia="Arial" w:hAnsi="Arial"/>
                <w:sz w:val="20"/>
                <w:szCs w:val="20"/>
              </w:rPr>
              <w:t xml:space="preserve"/>
            </w:r>
          </w:p>
          <w:p>
            <w:pPr>
              <w:spacing w:before="30" w:after="30"/>
            </w:pPr>
            <w:r>
              <w:rPr>
                <w:rFonts w:ascii="Arial" w:cs="Arial" w:eastAsia="Arial" w:hAnsi="Arial"/>
                <w:sz w:val="20"/>
                <w:szCs w:val="20"/>
              </w:rPr>
              <w:t xml:space="preserve">Remediation: Upgrade Apache immediately to version 2.4.58 or later. Apply patch within 24-48 hours.</w:t>
            </w:r>
          </w:p>
          <w:p>
            <w:pPr>
              <w:spacing w:before="30" w:after="30"/>
            </w:pPr>
            <w:r>
              <w:rPr>
                <w:rFonts w:ascii="Arial" w:cs="Arial" w:eastAsia="Arial" w:hAnsi="Arial"/>
                <w:sz w:val="20"/>
                <w:szCs w:val="20"/>
              </w:rPr>
              <w:t xml:space="preserve">Implement automated vulnerability scanning to prevent future deployment of known-vulnerable packages.</w:t>
            </w:r>
          </w:p>
        </w:tc>
      </w:tr>
    </w:tbl>
    <w:p>
      <w:pPr>
        <w:spacing w:before="60" w:after="60"/>
      </w:pPr>
      <w:r>
        <w:t xml:space="preserve"/>
      </w:r>
    </w:p>
    <w:p>
      <w:pPr>
        <w:pStyle w:val="Heading3"/>
        <w:spacing w:before="180" w:after="80"/>
      </w:pPr>
      <w:r>
        <w:rPr>
          <w:rFonts w:ascii="Arial" w:cs="Arial" w:eastAsia="Arial" w:hAnsi="Arial"/>
          <w:b/>
          <w:bCs/>
          <w:color w:val="0D7C6E"/>
          <w:sz w:val="24"/>
          <w:szCs w:val="24"/>
        </w:rPr>
        <w:t xml:space="preserve">VND-003 — Plaintext PII Storage (CRITICAL, CVSS 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single" w:color="2C5F8A" w:sz="6"/>
              <w:bottom w:val="single" w:color="2C5F8A" w:sz="6"/>
              <w:right w:val="single" w:color="2C5F8A" w:sz="6"/>
            </w:tcBorders>
            <w:shd w:fill="FADBD8"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Finding Detail: VND-003</w:t>
            </w:r>
          </w:p>
          <w:p>
            <w:pPr>
              <w:spacing w:before="30" w:after="30"/>
            </w:pPr>
            <w:r>
              <w:rPr>
                <w:rFonts w:ascii="Arial" w:cs="Arial" w:eastAsia="Arial" w:hAnsi="Arial"/>
                <w:sz w:val="20"/>
                <w:szCs w:val="20"/>
              </w:rPr>
              <w:t xml:space="preserve">Severity: CRITICAL  |  CVSS: 9.0  |  NIST: PR.DS-1  |  ISO: A.10.1.1</w:t>
            </w:r>
          </w:p>
          <w:p>
            <w:pPr>
              <w:spacing w:before="30" w:after="30"/>
            </w:pPr>
            <w:r>
              <w:rPr>
                <w:rFonts w:ascii="Arial" w:cs="Arial" w:eastAsia="Arial" w:hAnsi="Arial"/>
                <w:sz w:val="20"/>
                <w:szCs w:val="20"/>
              </w:rPr>
              <w:t xml:space="preserve">Affected Assets: Customer Database DB-01 (PostgreSQL)</w:t>
            </w:r>
          </w:p>
          <w:p>
            <w:pPr>
              <w:spacing w:before="30" w:after="30"/>
            </w:pPr>
            <w:r>
              <w:rPr>
                <w:rFonts w:ascii="Arial" w:cs="Arial" w:eastAsia="Arial" w:hAnsi="Arial"/>
                <w:sz w:val="20"/>
                <w:szCs w:val="20"/>
              </w:rPr>
              <w:t xml:space="preserve"/>
            </w:r>
          </w:p>
          <w:p>
            <w:pPr>
              <w:spacing w:before="30" w:after="30"/>
            </w:pPr>
            <w:r>
              <w:rPr>
                <w:rFonts w:ascii="Arial" w:cs="Arial" w:eastAsia="Arial" w:hAnsi="Arial"/>
                <w:sz w:val="20"/>
                <w:szCs w:val="20"/>
              </w:rPr>
              <w:t xml:space="preserve">Evidence: Direct database query access (authorised) confirmed that the customers table stores full_name,</w:t>
            </w:r>
          </w:p>
          <w:p>
            <w:pPr>
              <w:spacing w:before="30" w:after="30"/>
            </w:pPr>
            <w:r>
              <w:rPr>
                <w:rFonts w:ascii="Arial" w:cs="Arial" w:eastAsia="Arial" w:hAnsi="Arial"/>
                <w:sz w:val="20"/>
                <w:szCs w:val="20"/>
              </w:rPr>
              <w:t xml:space="preserve">id_number, address, email, and payment_reference_token fields in plaintext UTF-8 format. No column-level</w:t>
            </w:r>
          </w:p>
          <w:p>
            <w:pPr>
              <w:spacing w:before="30" w:after="30"/>
            </w:pPr>
            <w:r>
              <w:rPr>
                <w:rFonts w:ascii="Arial" w:cs="Arial" w:eastAsia="Arial" w:hAnsi="Arial"/>
                <w:sz w:val="20"/>
                <w:szCs w:val="20"/>
              </w:rPr>
              <w:t xml:space="preserve">or tablespace encryption is in place. Database backups on BK-01 are also unencrypted.</w:t>
            </w:r>
          </w:p>
          <w:p>
            <w:pPr>
              <w:spacing w:before="30" w:after="30"/>
            </w:pPr>
            <w:r>
              <w:rPr>
                <w:rFonts w:ascii="Arial" w:cs="Arial" w:eastAsia="Arial" w:hAnsi="Arial"/>
                <w:sz w:val="20"/>
                <w:szCs w:val="20"/>
              </w:rPr>
              <w:t xml:space="preserve"/>
            </w:r>
          </w:p>
          <w:p>
            <w:pPr>
              <w:spacing w:before="30" w:after="30"/>
            </w:pPr>
            <w:r>
              <w:rPr>
                <w:rFonts w:ascii="Arial" w:cs="Arial" w:eastAsia="Arial" w:hAnsi="Arial"/>
                <w:sz w:val="20"/>
                <w:szCs w:val="20"/>
              </w:rPr>
              <w:t xml:space="preserve">Regulatory Exposure: POPIA Section 19, PCI-DSS Requirement 3.4, ISO 27001 A.10.1.1.</w:t>
            </w:r>
          </w:p>
          <w:p>
            <w:pPr>
              <w:spacing w:before="30" w:after="30"/>
            </w:pPr>
            <w:r>
              <w:rPr>
                <w:rFonts w:ascii="Arial" w:cs="Arial" w:eastAsia="Arial" w:hAnsi="Arial"/>
                <w:sz w:val="20"/>
                <w:szCs w:val="20"/>
              </w:rPr>
              <w:t xml:space="preserve">Estimated maximum POPIA fine: R 10,000,000.</w:t>
            </w:r>
          </w:p>
          <w:p>
            <w:pPr>
              <w:spacing w:before="30" w:after="30"/>
            </w:pPr>
            <w:r>
              <w:rPr>
                <w:rFonts w:ascii="Arial" w:cs="Arial" w:eastAsia="Arial" w:hAnsi="Arial"/>
                <w:sz w:val="20"/>
                <w:szCs w:val="20"/>
              </w:rPr>
              <w:t xml:space="preserve"/>
            </w:r>
          </w:p>
          <w:p>
            <w:pPr>
              <w:spacing w:before="30" w:after="30"/>
            </w:pPr>
            <w:r>
              <w:rPr>
                <w:rFonts w:ascii="Arial" w:cs="Arial" w:eastAsia="Arial" w:hAnsi="Arial"/>
                <w:sz w:val="20"/>
                <w:szCs w:val="20"/>
              </w:rPr>
              <w:t xml:space="preserve">Remediation: Implement AES-256 encryption at rest immediately. Use PostgreSQL pgcrypto or TDE.</w:t>
            </w:r>
          </w:p>
          <w:p>
            <w:pPr>
              <w:spacing w:before="30" w:after="30"/>
            </w:pPr>
            <w:r>
              <w:rPr>
                <w:rFonts w:ascii="Arial" w:cs="Arial" w:eastAsia="Arial" w:hAnsi="Arial"/>
                <w:sz w:val="20"/>
                <w:szCs w:val="20"/>
              </w:rPr>
              <w:t xml:space="preserve">Store encryption keys in a Hardware Security Module (HSM) or AWS KMS, NOT alongside the data.</w:t>
            </w:r>
          </w:p>
        </w:tc>
      </w:tr>
    </w:tbl>
    <w:p>
      <w:pPr>
        <w:spacing w:before="60" w:after="60"/>
      </w:pPr>
      <w:r>
        <w:t xml:space="preserve"/>
      </w:r>
    </w:p>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7. Framework Mapping</w:t>
      </w:r>
    </w:p>
    <w:p>
      <w:pPr>
        <w:pStyle w:val="Heading2"/>
        <w:spacing w:before="240" w:after="120"/>
      </w:pPr>
      <w:r>
        <w:rPr>
          <w:rFonts w:ascii="Arial" w:cs="Arial" w:eastAsia="Arial" w:hAnsi="Arial"/>
          <w:b/>
          <w:bCs/>
          <w:color w:val="2C5F8A"/>
          <w:sz w:val="28"/>
          <w:szCs w:val="28"/>
        </w:rPr>
        <w:t xml:space="preserve">7.1 NIST CSF &amp; ISO/IEC 27001 Control Mapping</w:t>
      </w:r>
    </w:p>
    <w:p>
      <w:pPr>
        <w:spacing w:before="80" w:after="80"/>
      </w:pPr>
      <w:r>
        <w:rPr>
          <w:rFonts w:ascii="Arial" w:cs="Arial" w:eastAsia="Arial" w:hAnsi="Arial"/>
          <w:sz w:val="22"/>
          <w:szCs w:val="22"/>
        </w:rPr>
        <w:t xml:space="preserve">All 14 findings have been mapped to relevant NIST Cybersecurity Framework controls and ISO/IEC 27001:2022 Annex A controls. This mapping facilitates alignment with compliance requirements and supports the eventual ISO 27001 certification journey.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400"/>
        <w:gridCol w:w="2260"/>
        <w:gridCol w:w="1400"/>
        <w:gridCol w:w="1400"/>
      </w:tblGrid>
      <w:tr>
        <w:tc>
          <w:tcPr>
            <w:tcW w:type="dxa" w:w="7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Vuln ID</w:t>
            </w:r>
          </w:p>
        </w:tc>
        <w:tc>
          <w:tcPr>
            <w:tcW w:type="dxa" w:w="22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Finding</w:t>
            </w:r>
          </w:p>
        </w:tc>
        <w:tc>
          <w:tcPr>
            <w:tcW w:type="dxa" w:w="14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NIST CSF Category</w:t>
            </w:r>
          </w:p>
        </w:tc>
        <w:tc>
          <w:tcPr>
            <w:tcW w:type="dxa" w:w="226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NIST Control</w:t>
            </w:r>
          </w:p>
        </w:tc>
        <w:tc>
          <w:tcPr>
            <w:tcW w:type="dxa" w:w="14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ISO 27001 Ctrl.</w:t>
            </w:r>
          </w:p>
        </w:tc>
        <w:tc>
          <w:tcPr>
            <w:tcW w:type="dxa" w:w="14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ISO Domain</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bCs/>
                <w:sz w:val="18"/>
                <w:szCs w:val="18"/>
              </w:rPr>
              <w:t xml:space="preserve">VND-001</w:t>
            </w:r>
          </w:p>
        </w:tc>
        <w:tc>
          <w:tcPr>
            <w:tcW w:type="dxa" w:w="2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No MFA on Admin Portals</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PROTECT</w:t>
            </w:r>
          </w:p>
        </w:tc>
        <w:tc>
          <w:tcPr>
            <w:tcW w:type="dxa" w:w="22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PR.AC-1: Identities and credentials managed</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A.9.4.2</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Access Control</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bCs/>
                <w:sz w:val="18"/>
                <w:szCs w:val="18"/>
              </w:rPr>
              <w:t xml:space="preserve">VND-002</w:t>
            </w:r>
          </w:p>
        </w:tc>
        <w:tc>
          <w:tcPr>
            <w:tcW w:type="dxa" w:w="2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Unpatched Apache Server</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PROTECT</w:t>
            </w:r>
          </w:p>
        </w:tc>
        <w:tc>
          <w:tcPr>
            <w:tcW w:type="dxa" w:w="22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PR.IP-12: Vulnerabilities disclosed and managed</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A.12.6.1</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Ops. Security</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bCs/>
                <w:sz w:val="18"/>
                <w:szCs w:val="18"/>
              </w:rPr>
              <w:t xml:space="preserve">VND-003</w:t>
            </w:r>
          </w:p>
        </w:tc>
        <w:tc>
          <w:tcPr>
            <w:tcW w:type="dxa" w:w="2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Plaintext PII Storage</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PROTECT</w:t>
            </w:r>
          </w:p>
        </w:tc>
        <w:tc>
          <w:tcPr>
            <w:tcW w:type="dxa" w:w="22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PR.DS-1: Data-at-rest protected</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A.10.1.1</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Cryptography</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bCs/>
                <w:sz w:val="18"/>
                <w:szCs w:val="18"/>
              </w:rPr>
              <w:t xml:space="preserve">VND-004</w:t>
            </w:r>
          </w:p>
        </w:tc>
        <w:tc>
          <w:tcPr>
            <w:tcW w:type="dxa" w:w="2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Default Credentials</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PROTECT</w:t>
            </w:r>
          </w:p>
        </w:tc>
        <w:tc>
          <w:tcPr>
            <w:tcW w:type="dxa" w:w="22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PR.AC-4: Access perms managed</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A.9.1.2</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Access Control</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bCs/>
                <w:sz w:val="18"/>
                <w:szCs w:val="18"/>
              </w:rPr>
              <w:t xml:space="preserve">VND-005</w:t>
            </w:r>
          </w:p>
        </w:tc>
        <w:tc>
          <w:tcPr>
            <w:tcW w:type="dxa" w:w="2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Data Over HTTP</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PROTECT</w:t>
            </w:r>
          </w:p>
        </w:tc>
        <w:tc>
          <w:tcPr>
            <w:tcW w:type="dxa" w:w="22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PR.DS-2: Data-in-transit protected</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A.10.1.1</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Cryptography</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bCs/>
                <w:sz w:val="18"/>
                <w:szCs w:val="18"/>
              </w:rPr>
              <w:t xml:space="preserve">VND-006</w:t>
            </w:r>
          </w:p>
        </w:tc>
        <w:tc>
          <w:tcPr>
            <w:tcW w:type="dxa" w:w="2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SQL Injection</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PROTECT</w:t>
            </w:r>
          </w:p>
        </w:tc>
        <w:tc>
          <w:tcPr>
            <w:tcW w:type="dxa" w:w="22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PR.IP-1: Baseline config managed</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A.14.2.1</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System Dev.</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bCs/>
                <w:sz w:val="18"/>
                <w:szCs w:val="18"/>
              </w:rPr>
              <w:t xml:space="preserve">VND-007</w:t>
            </w:r>
          </w:p>
        </w:tc>
        <w:tc>
          <w:tcPr>
            <w:tcW w:type="dxa" w:w="2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Firewall Misconfiguration</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PROTECT</w:t>
            </w:r>
          </w:p>
        </w:tc>
        <w:tc>
          <w:tcPr>
            <w:tcW w:type="dxa" w:w="22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PR.AC-5: Network integrity protected</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A.13.1.1</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Network Sec.</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bCs/>
                <w:sz w:val="18"/>
                <w:szCs w:val="18"/>
              </w:rPr>
              <w:t xml:space="preserve">VND-008</w:t>
            </w:r>
          </w:p>
        </w:tc>
        <w:tc>
          <w:tcPr>
            <w:tcW w:type="dxa" w:w="2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Missing HTTP Headers</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PROTECT</w:t>
            </w:r>
          </w:p>
        </w:tc>
        <w:tc>
          <w:tcPr>
            <w:tcW w:type="dxa" w:w="22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PR.IP-1: Baseline config managed</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A.14.1.2</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System Dev.</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bCs/>
                <w:sz w:val="18"/>
                <w:szCs w:val="18"/>
              </w:rPr>
              <w:t xml:space="preserve">VND-009</w:t>
            </w:r>
          </w:p>
        </w:tc>
        <w:tc>
          <w:tcPr>
            <w:tcW w:type="dxa" w:w="2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No Patch Management</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PROTECT</w:t>
            </w:r>
          </w:p>
        </w:tc>
        <w:tc>
          <w:tcPr>
            <w:tcW w:type="dxa" w:w="22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PR.IP-12: Vuln. management process</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A.12.6.1</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Ops. Security</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bCs/>
                <w:sz w:val="18"/>
                <w:szCs w:val="18"/>
              </w:rPr>
              <w:t xml:space="preserve">VND-010</w:t>
            </w:r>
          </w:p>
        </w:tc>
        <w:tc>
          <w:tcPr>
            <w:tcW w:type="dxa" w:w="2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No Security Training</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PROTECT</w:t>
            </w:r>
          </w:p>
        </w:tc>
        <w:tc>
          <w:tcPr>
            <w:tcW w:type="dxa" w:w="22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PR.AT-1: Users informed and trained</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A.7.2.2</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Human Resources</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bCs/>
                <w:sz w:val="18"/>
                <w:szCs w:val="18"/>
              </w:rPr>
              <w:t xml:space="preserve">VND-011</w:t>
            </w:r>
          </w:p>
        </w:tc>
        <w:tc>
          <w:tcPr>
            <w:tcW w:type="dxa" w:w="2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Excessive Privileges</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PROTECT</w:t>
            </w:r>
          </w:p>
        </w:tc>
        <w:tc>
          <w:tcPr>
            <w:tcW w:type="dxa" w:w="22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PR.AC-4: Access permissions managed</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A.9.2.3</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Access Control</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bCs/>
                <w:sz w:val="18"/>
                <w:szCs w:val="18"/>
              </w:rPr>
              <w:t xml:space="preserve">VND-012</w:t>
            </w:r>
          </w:p>
        </w:tc>
        <w:tc>
          <w:tcPr>
            <w:tcW w:type="dxa" w:w="2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Inadequate Logging</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DETECT</w:t>
            </w:r>
          </w:p>
        </w:tc>
        <w:tc>
          <w:tcPr>
            <w:tcW w:type="dxa" w:w="22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DE.CM-7: Monitoring for unauthorised activity</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A.12.4.1</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Ops. Security</w:t>
            </w:r>
          </w:p>
        </w:tc>
      </w:tr>
      <w:tr>
        <w:tc>
          <w:tcPr>
            <w:tcW w:type="dxa" w:w="7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bCs/>
                <w:sz w:val="18"/>
                <w:szCs w:val="18"/>
              </w:rPr>
              <w:t xml:space="preserve">VND-013</w:t>
            </w:r>
          </w:p>
        </w:tc>
        <w:tc>
          <w:tcPr>
            <w:tcW w:type="dxa" w:w="22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Self-Signed Certs</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PROTECT</w:t>
            </w:r>
          </w:p>
        </w:tc>
        <w:tc>
          <w:tcPr>
            <w:tcW w:type="dxa" w:w="22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PR.DS-2: Data-in-transit protected</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A.10.1.1</w:t>
            </w:r>
          </w:p>
        </w:tc>
        <w:tc>
          <w:tcPr>
            <w:tcW w:type="dxa" w:w="14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r>
              <w:rPr>
                <w:rFonts w:ascii="Arial" w:cs="Arial" w:eastAsia="Arial" w:hAnsi="Arial"/>
                <w:b w:val="false"/>
                <w:bCs w:val="false"/>
                <w:sz w:val="18"/>
                <w:szCs w:val="18"/>
              </w:rPr>
              <w:t xml:space="preserve">Cryptography</w:t>
            </w:r>
          </w:p>
        </w:tc>
      </w:tr>
      <w:tr>
        <w:tc>
          <w:tcPr>
            <w:tcW w:type="dxa" w:w="7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bCs/>
                <w:sz w:val="18"/>
                <w:szCs w:val="18"/>
              </w:rPr>
              <w:t xml:space="preserve">VND-014</w:t>
            </w:r>
          </w:p>
        </w:tc>
        <w:tc>
          <w:tcPr>
            <w:tcW w:type="dxa" w:w="22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No Incident Response</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RESPOND</w:t>
            </w:r>
          </w:p>
        </w:tc>
        <w:tc>
          <w:tcPr>
            <w:tcW w:type="dxa" w:w="22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RS.RP-1: Response plan executed</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A.16.1.1</w:t>
            </w:r>
          </w:p>
        </w:tc>
        <w:tc>
          <w:tcPr>
            <w:tcW w:type="dxa" w:w="14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r>
              <w:rPr>
                <w:rFonts w:ascii="Arial" w:cs="Arial" w:eastAsia="Arial" w:hAnsi="Arial"/>
                <w:b w:val="false"/>
                <w:bCs w:val="false"/>
                <w:sz w:val="18"/>
                <w:szCs w:val="18"/>
              </w:rPr>
              <w:t xml:space="preserve">Incident Mgmt</w:t>
            </w:r>
          </w:p>
        </w:tc>
      </w:tr>
    </w:tbl>
    <w:p>
      <w:pPr>
        <w:spacing w:before="60" w:after="60"/>
      </w:pPr>
      <w:r>
        <w:t xml:space="preserve"/>
      </w:r>
    </w:p>
    <w:p>
      <w:pPr>
        <w:pStyle w:val="Heading2"/>
        <w:spacing w:before="240" w:after="120"/>
      </w:pPr>
      <w:r>
        <w:rPr>
          <w:rFonts w:ascii="Arial" w:cs="Arial" w:eastAsia="Arial" w:hAnsi="Arial"/>
          <w:b/>
          <w:bCs/>
          <w:color w:val="2C5F8A"/>
          <w:sz w:val="28"/>
          <w:szCs w:val="28"/>
        </w:rPr>
        <w:t xml:space="preserve">7.2 NIST CSF Function Coverage Summary</w:t>
      </w:r>
    </w:p>
    <w:p>
      <w:pPr>
        <w:spacing w:before="80" w:after="80"/>
      </w:pPr>
      <w:r>
        <w:rPr>
          <w:rFonts w:ascii="Arial" w:cs="Arial" w:eastAsia="Arial" w:hAnsi="Arial"/>
          <w:sz w:val="22"/>
          <w:szCs w:val="22"/>
        </w:rPr>
        <w:t xml:space="preserve">The majority of findings (11 of 14) fall under the PROTECT function, reflecting a systemic weakness in preventive controls. The DETECT function has only one finding — indicating monitoring capability is underdeveloped. The RESPOND function has one gap (no incident response plan). The IDENTIFY and RECOVER functions were not directly tested in this engagement but are recommended for future assessment.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c>
          <w:tcPr>
            <w:tcW w:type="dxa" w:w="18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Function</w:t>
            </w:r>
          </w:p>
        </w:tc>
        <w:tc>
          <w:tcPr>
            <w:tcW w:type="dxa" w:w="20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Coverage Status</w:t>
            </w:r>
          </w:p>
        </w:tc>
        <w:tc>
          <w:tcPr>
            <w:tcW w:type="dxa" w:w="12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Findings</w:t>
            </w:r>
          </w:p>
        </w:tc>
        <w:tc>
          <w:tcPr>
            <w:tcW w:type="dxa" w:w="436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Gaps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0"/>
                <w:szCs w:val="20"/>
              </w:rPr>
              <w:t xml:space="preserve">IDENTIFY</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 direct</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Asset inventory incomplete; no formal risk management programme documented</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PROTECT</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Critical Gaps</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MFA, encryption, patch management, firewall, access control, training</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0"/>
                <w:szCs w:val="20"/>
              </w:rPr>
              <w:t xml:space="preserve">DETECT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Significant Gaps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SIEM, no centralised logging, inadequate retention, no anomaly detection</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RESPOND</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Gap</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No incident response plan, no playbooks, no response team formally assigned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0"/>
                <w:szCs w:val="20"/>
              </w:rPr>
              <w:t xml:space="preserve">RECOVER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Assessed</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continuity and disaster recovery plans not reviewed in this engagement</w:t>
            </w:r>
          </w:p>
        </w:tc>
      </w:tr>
    </w:tbl>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8. Recommendations</w:t>
      </w:r>
    </w:p>
    <w:p>
      <w:pPr>
        <w:pStyle w:val="Heading2"/>
        <w:spacing w:before="240" w:after="120"/>
      </w:pPr>
      <w:r>
        <w:rPr>
          <w:rFonts w:ascii="Arial" w:cs="Arial" w:eastAsia="Arial" w:hAnsi="Arial"/>
          <w:b/>
          <w:bCs/>
          <w:color w:val="2C5F8A"/>
          <w:sz w:val="28"/>
          <w:szCs w:val="28"/>
        </w:rPr>
        <w:t xml:space="preserve">8.1 Remediation Roadmap</w:t>
      </w:r>
    </w:p>
    <w:p>
      <w:pPr>
        <w:spacing w:before="80" w:after="80"/>
      </w:pPr>
      <w:r>
        <w:rPr>
          <w:rFonts w:ascii="Arial" w:cs="Arial" w:eastAsia="Arial" w:hAnsi="Arial"/>
          <w:sz w:val="22"/>
          <w:szCs w:val="22"/>
        </w:rPr>
        <w:t xml:space="preserve">Recommendations are prioritised into three remediation tracks based on risk severity and implementation effort. All timelines are measured from the date of report issuance.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single" w:color="2C5F8A" w:sz="6"/>
              <w:bottom w:val="single" w:color="2C5F8A" w:sz="6"/>
              <w:right w:val="single" w:color="2C5F8A" w:sz="6"/>
            </w:tcBorders>
            <w:shd w:fill="FADBD8"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Track 1 — Immediate Actions (0–14 Days) | CRITICAL &amp; HIGH Priority</w:t>
            </w:r>
          </w:p>
          <w:p>
            <w:pPr>
              <w:spacing w:before="30" w:after="30"/>
            </w:pPr>
            <w:r>
              <w:rPr>
                <w:rFonts w:ascii="Arial" w:cs="Arial" w:eastAsia="Arial" w:hAnsi="Arial"/>
                <w:sz w:val="20"/>
                <w:szCs w:val="20"/>
              </w:rPr>
              <w:t xml:space="preserve">  REC-01: Deploy Multi-Factor Authentication on all portals</w:t>
            </w:r>
          </w:p>
          <w:p>
            <w:pPr>
              <w:spacing w:before="30" w:after="30"/>
            </w:pPr>
            <w:r>
              <w:rPr>
                <w:rFonts w:ascii="Arial" w:cs="Arial" w:eastAsia="Arial" w:hAnsi="Arial"/>
                <w:sz w:val="20"/>
                <w:szCs w:val="20"/>
              </w:rPr>
              <w:t xml:space="preserve">  REC-02: Emergency patch Apache web server (CVE-2021-41773)</w:t>
            </w:r>
          </w:p>
          <w:p>
            <w:pPr>
              <w:spacing w:before="30" w:after="30"/>
            </w:pPr>
            <w:r>
              <w:rPr>
                <w:rFonts w:ascii="Arial" w:cs="Arial" w:eastAsia="Arial" w:hAnsi="Arial"/>
                <w:sz w:val="20"/>
                <w:szCs w:val="20"/>
              </w:rPr>
              <w:t xml:space="preserve">  REC-03: Initiate data encryption project for Customer DB</w:t>
            </w:r>
          </w:p>
          <w:p>
            <w:pPr>
              <w:spacing w:before="30" w:after="30"/>
            </w:pPr>
            <w:r>
              <w:rPr>
                <w:rFonts w:ascii="Arial" w:cs="Arial" w:eastAsia="Arial" w:hAnsi="Arial"/>
                <w:sz w:val="20"/>
                <w:szCs w:val="20"/>
              </w:rPr>
              <w:t xml:space="preserve">  REC-04: Enforce HTTPS/TLS 1.3, replace self-signed certificates</w:t>
            </w:r>
          </w:p>
          <w:p>
            <w:pPr>
              <w:spacing w:before="30" w:after="30"/>
            </w:pPr>
            <w:r>
              <w:rPr>
                <w:rFonts w:ascii="Arial" w:cs="Arial" w:eastAsia="Arial" w:hAnsi="Arial"/>
                <w:sz w:val="20"/>
                <w:szCs w:val="20"/>
              </w:rPr>
              <w:t xml:space="preserve">  REC-05: Remediate SQL Injection vulnerability</w:t>
            </w:r>
          </w:p>
          <w:p>
            <w:pPr>
              <w:spacing w:before="30" w:after="30"/>
            </w:pPr>
            <w:r>
              <w:rPr>
                <w:rFonts w:ascii="Arial" w:cs="Arial" w:eastAsia="Arial" w:hAnsi="Arial"/>
                <w:sz w:val="20"/>
                <w:szCs w:val="20"/>
              </w:rPr>
              <w:t xml:space="preserve">  REC-12: Add missing HTTP security headers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single" w:color="2C5F8A" w:sz="6"/>
              <w:bottom w:val="single" w:color="2C5F8A" w:sz="6"/>
              <w:right w:val="single" w:color="2C5F8A" w:sz="6"/>
            </w:tcBorders>
            <w:shd w:fill="FDEBD0"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Track 2 — Short-Term (15–60 Days) | HIGH &amp; MEDIUM Priority</w:t>
            </w:r>
          </w:p>
          <w:p>
            <w:pPr>
              <w:spacing w:before="30" w:after="30"/>
            </w:pPr>
            <w:r>
              <w:rPr>
                <w:rFonts w:ascii="Arial" w:cs="Arial" w:eastAsia="Arial" w:hAnsi="Arial"/>
                <w:sz w:val="20"/>
                <w:szCs w:val="20"/>
              </w:rPr>
              <w:t xml:space="preserve">  REC-06: Harden firewall ruleset, remove default credentials on network devices</w:t>
            </w:r>
          </w:p>
          <w:p>
            <w:pPr>
              <w:spacing w:before="30" w:after="30"/>
            </w:pPr>
            <w:r>
              <w:rPr>
                <w:rFonts w:ascii="Arial" w:cs="Arial" w:eastAsia="Arial" w:hAnsi="Arial"/>
                <w:sz w:val="20"/>
                <w:szCs w:val="20"/>
              </w:rPr>
              <w:t xml:space="preserve">  REC-07: Implement Principle of Least Privilege / RBAC</w:t>
            </w:r>
          </w:p>
          <w:p>
            <w:pPr>
              <w:spacing w:before="30" w:after="30"/>
            </w:pPr>
            <w:r>
              <w:rPr>
                <w:rFonts w:ascii="Arial" w:cs="Arial" w:eastAsia="Arial" w:hAnsi="Arial"/>
                <w:sz w:val="20"/>
                <w:szCs w:val="20"/>
              </w:rPr>
              <w:t xml:space="preserve">  REC-08: Deploy SIEM and centralised logging solution</w:t>
            </w:r>
          </w:p>
          <w:p>
            <w:pPr>
              <w:spacing w:before="30" w:after="30"/>
            </w:pPr>
            <w:r>
              <w:rPr>
                <w:rFonts w:ascii="Arial" w:cs="Arial" w:eastAsia="Arial" w:hAnsi="Arial"/>
                <w:sz w:val="20"/>
                <w:szCs w:val="20"/>
              </w:rPr>
              <w:t xml:space="preserve">  REC-09: Launch security awareness training programme</w:t>
            </w:r>
          </w:p>
          <w:p>
            <w:pPr>
              <w:spacing w:before="30" w:after="30"/>
            </w:pPr>
            <w:r>
              <w:rPr>
                <w:rFonts w:ascii="Arial" w:cs="Arial" w:eastAsia="Arial" w:hAnsi="Arial"/>
                <w:sz w:val="20"/>
                <w:szCs w:val="20"/>
              </w:rPr>
              <w:t xml:space="preserve">  REC-10: Develop Incident Response Plan and playbooks</w:t>
            </w:r>
          </w:p>
          <w:p>
            <w:pPr>
              <w:spacing w:before="30" w:after="30"/>
            </w:pPr>
            <w:r>
              <w:rPr>
                <w:rFonts w:ascii="Arial" w:cs="Arial" w:eastAsia="Arial" w:hAnsi="Arial"/>
                <w:sz w:val="20"/>
                <w:szCs w:val="20"/>
              </w:rPr>
              <w:t xml:space="preserve">  REC-11: Establish formal patch management policy and SLAs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single" w:color="2C5F8A" w:sz="6"/>
              <w:bottom w:val="single" w:color="2C5F8A" w:sz="6"/>
              <w:right w:val="single" w:color="2C5F8A" w:sz="6"/>
            </w:tcBorders>
            <w:shd w:fill="D5F0EC"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Track 3 — Strategic (61–180 Days) | Compliance &amp; Maturity</w:t>
            </w:r>
          </w:p>
          <w:p>
            <w:pPr>
              <w:spacing w:before="30" w:after="30"/>
            </w:pPr>
            <w:r>
              <w:rPr>
                <w:rFonts w:ascii="Arial" w:cs="Arial" w:eastAsia="Arial" w:hAnsi="Arial"/>
                <w:sz w:val="20"/>
                <w:szCs w:val="20"/>
              </w:rPr>
              <w:t xml:space="preserve">  Complete ISO 27001:2022 gap assessment and initiate certification process</w:t>
            </w:r>
          </w:p>
          <w:p>
            <w:pPr>
              <w:spacing w:before="30" w:after="30"/>
            </w:pPr>
            <w:r>
              <w:rPr>
                <w:rFonts w:ascii="Arial" w:cs="Arial" w:eastAsia="Arial" w:hAnsi="Arial"/>
                <w:sz w:val="20"/>
                <w:szCs w:val="20"/>
              </w:rPr>
              <w:t xml:space="preserve">  Conduct full PCI-DSS Self-Assessment Questionnaire (SAQ)</w:t>
            </w:r>
          </w:p>
          <w:p>
            <w:pPr>
              <w:spacing w:before="30" w:after="30"/>
            </w:pPr>
            <w:r>
              <w:rPr>
                <w:rFonts w:ascii="Arial" w:cs="Arial" w:eastAsia="Arial" w:hAnsi="Arial"/>
                <w:sz w:val="20"/>
                <w:szCs w:val="20"/>
              </w:rPr>
              <w:t xml:space="preserve">  Implement DevSecOps pipeline with SAST/DAST and dependency scanning</w:t>
            </w:r>
          </w:p>
          <w:p>
            <w:pPr>
              <w:spacing w:before="30" w:after="30"/>
            </w:pPr>
            <w:r>
              <w:rPr>
                <w:rFonts w:ascii="Arial" w:cs="Arial" w:eastAsia="Arial" w:hAnsi="Arial"/>
                <w:sz w:val="20"/>
                <w:szCs w:val="20"/>
              </w:rPr>
              <w:t xml:space="preserve">  Deploy Data Loss Prevention (DLP) tooling</w:t>
            </w:r>
          </w:p>
          <w:p>
            <w:pPr>
              <w:spacing w:before="30" w:after="30"/>
            </w:pPr>
            <w:r>
              <w:rPr>
                <w:rFonts w:ascii="Arial" w:cs="Arial" w:eastAsia="Arial" w:hAnsi="Arial"/>
                <w:sz w:val="20"/>
                <w:szCs w:val="20"/>
              </w:rPr>
              <w:t xml:space="preserve">  Conduct annual penetration test and red team exercise</w:t>
            </w:r>
          </w:p>
          <w:p>
            <w:pPr>
              <w:spacing w:before="30" w:after="30"/>
            </w:pPr>
            <w:r>
              <w:rPr>
                <w:rFonts w:ascii="Arial" w:cs="Arial" w:eastAsia="Arial" w:hAnsi="Arial"/>
                <w:sz w:val="20"/>
                <w:szCs w:val="20"/>
              </w:rPr>
              <w:t xml:space="preserve">  Establish formal vendor/third-party risk management programme</w:t>
            </w:r>
          </w:p>
        </w:tc>
      </w:tr>
    </w:tbl>
    <w:p>
      <w:pPr>
        <w:spacing w:before="60" w:after="60"/>
      </w:pPr>
      <w:r>
        <w:t xml:space="preserve"/>
      </w:r>
    </w:p>
    <w:p>
      <w:pPr>
        <w:pStyle w:val="Heading2"/>
        <w:spacing w:before="240" w:after="120"/>
      </w:pPr>
      <w:r>
        <w:rPr>
          <w:rFonts w:ascii="Arial" w:cs="Arial" w:eastAsia="Arial" w:hAnsi="Arial"/>
          <w:b/>
          <w:bCs/>
          <w:color w:val="2C5F8A"/>
          <w:sz w:val="28"/>
          <w:szCs w:val="28"/>
        </w:rPr>
        <w:t xml:space="preserve">8.2 Detailed Recommendations</w:t>
      </w:r>
    </w:p>
    <w:p>
      <w:pPr>
        <w:spacing w:before="80" w:after="80"/>
      </w:pPr>
      <w:r>
        <w:rPr>
          <w:rFonts w:ascii="Arial" w:cs="Arial" w:eastAsia="Arial" w:hAnsi="Arial"/>
          <w:sz w:val="22"/>
          <w:szCs w:val="22"/>
        </w:rPr>
        <w:t xml:space="preserve">The table below provides full implementation detail for each recommendation, including action steps, priority, effort estimate, and target timeline.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060"/>
        <w:gridCol w:w="900"/>
        <w:gridCol w:w="1100"/>
        <w:gridCol w:w="800"/>
        <w:gridCol w:w="1000"/>
      </w:tblGrid>
      <w:tr>
        <w:tc>
          <w:tcPr>
            <w:tcW w:type="dxa" w:w="6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Ref</w:t>
            </w:r>
          </w:p>
        </w:tc>
        <w:tc>
          <w:tcPr>
            <w:tcW w:type="dxa" w:w="19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Recommendation</w:t>
            </w:r>
          </w:p>
        </w:tc>
        <w:tc>
          <w:tcPr>
            <w:tcW w:type="dxa" w:w="306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 Steps</w:t>
            </w:r>
          </w:p>
        </w:tc>
        <w:tc>
          <w:tcPr>
            <w:tcW w:type="dxa" w:w="9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11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Addresses</w:t>
            </w:r>
          </w:p>
        </w:tc>
        <w:tc>
          <w:tcPr>
            <w:tcW w:type="dxa" w:w="8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Effort</w:t>
            </w:r>
          </w:p>
        </w:tc>
        <w:tc>
          <w:tcPr>
            <w:tcW w:type="dxa" w:w="10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b/>
                <w:bCs/>
                <w:sz w:val="18"/>
                <w:szCs w:val="18"/>
              </w:rPr>
              <w:t xml:space="preserve">REC-01</w:t>
            </w:r>
          </w:p>
        </w:tc>
        <w:tc>
          <w:tcPr>
            <w:tcW w:type="dxa" w:w="1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b/>
                <w:bCs/>
                <w:sz w:val="18"/>
                <w:szCs w:val="18"/>
              </w:rPr>
              <w:t xml:space="preserve">Deploy MFA Across All Systems</w:t>
            </w:r>
          </w:p>
        </w:tc>
        <w:tc>
          <w:tcPr>
            <w:tcW w:type="dxa" w:w="3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sz w:val="17"/>
                <w:szCs w:val="17"/>
              </w:rPr>
              <w:t xml:space="preserve">1) Select MFA provider (e.g. Duo, Okta). 2) Enforce on admin portals immediately. 3) Roll out to all employee accounts within 30 days. 4) Enable TOTP/hardware key support.</w:t>
            </w:r>
          </w:p>
        </w:tc>
        <w:tc>
          <w:tcPr>
            <w:tcW w:type="dxa" w:w="900"/>
            <w:tcBorders>
              <w:top w:val="single" w:color="BDC3C7" w:sz="1"/>
              <w:left w:val="single" w:color="BDC3C7" w:sz="1"/>
              <w:bottom w:val="single" w:color="BDC3C7" w:sz="1"/>
              <w:right w:val="single" w:color="BDC3C7" w:sz="1"/>
            </w:tcBorders>
            <w:shd w:fill="FADBD8" w:val="clear"/>
            <w:tcMar>
              <w:top w:type="dxa" w:w="70"/>
              <w:left w:type="dxa" w:w="100"/>
              <w:bottom w:type="dxa" w:w="70"/>
              <w:right w:type="dxa" w:w="100"/>
            </w:tcMar>
            <w:vAlign w:val="center"/>
          </w:tcPr>
          <w:p>
            <w:pPr>
              <w:jc w:val="center"/>
            </w:pPr>
            <w:r>
              <w:rPr>
                <w:rFonts w:ascii="Arial" w:cs="Arial" w:eastAsia="Arial" w:hAnsi="Arial"/>
                <w:b/>
                <w:bCs/>
                <w:color w:val="C0392B"/>
                <w:sz w:val="17"/>
                <w:szCs w:val="17"/>
              </w:rPr>
              <w:t xml:space="preserve">CRITICAL</w:t>
            </w:r>
          </w:p>
        </w:tc>
        <w:tc>
          <w:tcPr>
            <w:tcW w:type="dxa" w:w="11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sz w:val="17"/>
                <w:szCs w:val="17"/>
              </w:rPr>
              <w:t xml:space="preserve">VND-001</w:t>
            </w:r>
          </w:p>
        </w:tc>
        <w:tc>
          <w:tcPr>
            <w:tcW w:type="dxa" w:w="8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7"/>
                <w:szCs w:val="17"/>
              </w:rPr>
              <w:t xml:space="preserve">Low</w:t>
            </w:r>
          </w:p>
        </w:tc>
        <w:tc>
          <w:tcPr>
            <w:tcW w:type="dxa" w:w="1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7"/>
                <w:szCs w:val="17"/>
              </w:rPr>
              <w:t xml:space="preserve">0–30 days</w:t>
            </w:r>
          </w:p>
        </w:tc>
      </w:tr>
      <w:tr>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b/>
                <w:bCs/>
                <w:sz w:val="18"/>
                <w:szCs w:val="18"/>
              </w:rPr>
              <w:t xml:space="preserve">REC-02</w:t>
            </w:r>
          </w:p>
        </w:tc>
        <w:tc>
          <w:tcPr>
            <w:tcW w:type="dxa" w:w="19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b/>
                <w:bCs/>
                <w:sz w:val="18"/>
                <w:szCs w:val="18"/>
              </w:rPr>
              <w:t xml:space="preserve">Emergency Patch Apache to 2.4.58+</w:t>
            </w:r>
          </w:p>
        </w:tc>
        <w:tc>
          <w:tcPr>
            <w:tcW w:type="dxa" w:w="30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sz w:val="17"/>
                <w:szCs w:val="17"/>
              </w:rPr>
              <w:t xml:space="preserve">1) Identify all running Apache instances. 2) Test patch in staging. 3) Apply CVE-2021-41773 patch to production within 48 hours. 4) Implement automated vulnerability scanning (weekly).</w:t>
            </w:r>
          </w:p>
        </w:tc>
        <w:tc>
          <w:tcPr>
            <w:tcW w:type="dxa" w:w="900"/>
            <w:tcBorders>
              <w:top w:val="single" w:color="BDC3C7" w:sz="1"/>
              <w:left w:val="single" w:color="BDC3C7" w:sz="1"/>
              <w:bottom w:val="single" w:color="BDC3C7" w:sz="1"/>
              <w:right w:val="single" w:color="BDC3C7" w:sz="1"/>
            </w:tcBorders>
            <w:shd w:fill="FADBD8" w:val="clear"/>
            <w:tcMar>
              <w:top w:type="dxa" w:w="70"/>
              <w:left w:type="dxa" w:w="100"/>
              <w:bottom w:type="dxa" w:w="70"/>
              <w:right w:type="dxa" w:w="100"/>
            </w:tcMar>
            <w:vAlign w:val="center"/>
          </w:tcPr>
          <w:p>
            <w:pPr>
              <w:jc w:val="center"/>
            </w:pPr>
            <w:r>
              <w:rPr>
                <w:rFonts w:ascii="Arial" w:cs="Arial" w:eastAsia="Arial" w:hAnsi="Arial"/>
                <w:b/>
                <w:bCs/>
                <w:color w:val="C0392B"/>
                <w:sz w:val="17"/>
                <w:szCs w:val="17"/>
              </w:rPr>
              <w:t xml:space="preserve">CRITICAL</w:t>
            </w:r>
          </w:p>
        </w:tc>
        <w:tc>
          <w:tcPr>
            <w:tcW w:type="dxa" w:w="11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sz w:val="17"/>
                <w:szCs w:val="17"/>
              </w:rPr>
              <w:t xml:space="preserve">VND-002</w:t>
            </w:r>
          </w:p>
        </w:tc>
        <w:tc>
          <w:tcPr>
            <w:tcW w:type="dxa" w:w="8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7"/>
                <w:szCs w:val="17"/>
              </w:rPr>
              <w:t xml:space="preserve">Low</w:t>
            </w:r>
          </w:p>
        </w:tc>
        <w:tc>
          <w:tcPr>
            <w:tcW w:type="dxa" w:w="1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7"/>
                <w:szCs w:val="17"/>
              </w:rPr>
              <w:t xml:space="preserve">24–48 hrs</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b/>
                <w:bCs/>
                <w:sz w:val="18"/>
                <w:szCs w:val="18"/>
              </w:rPr>
              <w:t xml:space="preserve">REC-03</w:t>
            </w:r>
          </w:p>
        </w:tc>
        <w:tc>
          <w:tcPr>
            <w:tcW w:type="dxa" w:w="1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b/>
                <w:bCs/>
                <w:sz w:val="18"/>
                <w:szCs w:val="18"/>
              </w:rPr>
              <w:t xml:space="preserve">Encrypt All Data at Rest (AES-256)</w:t>
            </w:r>
          </w:p>
        </w:tc>
        <w:tc>
          <w:tcPr>
            <w:tcW w:type="dxa" w:w="3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sz w:val="17"/>
                <w:szCs w:val="17"/>
              </w:rPr>
              <w:t xml:space="preserve">1) Audit all data stores for unencrypted PII. 2) Implement AES-256 encryption on Customer DB. 3) Rotate and store encryption keys in HSM or AWS KMS. 4) Document data classification policy.</w:t>
            </w:r>
          </w:p>
        </w:tc>
        <w:tc>
          <w:tcPr>
            <w:tcW w:type="dxa" w:w="900"/>
            <w:tcBorders>
              <w:top w:val="single" w:color="BDC3C7" w:sz="1"/>
              <w:left w:val="single" w:color="BDC3C7" w:sz="1"/>
              <w:bottom w:val="single" w:color="BDC3C7" w:sz="1"/>
              <w:right w:val="single" w:color="BDC3C7" w:sz="1"/>
            </w:tcBorders>
            <w:shd w:fill="FADBD8" w:val="clear"/>
            <w:tcMar>
              <w:top w:type="dxa" w:w="70"/>
              <w:left w:type="dxa" w:w="100"/>
              <w:bottom w:type="dxa" w:w="70"/>
              <w:right w:type="dxa" w:w="100"/>
            </w:tcMar>
            <w:vAlign w:val="center"/>
          </w:tcPr>
          <w:p>
            <w:pPr>
              <w:jc w:val="center"/>
            </w:pPr>
            <w:r>
              <w:rPr>
                <w:rFonts w:ascii="Arial" w:cs="Arial" w:eastAsia="Arial" w:hAnsi="Arial"/>
                <w:b/>
                <w:bCs/>
                <w:color w:val="C0392B"/>
                <w:sz w:val="17"/>
                <w:szCs w:val="17"/>
              </w:rPr>
              <w:t xml:space="preserve">CRITICAL</w:t>
            </w:r>
          </w:p>
        </w:tc>
        <w:tc>
          <w:tcPr>
            <w:tcW w:type="dxa" w:w="11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sz w:val="17"/>
                <w:szCs w:val="17"/>
              </w:rPr>
              <w:t xml:space="preserve">VND-003</w:t>
            </w:r>
          </w:p>
        </w:tc>
        <w:tc>
          <w:tcPr>
            <w:tcW w:type="dxa" w:w="8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7"/>
                <w:szCs w:val="17"/>
              </w:rPr>
              <w:t xml:space="preserve">High</w:t>
            </w:r>
          </w:p>
        </w:tc>
        <w:tc>
          <w:tcPr>
            <w:tcW w:type="dxa" w:w="1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7"/>
                <w:szCs w:val="17"/>
              </w:rPr>
              <w:t xml:space="preserve">0–60 days</w:t>
            </w:r>
          </w:p>
        </w:tc>
      </w:tr>
      <w:tr>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b/>
                <w:bCs/>
                <w:sz w:val="18"/>
                <w:szCs w:val="18"/>
              </w:rPr>
              <w:t xml:space="preserve">REC-04</w:t>
            </w:r>
          </w:p>
        </w:tc>
        <w:tc>
          <w:tcPr>
            <w:tcW w:type="dxa" w:w="19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b/>
                <w:bCs/>
                <w:sz w:val="18"/>
                <w:szCs w:val="18"/>
              </w:rPr>
              <w:t xml:space="preserve">Enforce HTTPS / TLS 1.3 Everywhere</w:t>
            </w:r>
          </w:p>
        </w:tc>
        <w:tc>
          <w:tcPr>
            <w:tcW w:type="dxa" w:w="30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sz w:val="17"/>
                <w:szCs w:val="17"/>
              </w:rPr>
              <w:t xml:space="preserve">1) Disable all HTTP endpoints. 2) Replace self-signed certs with CA-signed TLS 1.3 certs. 3) Implement HSTS with 1-year max-age. 4) Add HSTS preloading.</w:t>
            </w:r>
          </w:p>
        </w:tc>
        <w:tc>
          <w:tcPr>
            <w:tcW w:type="dxa" w:w="900"/>
            <w:tcBorders>
              <w:top w:val="single" w:color="BDC3C7" w:sz="1"/>
              <w:left w:val="single" w:color="BDC3C7" w:sz="1"/>
              <w:bottom w:val="single" w:color="BDC3C7" w:sz="1"/>
              <w:right w:val="single" w:color="BDC3C7"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7"/>
                <w:szCs w:val="17"/>
              </w:rPr>
              <w:t xml:space="preserve">HIGH</w:t>
            </w:r>
          </w:p>
        </w:tc>
        <w:tc>
          <w:tcPr>
            <w:tcW w:type="dxa" w:w="11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sz w:val="17"/>
                <w:szCs w:val="17"/>
              </w:rPr>
              <w:t xml:space="preserve">VND-005,013</w:t>
            </w:r>
          </w:p>
        </w:tc>
        <w:tc>
          <w:tcPr>
            <w:tcW w:type="dxa" w:w="8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7"/>
                <w:szCs w:val="17"/>
              </w:rPr>
              <w:t xml:space="preserve">Medium</w:t>
            </w:r>
          </w:p>
        </w:tc>
        <w:tc>
          <w:tcPr>
            <w:tcW w:type="dxa" w:w="1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7"/>
                <w:szCs w:val="17"/>
              </w:rPr>
              <w:t xml:space="preserve">0–14 days</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b/>
                <w:bCs/>
                <w:sz w:val="18"/>
                <w:szCs w:val="18"/>
              </w:rPr>
              <w:t xml:space="preserve">REC-05</w:t>
            </w:r>
          </w:p>
        </w:tc>
        <w:tc>
          <w:tcPr>
            <w:tcW w:type="dxa" w:w="1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b/>
                <w:bCs/>
                <w:sz w:val="18"/>
                <w:szCs w:val="18"/>
              </w:rPr>
              <w:t xml:space="preserve">Remediate SQL Injection Vulnerability</w:t>
            </w:r>
          </w:p>
        </w:tc>
        <w:tc>
          <w:tcPr>
            <w:tcW w:type="dxa" w:w="3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sz w:val="17"/>
                <w:szCs w:val="17"/>
              </w:rPr>
              <w:t xml:space="preserve">1) Implement parameterised queries / prepared statements. 2) Deploy Web Application Firewall (WAF). 3) Conduct full OWASP Top 10 code review. 4) Introduce SAST into CI/CD pipeline.</w:t>
            </w:r>
          </w:p>
        </w:tc>
        <w:tc>
          <w:tcPr>
            <w:tcW w:type="dxa" w:w="900"/>
            <w:tcBorders>
              <w:top w:val="single" w:color="BDC3C7" w:sz="1"/>
              <w:left w:val="single" w:color="BDC3C7" w:sz="1"/>
              <w:bottom w:val="single" w:color="BDC3C7" w:sz="1"/>
              <w:right w:val="single" w:color="BDC3C7"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7"/>
                <w:szCs w:val="17"/>
              </w:rPr>
              <w:t xml:space="preserve">HIGH</w:t>
            </w:r>
          </w:p>
        </w:tc>
        <w:tc>
          <w:tcPr>
            <w:tcW w:type="dxa" w:w="11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sz w:val="17"/>
                <w:szCs w:val="17"/>
              </w:rPr>
              <w:t xml:space="preserve">VND-006</w:t>
            </w:r>
          </w:p>
        </w:tc>
        <w:tc>
          <w:tcPr>
            <w:tcW w:type="dxa" w:w="8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7"/>
                <w:szCs w:val="17"/>
              </w:rPr>
              <w:t xml:space="preserve">Medium</w:t>
            </w:r>
          </w:p>
        </w:tc>
        <w:tc>
          <w:tcPr>
            <w:tcW w:type="dxa" w:w="1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7"/>
                <w:szCs w:val="17"/>
              </w:rPr>
              <w:t xml:space="preserve">0–14 days</w:t>
            </w:r>
          </w:p>
        </w:tc>
      </w:tr>
      <w:tr>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b/>
                <w:bCs/>
                <w:sz w:val="18"/>
                <w:szCs w:val="18"/>
              </w:rPr>
              <w:t xml:space="preserve">REC-06</w:t>
            </w:r>
          </w:p>
        </w:tc>
        <w:tc>
          <w:tcPr>
            <w:tcW w:type="dxa" w:w="19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b/>
                <w:bCs/>
                <w:sz w:val="18"/>
                <w:szCs w:val="18"/>
              </w:rPr>
              <w:t xml:space="preserve">Harden Firewall &amp; Network Devices</w:t>
            </w:r>
          </w:p>
        </w:tc>
        <w:tc>
          <w:tcPr>
            <w:tcW w:type="dxa" w:w="30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sz w:val="17"/>
                <w:szCs w:val="17"/>
              </w:rPr>
              <w:t xml:space="preserve">1) Remove default credentials from all network devices. 2) Close all unnecessary ports (Telnet, FTP, RPC). 3) Implement firewall deny-all default policy. 4) Segment network with VLANs for DMZ, Internal, and Guest.</w:t>
            </w:r>
          </w:p>
        </w:tc>
        <w:tc>
          <w:tcPr>
            <w:tcW w:type="dxa" w:w="900"/>
            <w:tcBorders>
              <w:top w:val="single" w:color="BDC3C7" w:sz="1"/>
              <w:left w:val="single" w:color="BDC3C7" w:sz="1"/>
              <w:bottom w:val="single" w:color="BDC3C7" w:sz="1"/>
              <w:right w:val="single" w:color="BDC3C7"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7"/>
                <w:szCs w:val="17"/>
              </w:rPr>
              <w:t xml:space="preserve">HIGH</w:t>
            </w:r>
          </w:p>
        </w:tc>
        <w:tc>
          <w:tcPr>
            <w:tcW w:type="dxa" w:w="11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sz w:val="17"/>
                <w:szCs w:val="17"/>
              </w:rPr>
              <w:t xml:space="preserve">VND-004,007</w:t>
            </w:r>
          </w:p>
        </w:tc>
        <w:tc>
          <w:tcPr>
            <w:tcW w:type="dxa" w:w="8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7"/>
                <w:szCs w:val="17"/>
              </w:rPr>
              <w:t xml:space="preserve">Medium</w:t>
            </w:r>
          </w:p>
        </w:tc>
        <w:tc>
          <w:tcPr>
            <w:tcW w:type="dxa" w:w="1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7"/>
                <w:szCs w:val="17"/>
              </w:rPr>
              <w:t xml:space="preserve">0–21 days</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b/>
                <w:bCs/>
                <w:sz w:val="18"/>
                <w:szCs w:val="18"/>
              </w:rPr>
              <w:t xml:space="preserve">REC-07</w:t>
            </w:r>
          </w:p>
        </w:tc>
        <w:tc>
          <w:tcPr>
            <w:tcW w:type="dxa" w:w="1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b/>
                <w:bCs/>
                <w:sz w:val="18"/>
                <w:szCs w:val="18"/>
              </w:rPr>
              <w:t xml:space="preserve">Implement Principle of Least Privilege</w:t>
            </w:r>
          </w:p>
        </w:tc>
        <w:tc>
          <w:tcPr>
            <w:tcW w:type="dxa" w:w="3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sz w:val="17"/>
                <w:szCs w:val="17"/>
              </w:rPr>
              <w:t xml:space="preserve">1) Conduct full IAM audit. 2) Remove admin rights from 53 non-admin accounts. 3) Implement role-based access control (RBAC). 4) Set up quarterly access reviews.</w:t>
            </w:r>
          </w:p>
        </w:tc>
        <w:tc>
          <w:tcPr>
            <w:tcW w:type="dxa" w:w="900"/>
            <w:tcBorders>
              <w:top w:val="single" w:color="BDC3C7" w:sz="1"/>
              <w:left w:val="single" w:color="BDC3C7" w:sz="1"/>
              <w:bottom w:val="single" w:color="BDC3C7" w:sz="1"/>
              <w:right w:val="single" w:color="BDC3C7"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7"/>
                <w:szCs w:val="17"/>
              </w:rPr>
              <w:t xml:space="preserve">HIGH</w:t>
            </w:r>
          </w:p>
        </w:tc>
        <w:tc>
          <w:tcPr>
            <w:tcW w:type="dxa" w:w="11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sz w:val="17"/>
                <w:szCs w:val="17"/>
              </w:rPr>
              <w:t xml:space="preserve">VND-011</w:t>
            </w:r>
          </w:p>
        </w:tc>
        <w:tc>
          <w:tcPr>
            <w:tcW w:type="dxa" w:w="8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7"/>
                <w:szCs w:val="17"/>
              </w:rPr>
              <w:t xml:space="preserve">High</w:t>
            </w:r>
          </w:p>
        </w:tc>
        <w:tc>
          <w:tcPr>
            <w:tcW w:type="dxa" w:w="1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7"/>
                <w:szCs w:val="17"/>
              </w:rPr>
              <w:t xml:space="preserve">30–60 days</w:t>
            </w:r>
          </w:p>
        </w:tc>
      </w:tr>
      <w:tr>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b/>
                <w:bCs/>
                <w:sz w:val="18"/>
                <w:szCs w:val="18"/>
              </w:rPr>
              <w:t xml:space="preserve">REC-08</w:t>
            </w:r>
          </w:p>
        </w:tc>
        <w:tc>
          <w:tcPr>
            <w:tcW w:type="dxa" w:w="19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b/>
                <w:bCs/>
                <w:sz w:val="18"/>
                <w:szCs w:val="18"/>
              </w:rPr>
              <w:t xml:space="preserve">Deploy SIEM &amp; Centralised Logging</w:t>
            </w:r>
          </w:p>
        </w:tc>
        <w:tc>
          <w:tcPr>
            <w:tcW w:type="dxa" w:w="30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sz w:val="17"/>
                <w:szCs w:val="17"/>
              </w:rPr>
              <w:t xml:space="preserve">1) Deploy SIEM solution (e.g. Splunk, ELK, Azure Sentinel). 2) Centralise logs from all servers, network devices, and applications. 3) Configure alerts for brute force, privilege escalation, and data exfiltration. 4) Retain logs for 12+ months.</w:t>
            </w:r>
          </w:p>
        </w:tc>
        <w:tc>
          <w:tcPr>
            <w:tcW w:type="dxa" w:w="900"/>
            <w:tcBorders>
              <w:top w:val="single" w:color="BDC3C7" w:sz="1"/>
              <w:left w:val="single" w:color="BDC3C7" w:sz="1"/>
              <w:bottom w:val="single" w:color="BDC3C7" w:sz="1"/>
              <w:right w:val="single" w:color="BDC3C7" w:sz="1"/>
            </w:tcBorders>
            <w:shd w:fill="FDEBD0" w:val="clear"/>
            <w:tcMar>
              <w:top w:type="dxa" w:w="70"/>
              <w:left w:type="dxa" w:w="100"/>
              <w:bottom w:type="dxa" w:w="70"/>
              <w:right w:type="dxa" w:w="100"/>
            </w:tcMar>
            <w:vAlign w:val="center"/>
          </w:tcPr>
          <w:p>
            <w:pPr>
              <w:jc w:val="center"/>
            </w:pPr>
            <w:r>
              <w:rPr>
                <w:rFonts w:ascii="Arial" w:cs="Arial" w:eastAsia="Arial" w:hAnsi="Arial"/>
                <w:b/>
                <w:bCs/>
                <w:color w:val="E67E22"/>
                <w:sz w:val="17"/>
                <w:szCs w:val="17"/>
              </w:rPr>
              <w:t xml:space="preserve">HIGH</w:t>
            </w:r>
          </w:p>
        </w:tc>
        <w:tc>
          <w:tcPr>
            <w:tcW w:type="dxa" w:w="11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sz w:val="17"/>
                <w:szCs w:val="17"/>
              </w:rPr>
              <w:t xml:space="preserve">VND-012</w:t>
            </w:r>
          </w:p>
        </w:tc>
        <w:tc>
          <w:tcPr>
            <w:tcW w:type="dxa" w:w="8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7"/>
                <w:szCs w:val="17"/>
              </w:rPr>
              <w:t xml:space="preserve">High</w:t>
            </w:r>
          </w:p>
        </w:tc>
        <w:tc>
          <w:tcPr>
            <w:tcW w:type="dxa" w:w="1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7"/>
                <w:szCs w:val="17"/>
              </w:rPr>
              <w:t xml:space="preserve">30–90 days</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b/>
                <w:bCs/>
                <w:sz w:val="18"/>
                <w:szCs w:val="18"/>
              </w:rPr>
              <w:t xml:space="preserve">REC-09</w:t>
            </w:r>
          </w:p>
        </w:tc>
        <w:tc>
          <w:tcPr>
            <w:tcW w:type="dxa" w:w="1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b/>
                <w:bCs/>
                <w:sz w:val="18"/>
                <w:szCs w:val="18"/>
              </w:rPr>
              <w:t xml:space="preserve">Security Awareness Training Programme</w:t>
            </w:r>
          </w:p>
        </w:tc>
        <w:tc>
          <w:tcPr>
            <w:tcW w:type="dxa" w:w="3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sz w:val="17"/>
                <w:szCs w:val="17"/>
              </w:rPr>
              <w:t xml:space="preserve">1) Procure LMS security training platform. 2) Deliver mandatory onboarding and annual training. 3) Run quarterly phishing simulations. 4) Establish a security champion network.</w:t>
            </w:r>
          </w:p>
        </w:tc>
        <w:tc>
          <w:tcPr>
            <w:tcW w:type="dxa" w:w="900"/>
            <w:tcBorders>
              <w:top w:val="single" w:color="BDC3C7" w:sz="1"/>
              <w:left w:val="single" w:color="BDC3C7" w:sz="1"/>
              <w:bottom w:val="single" w:color="BDC3C7" w:sz="1"/>
              <w:right w:val="single" w:color="BDC3C7" w:sz="1"/>
            </w:tcBorders>
            <w:shd w:fill="FEF9E7" w:val="clear"/>
            <w:tcMar>
              <w:top w:type="dxa" w:w="70"/>
              <w:left w:type="dxa" w:w="100"/>
              <w:bottom w:type="dxa" w:w="70"/>
              <w:right w:type="dxa" w:w="100"/>
            </w:tcMar>
            <w:vAlign w:val="center"/>
          </w:tcPr>
          <w:p>
            <w:pPr>
              <w:jc w:val="center"/>
            </w:pPr>
            <w:r>
              <w:rPr>
                <w:rFonts w:ascii="Arial" w:cs="Arial" w:eastAsia="Arial" w:hAnsi="Arial"/>
                <w:b/>
                <w:bCs/>
                <w:color w:val="F1C40F"/>
                <w:sz w:val="17"/>
                <w:szCs w:val="17"/>
              </w:rPr>
              <w:t xml:space="preserve">MEDIUM</w:t>
            </w:r>
          </w:p>
        </w:tc>
        <w:tc>
          <w:tcPr>
            <w:tcW w:type="dxa" w:w="11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sz w:val="17"/>
                <w:szCs w:val="17"/>
              </w:rPr>
              <w:t xml:space="preserve">VND-010</w:t>
            </w:r>
          </w:p>
        </w:tc>
        <w:tc>
          <w:tcPr>
            <w:tcW w:type="dxa" w:w="8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7"/>
                <w:szCs w:val="17"/>
              </w:rPr>
              <w:t xml:space="preserve">Low</w:t>
            </w:r>
          </w:p>
        </w:tc>
        <w:tc>
          <w:tcPr>
            <w:tcW w:type="dxa" w:w="1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7"/>
                <w:szCs w:val="17"/>
              </w:rPr>
              <w:t xml:space="preserve">30–60 days</w:t>
            </w:r>
          </w:p>
        </w:tc>
      </w:tr>
      <w:tr>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b/>
                <w:bCs/>
                <w:sz w:val="18"/>
                <w:szCs w:val="18"/>
              </w:rPr>
              <w:t xml:space="preserve">REC-10</w:t>
            </w:r>
          </w:p>
        </w:tc>
        <w:tc>
          <w:tcPr>
            <w:tcW w:type="dxa" w:w="19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b/>
                <w:bCs/>
                <w:sz w:val="18"/>
                <w:szCs w:val="18"/>
              </w:rPr>
              <w:t xml:space="preserve">Develop Formal Incident Response Plan</w:t>
            </w:r>
          </w:p>
        </w:tc>
        <w:tc>
          <w:tcPr>
            <w:tcW w:type="dxa" w:w="30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sz w:val="17"/>
                <w:szCs w:val="17"/>
              </w:rPr>
              <w:t xml:space="preserve">1) Assign Incident Response Team (IRT). 2) Document playbooks for ransomware, breach, and DDoS. 3) Conduct tabletop exercise. 4) Align with ISO 27001 A.16 and NIST IR.</w:t>
            </w:r>
          </w:p>
        </w:tc>
        <w:tc>
          <w:tcPr>
            <w:tcW w:type="dxa" w:w="900"/>
            <w:tcBorders>
              <w:top w:val="single" w:color="BDC3C7" w:sz="1"/>
              <w:left w:val="single" w:color="BDC3C7" w:sz="1"/>
              <w:bottom w:val="single" w:color="BDC3C7" w:sz="1"/>
              <w:right w:val="single" w:color="BDC3C7" w:sz="1"/>
            </w:tcBorders>
            <w:shd w:fill="FEF9E7" w:val="clear"/>
            <w:tcMar>
              <w:top w:type="dxa" w:w="70"/>
              <w:left w:type="dxa" w:w="100"/>
              <w:bottom w:type="dxa" w:w="70"/>
              <w:right w:type="dxa" w:w="100"/>
            </w:tcMar>
            <w:vAlign w:val="center"/>
          </w:tcPr>
          <w:p>
            <w:pPr>
              <w:jc w:val="center"/>
            </w:pPr>
            <w:r>
              <w:rPr>
                <w:rFonts w:ascii="Arial" w:cs="Arial" w:eastAsia="Arial" w:hAnsi="Arial"/>
                <w:b/>
                <w:bCs/>
                <w:color w:val="F1C40F"/>
                <w:sz w:val="17"/>
                <w:szCs w:val="17"/>
              </w:rPr>
              <w:t xml:space="preserve">MEDIUM</w:t>
            </w:r>
          </w:p>
        </w:tc>
        <w:tc>
          <w:tcPr>
            <w:tcW w:type="dxa" w:w="11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sz w:val="17"/>
                <w:szCs w:val="17"/>
              </w:rPr>
              <w:t xml:space="preserve">VND-014</w:t>
            </w:r>
          </w:p>
        </w:tc>
        <w:tc>
          <w:tcPr>
            <w:tcW w:type="dxa" w:w="8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7"/>
                <w:szCs w:val="17"/>
              </w:rPr>
              <w:t xml:space="preserve">Medium</w:t>
            </w:r>
          </w:p>
        </w:tc>
        <w:tc>
          <w:tcPr>
            <w:tcW w:type="dxa" w:w="1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7"/>
                <w:szCs w:val="17"/>
              </w:rPr>
              <w:t xml:space="preserve">30–60 days</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b/>
                <w:bCs/>
                <w:sz w:val="18"/>
                <w:szCs w:val="18"/>
              </w:rPr>
              <w:t xml:space="preserve">REC-11</w:t>
            </w:r>
          </w:p>
        </w:tc>
        <w:tc>
          <w:tcPr>
            <w:tcW w:type="dxa" w:w="1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b/>
                <w:bCs/>
                <w:sz w:val="18"/>
                <w:szCs w:val="18"/>
              </w:rPr>
              <w:t xml:space="preserve">Implement Patch Management Policy</w:t>
            </w:r>
          </w:p>
        </w:tc>
        <w:tc>
          <w:tcPr>
            <w:tcW w:type="dxa" w:w="3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sz w:val="17"/>
                <w:szCs w:val="17"/>
              </w:rPr>
              <w:t xml:space="preserve">1) Document formal patch management policy. 2) Deploy WSUS or equivalent for OS patches. 3) Set SLAs: Critical = 24hr, High = 7 days, Medium = 30 days. 4) Automate package update scanning.</w:t>
            </w:r>
          </w:p>
        </w:tc>
        <w:tc>
          <w:tcPr>
            <w:tcW w:type="dxa" w:w="900"/>
            <w:tcBorders>
              <w:top w:val="single" w:color="BDC3C7" w:sz="1"/>
              <w:left w:val="single" w:color="BDC3C7" w:sz="1"/>
              <w:bottom w:val="single" w:color="BDC3C7" w:sz="1"/>
              <w:right w:val="single" w:color="BDC3C7" w:sz="1"/>
            </w:tcBorders>
            <w:shd w:fill="FEF9E7" w:val="clear"/>
            <w:tcMar>
              <w:top w:type="dxa" w:w="70"/>
              <w:left w:type="dxa" w:w="100"/>
              <w:bottom w:type="dxa" w:w="70"/>
              <w:right w:type="dxa" w:w="100"/>
            </w:tcMar>
            <w:vAlign w:val="center"/>
          </w:tcPr>
          <w:p>
            <w:pPr>
              <w:jc w:val="center"/>
            </w:pPr>
            <w:r>
              <w:rPr>
                <w:rFonts w:ascii="Arial" w:cs="Arial" w:eastAsia="Arial" w:hAnsi="Arial"/>
                <w:b/>
                <w:bCs/>
                <w:color w:val="F1C40F"/>
                <w:sz w:val="17"/>
                <w:szCs w:val="17"/>
              </w:rPr>
              <w:t xml:space="preserve">MEDIUM</w:t>
            </w:r>
          </w:p>
        </w:tc>
        <w:tc>
          <w:tcPr>
            <w:tcW w:type="dxa" w:w="11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Arial" w:cs="Arial" w:eastAsia="Arial" w:hAnsi="Arial"/>
                <w:sz w:val="17"/>
                <w:szCs w:val="17"/>
              </w:rPr>
              <w:t xml:space="preserve">VND-009</w:t>
            </w:r>
          </w:p>
        </w:tc>
        <w:tc>
          <w:tcPr>
            <w:tcW w:type="dxa" w:w="8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7"/>
                <w:szCs w:val="17"/>
              </w:rPr>
              <w:t xml:space="preserve">Medium</w:t>
            </w:r>
          </w:p>
        </w:tc>
        <w:tc>
          <w:tcPr>
            <w:tcW w:type="dxa" w:w="10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vAlign w:val="center"/>
          </w:tcPr>
          <w:p>
            <w:pPr>
              <w:jc w:val="center"/>
            </w:pPr>
            <w:r>
              <w:rPr>
                <w:rFonts w:ascii="Arial" w:cs="Arial" w:eastAsia="Arial" w:hAnsi="Arial"/>
                <w:sz w:val="17"/>
                <w:szCs w:val="17"/>
              </w:rPr>
              <w:t xml:space="preserve">30–60 days</w:t>
            </w:r>
          </w:p>
        </w:tc>
      </w:tr>
      <w:tr>
        <w:tc>
          <w:tcPr>
            <w:tcW w:type="dxa" w:w="6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b/>
                <w:bCs/>
                <w:sz w:val="18"/>
                <w:szCs w:val="18"/>
              </w:rPr>
              <w:t xml:space="preserve">REC-12</w:t>
            </w:r>
          </w:p>
        </w:tc>
        <w:tc>
          <w:tcPr>
            <w:tcW w:type="dxa" w:w="19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b/>
                <w:bCs/>
                <w:sz w:val="18"/>
                <w:szCs w:val="18"/>
              </w:rPr>
              <w:t xml:space="preserve">Harden Web Application HTTP Headers</w:t>
            </w:r>
          </w:p>
        </w:tc>
        <w:tc>
          <w:tcPr>
            <w:tcW w:type="dxa" w:w="306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sz w:val="17"/>
                <w:szCs w:val="17"/>
              </w:rPr>
              <w:t xml:space="preserve">1) Add CSP, X-Frame-Options, X-Content-Type-Options headers. 2) Configure HSTS. 3) Remove Server and X-Powered-By headers. 4) Re-test with OWASP ZAP after changes.</w:t>
            </w:r>
          </w:p>
        </w:tc>
        <w:tc>
          <w:tcPr>
            <w:tcW w:type="dxa" w:w="900"/>
            <w:tcBorders>
              <w:top w:val="single" w:color="BDC3C7" w:sz="1"/>
              <w:left w:val="single" w:color="BDC3C7" w:sz="1"/>
              <w:bottom w:val="single" w:color="BDC3C7" w:sz="1"/>
              <w:right w:val="single" w:color="BDC3C7" w:sz="1"/>
            </w:tcBorders>
            <w:shd w:fill="FEF9E7" w:val="clear"/>
            <w:tcMar>
              <w:top w:type="dxa" w:w="70"/>
              <w:left w:type="dxa" w:w="100"/>
              <w:bottom w:type="dxa" w:w="70"/>
              <w:right w:type="dxa" w:w="100"/>
            </w:tcMar>
            <w:vAlign w:val="center"/>
          </w:tcPr>
          <w:p>
            <w:pPr>
              <w:jc w:val="center"/>
            </w:pPr>
            <w:r>
              <w:rPr>
                <w:rFonts w:ascii="Arial" w:cs="Arial" w:eastAsia="Arial" w:hAnsi="Arial"/>
                <w:b/>
                <w:bCs/>
                <w:color w:val="F1C40F"/>
                <w:sz w:val="17"/>
                <w:szCs w:val="17"/>
              </w:rPr>
              <w:t xml:space="preserve">MEDIUM</w:t>
            </w:r>
          </w:p>
        </w:tc>
        <w:tc>
          <w:tcPr>
            <w:tcW w:type="dxa" w:w="11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tcPr>
          <w:p>
            <w:r>
              <w:rPr>
                <w:rFonts w:ascii="Arial" w:cs="Arial" w:eastAsia="Arial" w:hAnsi="Arial"/>
                <w:sz w:val="17"/>
                <w:szCs w:val="17"/>
              </w:rPr>
              <w:t xml:space="preserve">VND-008</w:t>
            </w:r>
          </w:p>
        </w:tc>
        <w:tc>
          <w:tcPr>
            <w:tcW w:type="dxa" w:w="8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7"/>
                <w:szCs w:val="17"/>
              </w:rPr>
              <w:t xml:space="preserve">Low</w:t>
            </w:r>
          </w:p>
        </w:tc>
        <w:tc>
          <w:tcPr>
            <w:tcW w:type="dxa" w:w="1000"/>
            <w:tcBorders>
              <w:top w:val="single" w:color="BDC3C7" w:sz="1"/>
              <w:left w:val="single" w:color="BDC3C7" w:sz="1"/>
              <w:bottom w:val="single" w:color="BDC3C7" w:sz="1"/>
              <w:right w:val="single" w:color="BDC3C7" w:sz="1"/>
            </w:tcBorders>
            <w:shd w:fill="EBF5FB" w:val="clear"/>
            <w:tcMar>
              <w:top w:type="dxa" w:w="70"/>
              <w:left w:type="dxa" w:w="100"/>
              <w:bottom w:type="dxa" w:w="70"/>
              <w:right w:type="dxa" w:w="100"/>
            </w:tcMar>
            <w:vAlign w:val="center"/>
          </w:tcPr>
          <w:p>
            <w:pPr>
              <w:jc w:val="center"/>
            </w:pPr>
            <w:r>
              <w:rPr>
                <w:rFonts w:ascii="Arial" w:cs="Arial" w:eastAsia="Arial" w:hAnsi="Arial"/>
                <w:sz w:val="17"/>
                <w:szCs w:val="17"/>
              </w:rPr>
              <w:t xml:space="preserve">0–7 days</w:t>
            </w:r>
          </w:p>
        </w:tc>
      </w:tr>
    </w:tbl>
    <w:p>
      <w:pPr>
        <w:spacing w:before="60" w:after="60"/>
      </w:pPr>
      <w:r>
        <w:t xml:space="preserve"/>
      </w:r>
    </w:p>
    <w:p>
      <w:pPr>
        <w:pStyle w:val="Heading2"/>
        <w:spacing w:before="240" w:after="120"/>
      </w:pPr>
      <w:r>
        <w:rPr>
          <w:rFonts w:ascii="Arial" w:cs="Arial" w:eastAsia="Arial" w:hAnsi="Arial"/>
          <w:b/>
          <w:bCs/>
          <w:color w:val="2C5F8A"/>
          <w:sz w:val="28"/>
          <w:szCs w:val="28"/>
        </w:rPr>
        <w:t xml:space="preserve">8.3 Estimated Investment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2280"/>
        <w:gridCol w:w="2280"/>
      </w:tblGrid>
      <w:tr>
        <w:tc>
          <w:tcPr>
            <w:tcW w:type="dxa" w:w="14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Track</w:t>
            </w:r>
          </w:p>
        </w:tc>
        <w:tc>
          <w:tcPr>
            <w:tcW w:type="dxa" w:w="34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28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Estimated Cost (ZAR)</w:t>
            </w:r>
          </w:p>
        </w:tc>
        <w:tc>
          <w:tcPr>
            <w:tcW w:type="dxa" w:w="228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Timeline</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Track 1</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Critical/High remediation (MFA, patching, encryption, TLS)</w:t>
            </w:r>
          </w:p>
        </w:tc>
        <w:tc>
          <w:tcPr>
            <w:tcW w:type="dxa" w:w="2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 120,000 – R 280,000</w:t>
            </w:r>
          </w:p>
        </w:tc>
        <w:tc>
          <w:tcPr>
            <w:tcW w:type="dxa" w:w="2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0–14 days</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Track 2</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SIEM deployment, IAM, firewall hardening, training programme</w:t>
            </w:r>
          </w:p>
        </w:tc>
        <w:tc>
          <w:tcPr>
            <w:tcW w:type="dxa" w:w="22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 220,000 – R 560,000</w:t>
            </w:r>
          </w:p>
        </w:tc>
        <w:tc>
          <w:tcPr>
            <w:tcW w:type="dxa" w:w="22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15–60 days</w:t>
            </w:r>
          </w:p>
        </w:tc>
      </w:tr>
      <w:tr>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Track 3</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ISO 27001 audit, DLP, penetration testing, DevSecOps tooling</w:t>
            </w:r>
          </w:p>
        </w:tc>
        <w:tc>
          <w:tcPr>
            <w:tcW w:type="dxa" w:w="2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 140,000 – R 360,000</w:t>
            </w:r>
          </w:p>
        </w:tc>
        <w:tc>
          <w:tcPr>
            <w:tcW w:type="dxa" w:w="22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61–180 days</w:t>
            </w:r>
          </w:p>
        </w:tc>
      </w:tr>
      <w:tr>
        <w:tc>
          <w:tcPr>
            <w:tcW w:type="dxa" w:w="14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sz w:val="20"/>
                <w:szCs w:val="20"/>
              </w:rPr>
              <w:t xml:space="preserve">Total (Estimated)</w:t>
            </w:r>
          </w:p>
        </w:tc>
        <w:tc>
          <w:tcPr>
            <w:tcW w:type="dxa" w:w="340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sz w:val="20"/>
                <w:szCs w:val="20"/>
              </w:rPr>
              <w:t xml:space="preserve">Full remediation programme across all tracks</w:t>
            </w:r>
          </w:p>
        </w:tc>
        <w:tc>
          <w:tcPr>
            <w:tcW w:type="dxa" w:w="228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sz w:val="20"/>
                <w:szCs w:val="20"/>
              </w:rPr>
              <w:t xml:space="preserve">R 480,000 – R 1,200,000</w:t>
            </w:r>
          </w:p>
        </w:tc>
        <w:tc>
          <w:tcPr>
            <w:tcW w:type="dxa" w:w="2280"/>
            <w:tcBorders>
              <w:top w:val="single" w:color="BDC3C7" w:sz="1"/>
              <w:left w:val="single" w:color="BDC3C7" w:sz="1"/>
              <w:bottom w:val="single" w:color="BDC3C7" w:sz="1"/>
              <w:right w:val="single" w:color="BDC3C7" w:sz="1"/>
            </w:tcBorders>
            <w:shd w:fill="D6E4F0" w:val="clear"/>
            <w:tcMar>
              <w:top w:type="dxa" w:w="80"/>
              <w:left w:type="dxa" w:w="120"/>
              <w:bottom w:type="dxa" w:w="80"/>
              <w:right w:type="dxa" w:w="120"/>
            </w:tcMar>
          </w:tcPr>
          <w:p>
            <w:r>
              <w:rPr>
                <w:rFonts w:ascii="Arial" w:cs="Arial" w:eastAsia="Arial" w:hAnsi="Arial"/>
                <w:b/>
                <w:bCs/>
                <w:sz w:val="20"/>
                <w:szCs w:val="20"/>
              </w:rPr>
              <w:t xml:space="preserve">0–180 days</w:t>
            </w:r>
          </w:p>
        </w:tc>
      </w:tr>
    </w:tbl>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9. Conclusion</w:t>
      </w:r>
    </w:p>
    <w:p>
      <w:pPr>
        <w:spacing w:before="80" w:after="80"/>
      </w:pPr>
      <w:r>
        <w:rPr>
          <w:rFonts w:ascii="Arial" w:cs="Arial" w:eastAsia="Arial" w:hAnsi="Arial"/>
          <w:sz w:val="22"/>
          <w:szCs w:val="22"/>
        </w:rPr>
        <w:t xml:space="preserve">This security audit has identified a critically elevated risk posture at Vendmo Tech, with three Critical and four High severity vulnerabilities that, if exploited, could result in a material data breach, full infrastructure compromise, and significant regulatory and financial consequences.</w:t>
      </w:r>
    </w:p>
    <w:p>
      <w:pPr>
        <w:spacing w:before="60" w:after="60"/>
      </w:pPr>
      <w:r>
        <w:t xml:space="preserve"/>
      </w:r>
    </w:p>
    <w:p>
      <w:pPr>
        <w:spacing w:before="80" w:after="80"/>
      </w:pPr>
      <w:r>
        <w:rPr>
          <w:rFonts w:ascii="Arial" w:cs="Arial" w:eastAsia="Arial" w:hAnsi="Arial"/>
          <w:sz w:val="22"/>
          <w:szCs w:val="22"/>
        </w:rPr>
        <w:t xml:space="preserve">The most urgent finding — an unpatched, internet-facing Remote Code Execution vulnerability in the production web server — must be patched within 24 to 48 hours of this report's issuance. Simultaneously, the deployment of Multi-Factor Authentication across all portals represents the single most impactful action Vendmo Tech can take to reduce its credential-attack exposure.</w:t>
      </w:r>
    </w:p>
    <w:p>
      <w:pPr>
        <w:spacing w:before="60" w:after="60"/>
      </w:pPr>
      <w:r>
        <w:t xml:space="preserve"/>
      </w:r>
    </w:p>
    <w:p>
      <w:pPr>
        <w:spacing w:before="80" w:after="80"/>
      </w:pPr>
      <w:r>
        <w:rPr>
          <w:rFonts w:ascii="Arial" w:cs="Arial" w:eastAsia="Arial" w:hAnsi="Arial"/>
          <w:sz w:val="22"/>
          <w:szCs w:val="22"/>
        </w:rPr>
        <w:t xml:space="preserve">The systemic absence of foundational security controls — encryption at rest, TLS enforcement, MFA, patch management, SIEM, and security training — indicates that information security has not been embedded into Vendmo Tech's engineering and operational culture. The path to a mature, resilient security posture requires not only technical remediation but also a governance commitment from executive leadership.</w:t>
      </w:r>
    </w:p>
    <w:p>
      <w:pPr>
        <w:spacing w:before="60" w:after="60"/>
      </w:pPr>
      <w:r>
        <w:t xml:space="preserve"/>
      </w:r>
    </w:p>
    <w:p>
      <w:pPr>
        <w:spacing w:before="80" w:after="80"/>
      </w:pPr>
      <w:r>
        <w:rPr>
          <w:rFonts w:ascii="Arial" w:cs="Arial" w:eastAsia="Arial" w:hAnsi="Arial"/>
          <w:sz w:val="22"/>
          <w:szCs w:val="22"/>
        </w:rPr>
        <w:t xml:space="preserve">It is strongly recommended that Vendmo Tech establish a dedicated Information Security function (or engage a Virtual CISO), appoint an executive-level Information Security Steering Committee, and initiate a formal ISO/IEC 27001:2022 certification programme within the next six months.</w:t>
      </w:r>
    </w:p>
    <w:p>
      <w:pPr>
        <w:spacing w:before="60" w:after="60"/>
      </w:pPr>
      <w:r>
        <w:t xml:space="preserve"/>
      </w:r>
    </w:p>
    <w:p>
      <w:pPr>
        <w:spacing w:before="80" w:after="80"/>
      </w:pPr>
      <w:r>
        <w:rPr>
          <w:rFonts w:ascii="Arial" w:cs="Arial" w:eastAsia="Arial" w:hAnsi="Arial"/>
          <w:sz w:val="22"/>
          <w:szCs w:val="22"/>
        </w:rPr>
        <w:t xml:space="preserve">The security team stands ready to assist in remediation planning, provide technical guidance on implementation, and re-test affected systems upon completion of each remediation track. A follow-up validation assessment is recommended within 90 days of this report.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5F8A" w:sz="6"/>
              <w:left w:val="single" w:color="2C5F8A" w:sz="6"/>
              <w:bottom w:val="single" w:color="2C5F8A" w:sz="6"/>
              <w:right w:val="single" w:color="2C5F8A" w:sz="6"/>
            </w:tcBorders>
            <w:shd w:fill="FADBD8" w:val="clear"/>
            <w:tcMar>
              <w:top w:type="dxa" w:w="120"/>
              <w:left w:type="dxa" w:w="180"/>
              <w:bottom w:type="dxa" w:w="120"/>
              <w:right w:type="dxa" w:w="180"/>
            </w:tcMar>
          </w:tcPr>
          <w:p>
            <w:pPr>
              <w:spacing w:before="0" w:after="60"/>
            </w:pPr>
            <w:r>
              <w:rPr>
                <w:rFonts w:ascii="Arial" w:cs="Arial" w:eastAsia="Arial" w:hAnsi="Arial"/>
                <w:b/>
                <w:bCs/>
                <w:color w:val="1A2E4A"/>
                <w:sz w:val="22"/>
                <w:szCs w:val="22"/>
              </w:rPr>
              <w:t xml:space="preserve">Final Security Rating</w:t>
            </w:r>
          </w:p>
          <w:p>
            <w:pPr>
              <w:spacing w:before="30" w:after="30"/>
            </w:pPr>
            <w:r>
              <w:rPr>
                <w:rFonts w:ascii="Arial" w:cs="Arial" w:eastAsia="Arial" w:hAnsi="Arial"/>
                <w:sz w:val="20"/>
                <w:szCs w:val="20"/>
              </w:rPr>
              <w:t xml:space="preserve">Overall Security Posture:     HIGH RISK</w:t>
            </w:r>
          </w:p>
          <w:p>
            <w:pPr>
              <w:spacing w:before="30" w:after="30"/>
            </w:pPr>
            <w:r>
              <w:rPr>
                <w:rFonts w:ascii="Arial" w:cs="Arial" w:eastAsia="Arial" w:hAnsi="Arial"/>
                <w:sz w:val="20"/>
                <w:szCs w:val="20"/>
              </w:rPr>
              <w:t xml:space="preserve">Recommended Re-assessment:    90 days post-remediation</w:t>
            </w:r>
          </w:p>
          <w:p>
            <w:pPr>
              <w:spacing w:before="30" w:after="30"/>
            </w:pPr>
            <w:r>
              <w:rPr>
                <w:rFonts w:ascii="Arial" w:cs="Arial" w:eastAsia="Arial" w:hAnsi="Arial"/>
                <w:sz w:val="20"/>
                <w:szCs w:val="20"/>
              </w:rPr>
              <w:t xml:space="preserve">ISO 27001 Readiness:          EARLY STAGE (significant gaps remain)</w:t>
            </w:r>
          </w:p>
          <w:p>
            <w:pPr>
              <w:spacing w:before="30" w:after="30"/>
            </w:pPr>
            <w:r>
              <w:rPr>
                <w:rFonts w:ascii="Arial" w:cs="Arial" w:eastAsia="Arial" w:hAnsi="Arial"/>
                <w:sz w:val="20"/>
                <w:szCs w:val="20"/>
              </w:rPr>
              <w:t xml:space="preserve">PCI-DSS Compliance:           NON-COMPLIANT (critical gaps in Req. 3, 6, 8)</w:t>
            </w:r>
          </w:p>
          <w:p>
            <w:pPr>
              <w:spacing w:before="30" w:after="30"/>
            </w:pPr>
            <w:r>
              <w:rPr>
                <w:rFonts w:ascii="Arial" w:cs="Arial" w:eastAsia="Arial" w:hAnsi="Arial"/>
                <w:sz w:val="20"/>
                <w:szCs w:val="20"/>
              </w:rPr>
              <w:t xml:space="preserve">POPIA Compliance:             NON-COMPLIANT (unencrypted PII, no incident plan)</w:t>
            </w:r>
          </w:p>
          <w:p>
            <w:pPr>
              <w:spacing w:before="30" w:after="30"/>
            </w:pPr>
            <w:r>
              <w:rPr>
                <w:rFonts w:ascii="Arial" w:cs="Arial" w:eastAsia="Arial" w:hAnsi="Arial"/>
                <w:sz w:val="20"/>
                <w:szCs w:val="20"/>
              </w:rPr>
              <w:t xml:space="preserve"/>
            </w:r>
          </w:p>
          <w:p>
            <w:pPr>
              <w:spacing w:before="30" w:after="30"/>
            </w:pPr>
            <w:r>
              <w:rPr>
                <w:rFonts w:ascii="Arial" w:cs="Arial" w:eastAsia="Arial" w:hAnsi="Arial"/>
                <w:sz w:val="20"/>
                <w:szCs w:val="20"/>
              </w:rPr>
              <w:t xml:space="preserve">The findings in this report are as of March 2026. Risk exposure may change rapidly.</w:t>
            </w:r>
          </w:p>
          <w:p>
            <w:pPr>
              <w:spacing w:before="30" w:after="30"/>
            </w:pPr>
            <w:r>
              <w:rPr>
                <w:rFonts w:ascii="Arial" w:cs="Arial" w:eastAsia="Arial" w:hAnsi="Arial"/>
                <w:sz w:val="20"/>
                <w:szCs w:val="20"/>
              </w:rPr>
              <w:t xml:space="preserve">Immediate action on CRITICAL findings is strongly advised.</w:t>
            </w:r>
          </w:p>
        </w:tc>
      </w:tr>
    </w:tbl>
    <w:p>
      <w:pPr>
        <w:spacing w:before="60" w:after="60"/>
      </w:pPr>
      <w:r>
        <w:t xml:space="preserve"/>
      </w:r>
    </w:p>
    <w:p>
      <w:r>
        <w:br w:type="page"/>
      </w:r>
    </w:p>
    <w:p>
      <w:pPr>
        <w:pStyle w:val="Heading1"/>
        <w:pBdr>
          <w:bottom w:val="single" w:color="2C5F8A" w:sz="8" w:space="4"/>
        </w:pBdr>
        <w:spacing w:before="320" w:after="160"/>
      </w:pPr>
      <w:r>
        <w:rPr>
          <w:rFonts w:ascii="Arial" w:cs="Arial" w:eastAsia="Arial" w:hAnsi="Arial"/>
          <w:b/>
          <w:bCs/>
          <w:color w:val="1A2E4A"/>
          <w:sz w:val="36"/>
          <w:szCs w:val="36"/>
        </w:rPr>
        <w:t xml:space="preserve">Appendix A —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w:t>
            </w:r>
          </w:p>
        </w:tc>
        <w:tc>
          <w:tcPr>
            <w:tcW w:type="dxa" w:w="696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0"/>
                <w:szCs w:val="20"/>
              </w:rPr>
              <w:t xml:space="preserve">Attack Surface</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sum of all possible points where an attacker can try to enter or extract data from an environment.</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CVSS</w:t>
            </w:r>
          </w:p>
        </w:tc>
        <w:tc>
          <w:tcPr>
            <w:tcW w:type="dxa" w:w="6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Common Vulnerability Scoring System — an open framework for communicating the characteristics and severity of software vulnerabilities.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0"/>
                <w:szCs w:val="20"/>
              </w:rPr>
              <w:t xml:space="preserve">IAM</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Identity and Access Management — the framework of policies and technologies ensuring the right users have appropriate access to resources.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MFA</w:t>
            </w:r>
          </w:p>
        </w:tc>
        <w:tc>
          <w:tcPr>
            <w:tcW w:type="dxa" w:w="6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Multi-Factor Authentication — authentication requiring two or more verification factors beyond a password.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0"/>
                <w:szCs w:val="20"/>
              </w:rPr>
              <w:t xml:space="preserve">POPIA</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Protection of Personal Information Act — South Africa's primary data privacy legislation (Act 4 of 2013).</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PCI-DSS</w:t>
            </w:r>
          </w:p>
        </w:tc>
        <w:tc>
          <w:tcPr>
            <w:tcW w:type="dxa" w:w="6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Payment Card Industry Data Security Standard — security standard for entities handling branded credit/debit cards.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0"/>
                <w:szCs w:val="20"/>
              </w:rPr>
              <w:t xml:space="preserve">RBAC</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Role-Based Access Control — access management approach where permissions are assigned based on organisational roles.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RCE</w:t>
            </w:r>
          </w:p>
        </w:tc>
        <w:tc>
          <w:tcPr>
            <w:tcW w:type="dxa" w:w="6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Remote Code Execution — a vulnerability class allowing an attacker to execute arbitrary code on a remote system.</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0"/>
                <w:szCs w:val="20"/>
              </w:rPr>
              <w:t xml:space="preserve">SIEM</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 Information and Event Management — a system for collecting, aggregating, and analysing security data to detect threats.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SQL Injection</w:t>
            </w:r>
          </w:p>
        </w:tc>
        <w:tc>
          <w:tcPr>
            <w:tcW w:type="dxa" w:w="6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An attack technique inserting malicious SQL code into input fields to manipulate backend database queries.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0"/>
                <w:szCs w:val="20"/>
              </w:rPr>
              <w:t xml:space="preserve">TLS</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Transport Layer Security — a cryptographic protocol providing secure communications over a computer network.</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sz w:val="20"/>
                <w:szCs w:val="20"/>
              </w:rPr>
              <w:t xml:space="preserve">WAF</w:t>
            </w:r>
          </w:p>
        </w:tc>
        <w:tc>
          <w:tcPr>
            <w:tcW w:type="dxa" w:w="6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Web Application Firewall — a security appliance filtering and monitoring HTTP traffic to and from a web application.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bCs/>
                <w:sz w:val="20"/>
                <w:szCs w:val="20"/>
              </w:rPr>
              <w:t xml:space="preserve">Zero-Day</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vulnerability that is unknown to the software vendor or security community, with no available patch.</w:t>
            </w:r>
          </w:p>
        </w:tc>
      </w:tr>
    </w:tbl>
    <w:p>
      <w:pPr>
        <w:spacing w:before="60" w:after="60"/>
      </w:pPr>
      <w:r>
        <w:t xml:space="preserve"/>
      </w:r>
    </w:p>
    <w:p>
      <w:pPr>
        <w:pStyle w:val="Heading1"/>
        <w:pBdr>
          <w:bottom w:val="single" w:color="2C5F8A" w:sz="8" w:space="4"/>
        </w:pBdr>
        <w:spacing w:before="320" w:after="160"/>
      </w:pPr>
      <w:r>
        <w:rPr>
          <w:rFonts w:ascii="Arial" w:cs="Arial" w:eastAsia="Arial" w:hAnsi="Arial"/>
          <w:b/>
          <w:bCs/>
          <w:color w:val="1A2E4A"/>
          <w:sz w:val="36"/>
          <w:szCs w:val="36"/>
        </w:rPr>
        <w:t xml:space="preserve">Appendix B — References &amp; Standards</w:t>
      </w:r>
    </w:p>
    <w:p>
      <w:pPr>
        <w:pStyle w:val="ListParagraph"/>
        <w:numPr>
          <w:ilvl w:val="0"/>
          <w:numId w:val="2"/>
        </w:numPr>
        <w:spacing w:before="60" w:after="60"/>
      </w:pPr>
      <w:r>
        <w:rPr>
          <w:rFonts w:ascii="Arial" w:cs="Arial" w:eastAsia="Arial" w:hAnsi="Arial"/>
          <w:sz w:val="22"/>
          <w:szCs w:val="22"/>
        </w:rPr>
        <w:t xml:space="preserve">NIST Cybersecurity Framework v1.1 — https://www.nist.gov/cyberframework</w:t>
      </w:r>
    </w:p>
    <w:p>
      <w:pPr>
        <w:pStyle w:val="ListParagraph"/>
        <w:numPr>
          <w:ilvl w:val="0"/>
          <w:numId w:val="2"/>
        </w:numPr>
        <w:spacing w:before="60" w:after="60"/>
      </w:pPr>
      <w:r>
        <w:rPr>
          <w:rFonts w:ascii="Arial" w:cs="Arial" w:eastAsia="Arial" w:hAnsi="Arial"/>
          <w:sz w:val="22"/>
          <w:szCs w:val="22"/>
        </w:rPr>
        <w:t xml:space="preserve">ISO/IEC 27001:2022 — Information Security Management Systems</w:t>
      </w:r>
    </w:p>
    <w:p>
      <w:pPr>
        <w:pStyle w:val="ListParagraph"/>
        <w:numPr>
          <w:ilvl w:val="0"/>
          <w:numId w:val="2"/>
        </w:numPr>
        <w:spacing w:before="60" w:after="60"/>
      </w:pPr>
      <w:r>
        <w:rPr>
          <w:rFonts w:ascii="Arial" w:cs="Arial" w:eastAsia="Arial" w:hAnsi="Arial"/>
          <w:sz w:val="22"/>
          <w:szCs w:val="22"/>
        </w:rPr>
        <w:t xml:space="preserve">OWASP Top 10 (2021) — https://owasp.org/www-project-top-ten/</w:t>
      </w:r>
    </w:p>
    <w:p>
      <w:pPr>
        <w:pStyle w:val="ListParagraph"/>
        <w:numPr>
          <w:ilvl w:val="0"/>
          <w:numId w:val="2"/>
        </w:numPr>
        <w:spacing w:before="60" w:after="60"/>
      </w:pPr>
      <w:r>
        <w:rPr>
          <w:rFonts w:ascii="Arial" w:cs="Arial" w:eastAsia="Arial" w:hAnsi="Arial"/>
          <w:sz w:val="22"/>
          <w:szCs w:val="22"/>
        </w:rPr>
        <w:t xml:space="preserve">OWASP Testing Guide v4.2 — https://owasp.org/www-project-web-security-testing-guide/</w:t>
      </w:r>
    </w:p>
    <w:p>
      <w:pPr>
        <w:pStyle w:val="ListParagraph"/>
        <w:numPr>
          <w:ilvl w:val="0"/>
          <w:numId w:val="2"/>
        </w:numPr>
        <w:spacing w:before="60" w:after="60"/>
      </w:pPr>
      <w:r>
        <w:rPr>
          <w:rFonts w:ascii="Arial" w:cs="Arial" w:eastAsia="Arial" w:hAnsi="Arial"/>
          <w:sz w:val="22"/>
          <w:szCs w:val="22"/>
        </w:rPr>
        <w:t xml:space="preserve">CIS Critical Security Controls v8 — https://www.cisecurity.org/controls/</w:t>
      </w:r>
    </w:p>
    <w:p>
      <w:pPr>
        <w:pStyle w:val="ListParagraph"/>
        <w:numPr>
          <w:ilvl w:val="0"/>
          <w:numId w:val="2"/>
        </w:numPr>
        <w:spacing w:before="60" w:after="60"/>
      </w:pPr>
      <w:r>
        <w:rPr>
          <w:rFonts w:ascii="Arial" w:cs="Arial" w:eastAsia="Arial" w:hAnsi="Arial"/>
          <w:sz w:val="22"/>
          <w:szCs w:val="22"/>
        </w:rPr>
        <w:t xml:space="preserve">POPIA (Act 4 of 2013) — https://www.justice.gov.za/inforeg/</w:t>
      </w:r>
    </w:p>
    <w:p>
      <w:pPr>
        <w:pStyle w:val="ListParagraph"/>
        <w:numPr>
          <w:ilvl w:val="0"/>
          <w:numId w:val="2"/>
        </w:numPr>
        <w:spacing w:before="60" w:after="60"/>
      </w:pPr>
      <w:r>
        <w:rPr>
          <w:rFonts w:ascii="Arial" w:cs="Arial" w:eastAsia="Arial" w:hAnsi="Arial"/>
          <w:sz w:val="22"/>
          <w:szCs w:val="22"/>
        </w:rPr>
        <w:t xml:space="preserve">PCI-DSS v4.0 — https://www.pcisecuritystandards.org/</w:t>
      </w:r>
    </w:p>
    <w:p>
      <w:pPr>
        <w:pStyle w:val="ListParagraph"/>
        <w:numPr>
          <w:ilvl w:val="0"/>
          <w:numId w:val="2"/>
        </w:numPr>
        <w:spacing w:before="60" w:after="60"/>
      </w:pPr>
      <w:r>
        <w:rPr>
          <w:rFonts w:ascii="Arial" w:cs="Arial" w:eastAsia="Arial" w:hAnsi="Arial"/>
          <w:sz w:val="22"/>
          <w:szCs w:val="22"/>
        </w:rPr>
        <w:t xml:space="preserve">Apache CVE-2021-41773 — https://nvd.nist.gov/vuln/detail/CVE-2021-41773</w:t>
      </w:r>
    </w:p>
    <w:p>
      <w:pPr>
        <w:pStyle w:val="ListParagraph"/>
        <w:numPr>
          <w:ilvl w:val="0"/>
          <w:numId w:val="2"/>
        </w:numPr>
        <w:spacing w:before="60" w:after="60"/>
      </w:pPr>
      <w:r>
        <w:rPr>
          <w:rFonts w:ascii="Arial" w:cs="Arial" w:eastAsia="Arial" w:hAnsi="Arial"/>
          <w:sz w:val="22"/>
          <w:szCs w:val="22"/>
        </w:rPr>
        <w:t xml:space="preserve">NIST SP 800-61r2 — Computer Security Incident Handling Guide</w:t>
      </w:r>
    </w:p>
    <w:p>
      <w:pPr>
        <w:pStyle w:val="ListParagraph"/>
        <w:numPr>
          <w:ilvl w:val="0"/>
          <w:numId w:val="2"/>
        </w:numPr>
        <w:spacing w:before="60" w:after="60"/>
      </w:pPr>
      <w:r>
        <w:rPr>
          <w:rFonts w:ascii="Arial" w:cs="Arial" w:eastAsia="Arial" w:hAnsi="Arial"/>
          <w:sz w:val="22"/>
          <w:szCs w:val="22"/>
        </w:rPr>
        <w:t xml:space="preserve">NIST SP 800-53 Rev. 5 — Security and Privacy Controls for Information Systems</w:t>
      </w:r>
    </w:p>
    <w:p>
      <w:pPr>
        <w:spacing w:before="60" w:after="60"/>
      </w:pPr>
      <w:r>
        <w:t xml:space="preserve"/>
      </w:r>
    </w:p>
    <w:p>
      <w:pPr>
        <w:pStyle w:val="Heading1"/>
        <w:pBdr>
          <w:bottom w:val="single" w:color="2C5F8A" w:sz="8" w:space="4"/>
        </w:pBdr>
        <w:spacing w:before="320" w:after="160"/>
      </w:pPr>
      <w:r>
        <w:rPr>
          <w:rFonts w:ascii="Arial" w:cs="Arial" w:eastAsia="Arial" w:hAnsi="Arial"/>
          <w:b/>
          <w:bCs/>
          <w:color w:val="1A2E4A"/>
          <w:sz w:val="36"/>
          <w:szCs w:val="36"/>
        </w:rPr>
        <w:t xml:space="preserve">Appendix C — Audit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312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w:t>
            </w:r>
          </w:p>
        </w:tc>
        <w:tc>
          <w:tcPr>
            <w:tcW w:type="dxa" w:w="3120"/>
            <w:gridSpan w:val="1"/>
            <w:tcBorders>
              <w:top w:val="single" w:color="BDC3C7" w:sz="1"/>
              <w:left w:val="single" w:color="BDC3C7" w:sz="1"/>
              <w:bottom w:val="single" w:color="BDC3C7" w:sz="1"/>
              <w:right w:val="single" w:color="BDC3C7" w:sz="1"/>
            </w:tcBorders>
            <w:shd w:fill="1A2E4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r>
      <w:tr>
        <w:tc>
          <w:tcPr>
            <w:tcW w:type="dxa" w:w="3120"/>
            <w:tcBorders>
              <w:top w:val="single" w:color="BDC3C7" w:sz="1"/>
              <w:left w:val="single" w:color="BDC3C7" w:sz="1"/>
              <w:bottom w:val="single" w:color="BDC3C7" w:sz="1"/>
              <w:right w:val="single" w:color="BDC3C7" w:sz="1"/>
            </w:tcBorders>
            <w:shd w:fill="FFFFFF" w:val="clear"/>
            <w:tcMar>
              <w:top w:type="dxa" w:w="160"/>
              <w:left w:type="dxa" w:w="120"/>
              <w:bottom w:type="dxa" w:w="160"/>
              <w:right w:type="dxa" w:w="120"/>
            </w:tcMar>
          </w:tcPr>
          <w:p>
            <w:r>
              <w:rPr>
                <w:rFonts w:ascii="Arial" w:cs="Arial" w:eastAsia="Arial" w:hAnsi="Arial"/>
                <w:b/>
                <w:bCs/>
                <w:i w:val="false"/>
                <w:iCs w:val="false"/>
                <w:sz w:val="20"/>
                <w:szCs w:val="20"/>
              </w:rPr>
              <w:t xml:space="preserve">Lead Security Auditor</w:t>
            </w:r>
          </w:p>
        </w:tc>
        <w:tc>
          <w:tcPr>
            <w:tcW w:type="dxa" w:w="3120"/>
            <w:tcBorders>
              <w:top w:val="single" w:color="BDC3C7" w:sz="1"/>
              <w:left w:val="single" w:color="BDC3C7" w:sz="1"/>
              <w:bottom w:val="single" w:color="BDC3C7" w:sz="1"/>
              <w:right w:val="single" w:color="BDC3C7" w:sz="1"/>
            </w:tcBorders>
            <w:shd w:fill="FFFFFF" w:val="clear"/>
            <w:tcMar>
              <w:top w:type="dxa" w:w="160"/>
              <w:left w:type="dxa" w:w="120"/>
              <w:bottom w:type="dxa" w:w="160"/>
              <w:right w:type="dxa" w:w="120"/>
            </w:tcMar>
          </w:tcPr>
          <w:p>
            <w:r>
              <w:rPr>
                <w:rFonts w:ascii="Arial" w:cs="Arial" w:eastAsia="Arial" w:hAnsi="Arial"/>
                <w:b w:val="false"/>
                <w:bCs w:val="false"/>
                <w:i/>
                <w:iCs/>
                <w:sz w:val="20"/>
                <w:szCs w:val="20"/>
              </w:rPr>
              <w:t xml:space="preserve">[Signature Required]</w:t>
            </w:r>
          </w:p>
        </w:tc>
        <w:tc>
          <w:tcPr>
            <w:tcW w:type="dxa" w:w="3120"/>
            <w:tcBorders>
              <w:top w:val="single" w:color="BDC3C7" w:sz="1"/>
              <w:left w:val="single" w:color="BDC3C7" w:sz="1"/>
              <w:bottom w:val="single" w:color="BDC3C7" w:sz="1"/>
              <w:right w:val="single" w:color="BDC3C7" w:sz="1"/>
            </w:tcBorders>
            <w:shd w:fill="FFFFFF" w:val="clear"/>
            <w:tcMar>
              <w:top w:type="dxa" w:w="160"/>
              <w:left w:type="dxa" w:w="120"/>
              <w:bottom w:type="dxa" w:w="160"/>
              <w:right w:type="dxa" w:w="120"/>
            </w:tcMar>
          </w:tcPr>
          <w:p>
            <w:r>
              <w:rPr>
                <w:rFonts w:ascii="Arial" w:cs="Arial" w:eastAsia="Arial" w:hAnsi="Arial"/>
                <w:b w:val="false"/>
                <w:bCs w:val="false"/>
                <w:i w:val="false"/>
                <w:iCs w:val="false"/>
                <w:sz w:val="20"/>
                <w:szCs w:val="20"/>
              </w:rPr>
              <w:t xml:space="preserve">March 2026</w:t>
            </w:r>
          </w:p>
        </w:tc>
      </w:tr>
      <w:tr>
        <w:tc>
          <w:tcPr>
            <w:tcW w:type="dxa" w:w="3120"/>
            <w:tcBorders>
              <w:top w:val="single" w:color="BDC3C7" w:sz="1"/>
              <w:left w:val="single" w:color="BDC3C7" w:sz="1"/>
              <w:bottom w:val="single" w:color="BDC3C7" w:sz="1"/>
              <w:right w:val="single" w:color="BDC3C7" w:sz="1"/>
            </w:tcBorders>
            <w:shd w:fill="EBF5FB" w:val="clear"/>
            <w:tcMar>
              <w:top w:type="dxa" w:w="160"/>
              <w:left w:type="dxa" w:w="120"/>
              <w:bottom w:type="dxa" w:w="160"/>
              <w:right w:type="dxa" w:w="120"/>
            </w:tcMar>
          </w:tcPr>
          <w:p>
            <w:r>
              <w:rPr>
                <w:rFonts w:ascii="Arial" w:cs="Arial" w:eastAsia="Arial" w:hAnsi="Arial"/>
                <w:b/>
                <w:bCs/>
                <w:i w:val="false"/>
                <w:iCs w:val="false"/>
                <w:sz w:val="20"/>
                <w:szCs w:val="20"/>
              </w:rPr>
              <w:t xml:space="preserve">Information Security Manager</w:t>
            </w:r>
          </w:p>
        </w:tc>
        <w:tc>
          <w:tcPr>
            <w:tcW w:type="dxa" w:w="3120"/>
            <w:tcBorders>
              <w:top w:val="single" w:color="BDC3C7" w:sz="1"/>
              <w:left w:val="single" w:color="BDC3C7" w:sz="1"/>
              <w:bottom w:val="single" w:color="BDC3C7" w:sz="1"/>
              <w:right w:val="single" w:color="BDC3C7" w:sz="1"/>
            </w:tcBorders>
            <w:shd w:fill="EBF5FB" w:val="clear"/>
            <w:tcMar>
              <w:top w:type="dxa" w:w="160"/>
              <w:left w:type="dxa" w:w="120"/>
              <w:bottom w:type="dxa" w:w="160"/>
              <w:right w:type="dxa" w:w="120"/>
            </w:tcMar>
          </w:tcPr>
          <w:p>
            <w:r>
              <w:rPr>
                <w:rFonts w:ascii="Arial" w:cs="Arial" w:eastAsia="Arial" w:hAnsi="Arial"/>
                <w:b w:val="false"/>
                <w:bCs w:val="false"/>
                <w:i/>
                <w:iCs/>
                <w:sz w:val="20"/>
                <w:szCs w:val="20"/>
              </w:rPr>
              <w:t xml:space="preserve">[Signature Required]</w:t>
            </w:r>
          </w:p>
        </w:tc>
        <w:tc>
          <w:tcPr>
            <w:tcW w:type="dxa" w:w="3120"/>
            <w:tcBorders>
              <w:top w:val="single" w:color="BDC3C7" w:sz="1"/>
              <w:left w:val="single" w:color="BDC3C7" w:sz="1"/>
              <w:bottom w:val="single" w:color="BDC3C7" w:sz="1"/>
              <w:right w:val="single" w:color="BDC3C7" w:sz="1"/>
            </w:tcBorders>
            <w:shd w:fill="EBF5FB" w:val="clear"/>
            <w:tcMar>
              <w:top w:type="dxa" w:w="160"/>
              <w:left w:type="dxa" w:w="120"/>
              <w:bottom w:type="dxa" w:w="160"/>
              <w:right w:type="dxa" w:w="120"/>
            </w:tcMar>
          </w:tcPr>
          <w:p>
            <w:r>
              <w:rPr>
                <w:rFonts w:ascii="Arial" w:cs="Arial" w:eastAsia="Arial" w:hAnsi="Arial"/>
                <w:b w:val="false"/>
                <w:bCs w:val="false"/>
                <w:i w:val="false"/>
                <w:iCs w:val="false"/>
                <w:sz w:val="20"/>
                <w:szCs w:val="20"/>
              </w:rPr>
              <w:t xml:space="preserve">March 2026</w:t>
            </w:r>
          </w:p>
        </w:tc>
      </w:tr>
      <w:tr>
        <w:tc>
          <w:tcPr>
            <w:tcW w:type="dxa" w:w="3120"/>
            <w:tcBorders>
              <w:top w:val="single" w:color="BDC3C7" w:sz="1"/>
              <w:left w:val="single" w:color="BDC3C7" w:sz="1"/>
              <w:bottom w:val="single" w:color="BDC3C7" w:sz="1"/>
              <w:right w:val="single" w:color="BDC3C7" w:sz="1"/>
            </w:tcBorders>
            <w:shd w:fill="FFFFFF" w:val="clear"/>
            <w:tcMar>
              <w:top w:type="dxa" w:w="160"/>
              <w:left w:type="dxa" w:w="120"/>
              <w:bottom w:type="dxa" w:w="160"/>
              <w:right w:type="dxa" w:w="120"/>
            </w:tcMar>
          </w:tcPr>
          <w:p>
            <w:r>
              <w:rPr>
                <w:rFonts w:ascii="Arial" w:cs="Arial" w:eastAsia="Arial" w:hAnsi="Arial"/>
                <w:b/>
                <w:bCs/>
                <w:i w:val="false"/>
                <w:iCs w:val="false"/>
                <w:sz w:val="20"/>
                <w:szCs w:val="20"/>
              </w:rPr>
              <w:t xml:space="preserve">Chief Technology Officer</w:t>
            </w:r>
          </w:p>
        </w:tc>
        <w:tc>
          <w:tcPr>
            <w:tcW w:type="dxa" w:w="3120"/>
            <w:tcBorders>
              <w:top w:val="single" w:color="BDC3C7" w:sz="1"/>
              <w:left w:val="single" w:color="BDC3C7" w:sz="1"/>
              <w:bottom w:val="single" w:color="BDC3C7" w:sz="1"/>
              <w:right w:val="single" w:color="BDC3C7" w:sz="1"/>
            </w:tcBorders>
            <w:shd w:fill="FFFFFF" w:val="clear"/>
            <w:tcMar>
              <w:top w:type="dxa" w:w="160"/>
              <w:left w:type="dxa" w:w="120"/>
              <w:bottom w:type="dxa" w:w="160"/>
              <w:right w:type="dxa" w:w="120"/>
            </w:tcMar>
          </w:tcPr>
          <w:p>
            <w:r>
              <w:rPr>
                <w:rFonts w:ascii="Arial" w:cs="Arial" w:eastAsia="Arial" w:hAnsi="Arial"/>
                <w:b w:val="false"/>
                <w:bCs w:val="false"/>
                <w:i/>
                <w:iCs/>
                <w:sz w:val="20"/>
                <w:szCs w:val="20"/>
              </w:rPr>
              <w:t xml:space="preserve">[Approval Required]</w:t>
            </w:r>
          </w:p>
        </w:tc>
        <w:tc>
          <w:tcPr>
            <w:tcW w:type="dxa" w:w="3120"/>
            <w:tcBorders>
              <w:top w:val="single" w:color="BDC3C7" w:sz="1"/>
              <w:left w:val="single" w:color="BDC3C7" w:sz="1"/>
              <w:bottom w:val="single" w:color="BDC3C7" w:sz="1"/>
              <w:right w:val="single" w:color="BDC3C7" w:sz="1"/>
            </w:tcBorders>
            <w:shd w:fill="FFFFFF" w:val="clear"/>
            <w:tcMar>
              <w:top w:type="dxa" w:w="160"/>
              <w:left w:type="dxa" w:w="120"/>
              <w:bottom w:type="dxa" w:w="160"/>
              <w:right w:type="dxa" w:w="120"/>
            </w:tcMar>
          </w:tcPr>
          <w:p>
            <w:r>
              <w:rPr>
                <w:rFonts w:ascii="Arial" w:cs="Arial" w:eastAsia="Arial" w:hAnsi="Arial"/>
                <w:b w:val="false"/>
                <w:bCs w:val="false"/>
                <w:i w:val="false"/>
                <w:iCs w:val="false"/>
                <w:sz w:val="20"/>
                <w:szCs w:val="20"/>
              </w:rPr>
              <w:t xml:space="preserve">March 2026</w:t>
            </w:r>
          </w:p>
        </w:tc>
      </w:tr>
      <w:tr>
        <w:tc>
          <w:tcPr>
            <w:tcW w:type="dxa" w:w="3120"/>
            <w:tcBorders>
              <w:top w:val="single" w:color="BDC3C7" w:sz="1"/>
              <w:left w:val="single" w:color="BDC3C7" w:sz="1"/>
              <w:bottom w:val="single" w:color="BDC3C7" w:sz="1"/>
              <w:right w:val="single" w:color="BDC3C7" w:sz="1"/>
            </w:tcBorders>
            <w:shd w:fill="EBF5FB" w:val="clear"/>
            <w:tcMar>
              <w:top w:type="dxa" w:w="160"/>
              <w:left w:type="dxa" w:w="120"/>
              <w:bottom w:type="dxa" w:w="160"/>
              <w:right w:type="dxa" w:w="120"/>
            </w:tcMar>
          </w:tcPr>
          <w:p>
            <w:r>
              <w:rPr>
                <w:rFonts w:ascii="Arial" w:cs="Arial" w:eastAsia="Arial" w:hAnsi="Arial"/>
                <w:b/>
                <w:bCs/>
                <w:i w:val="false"/>
                <w:iCs w:val="false"/>
                <w:sz w:val="20"/>
                <w:szCs w:val="20"/>
              </w:rPr>
              <w:t xml:space="preserve">Chief Executive Officer</w:t>
            </w:r>
          </w:p>
        </w:tc>
        <w:tc>
          <w:tcPr>
            <w:tcW w:type="dxa" w:w="3120"/>
            <w:tcBorders>
              <w:top w:val="single" w:color="BDC3C7" w:sz="1"/>
              <w:left w:val="single" w:color="BDC3C7" w:sz="1"/>
              <w:bottom w:val="single" w:color="BDC3C7" w:sz="1"/>
              <w:right w:val="single" w:color="BDC3C7" w:sz="1"/>
            </w:tcBorders>
            <w:shd w:fill="EBF5FB" w:val="clear"/>
            <w:tcMar>
              <w:top w:type="dxa" w:w="160"/>
              <w:left w:type="dxa" w:w="120"/>
              <w:bottom w:type="dxa" w:w="160"/>
              <w:right w:type="dxa" w:w="120"/>
            </w:tcMar>
          </w:tcPr>
          <w:p>
            <w:r>
              <w:rPr>
                <w:rFonts w:ascii="Arial" w:cs="Arial" w:eastAsia="Arial" w:hAnsi="Arial"/>
                <w:b w:val="false"/>
                <w:bCs w:val="false"/>
                <w:i/>
                <w:iCs/>
                <w:sz w:val="20"/>
                <w:szCs w:val="20"/>
              </w:rPr>
              <w:t xml:space="preserve">[Approval Required]</w:t>
            </w:r>
          </w:p>
        </w:tc>
        <w:tc>
          <w:tcPr>
            <w:tcW w:type="dxa" w:w="3120"/>
            <w:tcBorders>
              <w:top w:val="single" w:color="BDC3C7" w:sz="1"/>
              <w:left w:val="single" w:color="BDC3C7" w:sz="1"/>
              <w:bottom w:val="single" w:color="BDC3C7" w:sz="1"/>
              <w:right w:val="single" w:color="BDC3C7" w:sz="1"/>
            </w:tcBorders>
            <w:shd w:fill="EBF5FB" w:val="clear"/>
            <w:tcMar>
              <w:top w:type="dxa" w:w="160"/>
              <w:left w:type="dxa" w:w="120"/>
              <w:bottom w:type="dxa" w:w="160"/>
              <w:right w:type="dxa" w:w="120"/>
            </w:tcMar>
          </w:tcPr>
          <w:p>
            <w:r>
              <w:rPr>
                <w:rFonts w:ascii="Arial" w:cs="Arial" w:eastAsia="Arial" w:hAnsi="Arial"/>
                <w:b w:val="false"/>
                <w:bCs w:val="false"/>
                <w:i w:val="false"/>
                <w:iCs w:val="false"/>
                <w:sz w:val="20"/>
                <w:szCs w:val="20"/>
              </w:rPr>
              <w:t xml:space="preserve">March 2026</w:t>
            </w:r>
          </w:p>
        </w:tc>
      </w:tr>
    </w:tbl>
    <w:p>
      <w:pPr>
        <w:spacing w:before="60" w:after="60"/>
      </w:pPr>
      <w:r>
        <w:t xml:space="preserve"/>
      </w:r>
    </w:p>
    <w:p>
      <w:pPr>
        <w:spacing w:before="80" w:after="80"/>
      </w:pPr>
      <w:r>
        <w:rPr>
          <w:rFonts w:ascii="Arial" w:cs="Arial" w:eastAsia="Arial" w:hAnsi="Arial"/>
          <w:b/>
          <w:bCs/>
          <w:color w:val="1A2E4A"/>
          <w:sz w:val="22"/>
          <w:szCs w:val="22"/>
        </w:rPr>
        <w:t xml:space="preserve">END OF REPORT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Vendmo Tech © 2026  |  Information Security Department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6" w:space="4"/>
      </w:pBdr>
    </w:pPr>
    <w:r>
      <w:rPr>
        <w:rFonts w:ascii="Arial" w:cs="Arial" w:eastAsia="Arial" w:hAnsi="Arial"/>
        <w:color w:val="2C5F8A"/>
        <w:sz w:val="18"/>
        <w:szCs w:val="18"/>
      </w:rPr>
      <w:t xml:space="preserve">Vendmo Tech – Cybersecurity Audit &amp; Risk Assessment Report  |  CONFIDENTIAL</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E4A"/>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C5F8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0D7C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2026-03-17T12:17:38.970Z</dcterms:created>
  <dcterms:modified xsi:type="dcterms:W3CDTF">2026-03-17T12:17:38.971Z</dcterms:modified>
</cp:coreProperties>
</file>

<file path=docProps/custom.xml><?xml version="1.0" encoding="utf-8"?>
<Properties xmlns="http://schemas.openxmlformats.org/officeDocument/2006/custom-properties" xmlns:vt="http://schemas.openxmlformats.org/officeDocument/2006/docPropsVTypes"/>
</file>