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jpeg" ContentType="image/jpe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rPr>
          <w:rFonts w:eastAsia="Times New Roman"/>
        </w:rPr>
      </w:pPr>
      <w:r>
        <w:rPr>
          <w:rFonts w:eastAsia="Times New Roman"/>
        </w:rPr>
        <w:t>Open Data Had Better Be Data-Driven</w:t>
      </w:r>
    </w:p>
    <w:p>
      <w:pPr>
        <w:pStyle w:val="style0"/>
        <w:rPr/>
      </w:pPr>
      <w:r>
        <w:rPr/>
      </w:r>
    </w:p>
    <w:p>
      <w:pPr>
        <w:pStyle w:val="style0"/>
        <w:rPr/>
      </w:pPr>
      <w:r>
        <w:rPr/>
        <w:t>By Thomas Levine</w:t>
      </w:r>
    </w:p>
    <w:p>
      <w:pPr>
        <w:pStyle w:val="style0"/>
        <w:rPr/>
      </w:pPr>
      <w:r>
        <w:rPr/>
        <w:t>Dada Artist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We've been opening government data for some time now. Without realizing it, we've amassed some rather rich data about people publish and consume open data. With these data about the use of open data, it’s possible to use data-backed benchmarks, projections, and decisions in our open data strategies strategies, and this can make our approaches to open data more systematic, logical, and obtainable.</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Curious about what the data behind open data can teach us? Read on.</w:t>
      </w:r>
    </w:p>
    <w:p>
      <w:pPr>
        <w:pStyle w:val="style0"/>
        <w:spacing w:after="225" w:before="225" w:line="375" w:lineRule="atLeast"/>
        <w:contextualSpacing w:val="false"/>
        <w:rPr>
          <w:rFonts w:ascii="Helvetica" w:cs="Helvetica" w:eastAsia="Times New Roman" w:hAnsi="Helvetica"/>
          <w:b/>
          <w:bCs/>
          <w:color w:val="333333"/>
          <w:sz w:val="48"/>
          <w:szCs w:val="48"/>
        </w:rPr>
      </w:pPr>
      <w:r>
        <w:rPr>
          <w:rFonts w:ascii="Helvetica" w:cs="Helvetica" w:eastAsia="Times New Roman" w:hAnsi="Helvetica"/>
          <w:b/>
          <w:bCs/>
          <w:color w:val="333333"/>
          <w:sz w:val="48"/>
          <w:szCs w:val="48"/>
        </w:rPr>
        <w:t>Data, Data, Everywhere</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We have data about open data, but it always starts out in formats that are not convenient for this sort of study of open data. So we first need to turn this raw data into a dataset. In my mind, a dataset is a collection of things, with some consistent properties describing each of the things. (We often represent datasets as </w:t>
      </w:r>
      <w:hyperlink r:id="rId2">
        <w:r>
          <w:rPr>
            <w:rStyle w:val="style17"/>
            <w:rFonts w:ascii="Helvetica" w:cs="Helvetica" w:eastAsia="Times New Roman" w:hAnsi="Helvetica"/>
            <w:color w:val="333333"/>
            <w:sz w:val="23"/>
            <w:szCs w:val="23"/>
          </w:rPr>
          <w:t>tables</w:t>
        </w:r>
      </w:hyperlink>
      <w:r>
        <w:rPr>
          <w:rFonts w:ascii="Helvetica" w:cs="Helvetica" w:eastAsia="Times New Roman" w:hAnsi="Helvetica"/>
          <w:color w:val="333333"/>
          <w:sz w:val="23"/>
          <w:szCs w:val="23"/>
        </w:rPr>
        <w:t>.) We're going to treat each dataset as a thing inside our collection of many datasets.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Every dataset has basic, easy-to-extract properties like the number of records it contains, and the size it takes up on a hard drive. We can come up with more complicated too, like the number of missing values, and the date of the oldest record.</w:t>
      </w:r>
    </w:p>
    <w:p>
      <w:pPr>
        <w:pStyle w:val="style0"/>
        <w:spacing w:after="225" w:before="225" w:line="375" w:lineRule="atLeast"/>
        <w:contextualSpacing w:val="false"/>
        <w:rPr/>
      </w:pPr>
      <w:r>
        <w:rPr/>
        <w:drawing>
          <wp:inline distB="0" distL="0" distR="0" distT="0">
            <wp:extent cx="5943600" cy="4272915"/>
            <wp:effectExtent b="0" l="0" r="0" t="0"/>
            <wp:docPr descr="Extracting simple properties from datasets"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xtracting simple properties from datasets" id="0" name="Picture"/>
                    <pic:cNvPicPr>
                      <a:picLocks noChangeArrowheads="1" noChangeAspect="1"/>
                    </pic:cNvPicPr>
                  </pic:nvPicPr>
                  <pic:blipFill>
                    <a:blip r:embed="rId3"/>
                    <a:srcRect/>
                    <a:stretch>
                      <a:fillRect/>
                    </a:stretch>
                  </pic:blipFill>
                  <pic:spPr bwMode="auto">
                    <a:xfrm>
                      <a:off x="0" y="0"/>
                      <a:ext cx="5943600" cy="4272915"/>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[Caption: By taking basic information from individual datasets, you get data that you can use to create a new dataset.]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In addition, when a dataset is published online, it creates metadata – about the dataset and its use. Metadata provides details like when it was first published, who uploaded it, and how many times people have downloaded it since then.</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"name" : "Open Meetings Calendar","averageRating" : 0,</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"category" : "Government Administration",</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"createdAt" : 1337110426,</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"description" : "Schedule of Missouri Open Meetings",</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"displayType" : "calendar",</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"downloadCount" : 68,</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"numberOfComments" : 0,</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"publicationDate" : 1384531257,</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"publicationStage" : "published",</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"rowsUpdatedAt" : 1384531248,</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"rowsUpdatedBy" : "8xqn-4t42",</w:t>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w:t>
      </w:r>
      <w:hyperlink r:id="rId4">
        <w:r>
          <w:rPr>
            <w:rStyle w:val="style17"/>
            <w:rFonts w:ascii="Helvetica" w:cs="Helvetica" w:eastAsia="Times New Roman" w:hAnsi="Helvetica"/>
            <w:color w:val="4183C4"/>
            <w:sz w:val="23"/>
            <w:szCs w:val="23"/>
            <w:u w:val="single"/>
          </w:rPr>
          <w:t>Metadata</w:t>
        </w:r>
      </w:hyperlink>
      <w:r>
        <w:rPr>
          <w:rFonts w:ascii="Helvetica" w:cs="Helvetica" w:eastAsia="Times New Roman" w:hAnsi="Helvetica"/>
          <w:color w:val="333333"/>
          <w:sz w:val="23"/>
          <w:szCs w:val="23"/>
        </w:rPr>
        <w:t xml:space="preserve"> about Missouri's </w:t>
      </w:r>
      <w:hyperlink r:id="rId5">
        <w:r>
          <w:rPr>
            <w:rStyle w:val="style17"/>
            <w:rFonts w:ascii="Helvetica" w:cs="Helvetica" w:eastAsia="Times New Roman" w:hAnsi="Helvetica"/>
            <w:color w:val="4183C4"/>
            <w:sz w:val="23"/>
            <w:szCs w:val="23"/>
            <w:u w:val="single"/>
          </w:rPr>
          <w:t>open meetings calendar</w:t>
        </w:r>
      </w:hyperlink>
      <w:r>
        <w:rPr>
          <w:rFonts w:ascii="Helvetica" w:cs="Helvetica" w:eastAsia="Times New Roman" w:hAnsi="Helvetica"/>
          <w:color w:val="4183C4"/>
          <w:sz w:val="23"/>
          <w:szCs w:val="23"/>
          <w:u w:val="single"/>
        </w:rPr>
        <w:t>.</w:t>
      </w:r>
      <w:r>
        <w:rPr>
          <w:rFonts w:ascii="Helvetica" w:cs="Helvetica" w:eastAsia="Times New Roman" w:hAnsi="Helvetica"/>
          <w:color w:val="333333"/>
          <w:sz w:val="23"/>
          <w:szCs w:val="23"/>
        </w:rPr>
        <w:t>]</w:t>
      </w:r>
    </w:p>
    <w:p>
      <w:pPr>
        <w:pStyle w:val="style0"/>
        <w:spacing w:after="225" w:before="225" w:line="375" w:lineRule="atLeast"/>
        <w:contextualSpacing w:val="false"/>
        <w:rPr>
          <w:rFonts w:ascii="Helvetica" w:cs="Helvetica" w:eastAsia="Times New Roman" w:hAnsi="Helvetica"/>
          <w:color w:val="333333"/>
          <w:sz w:val="23"/>
          <w:szCs w:val="23"/>
        </w:rPr>
      </w:pPr>
      <w:bookmarkStart w:id="0" w:name="datasets-as-data-points"/>
      <w:bookmarkEnd w:id="0"/>
      <w:r>
        <w:rPr>
          <w:rFonts w:ascii="Helvetica" w:cs="Helvetica" w:eastAsia="Times New Roman" w:hAnsi="Helvetica"/>
          <w:color w:val="333333"/>
          <w:sz w:val="23"/>
          <w:szCs w:val="23"/>
        </w:rPr>
        <w:t>By collecting some of these simple properties and metadata from each dataset, it’s possible to create a dataset about the publication and use of other datasets – what I call a super-dataset.</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r>
        <w:rPr>
          <w:rFonts w:ascii="Helvetica" w:cs="Helvetica" w:eastAsia="Times New Roman" w:hAnsi="Helvetica"/>
          <w:b/>
          <w:bCs/>
          <w:color w:val="333333"/>
          <w:sz w:val="48"/>
          <w:szCs w:val="48"/>
        </w:rPr>
        <w:t>Datasets as Data Points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A super-dataset compiles information about each dataset – when it was published, what kind of information it contains, etc. – into a single row, creating a record (i.e. a data point) about that dataset.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With this setup, you can perform all kinds of functions and analyses about the publication and use of datasets: you can look at </w:t>
      </w:r>
      <w:hyperlink r:id="rId6">
        <w:r>
          <w:rPr>
            <w:rStyle w:val="style17"/>
            <w:rFonts w:ascii="Helvetica" w:cs="Helvetica" w:eastAsia="Times New Roman" w:hAnsi="Helvetica"/>
            <w:color w:val="4183C4"/>
            <w:sz w:val="23"/>
            <w:szCs w:val="23"/>
            <w:u w:val="single"/>
          </w:rPr>
          <w:t>how many datasets are on different catalogs</w:t>
        </w:r>
      </w:hyperlink>
      <w:r>
        <w:rPr>
          <w:rFonts w:ascii="Helvetica" w:cs="Helvetica" w:eastAsia="Times New Roman" w:hAnsi="Helvetica"/>
          <w:color w:val="333333"/>
          <w:sz w:val="23"/>
          <w:szCs w:val="23"/>
        </w:rPr>
        <w:t>, how data is </w:t>
      </w:r>
      <w:hyperlink r:id="rId7">
        <w:r>
          <w:rPr>
            <w:rStyle w:val="style17"/>
            <w:rFonts w:ascii="Helvetica" w:cs="Helvetica" w:eastAsia="Times New Roman" w:hAnsi="Helvetica"/>
            <w:color w:val="4183C4"/>
            <w:sz w:val="23"/>
            <w:szCs w:val="23"/>
            <w:u w:val="single"/>
          </w:rPr>
          <w:t>queried and reported</w:t>
        </w:r>
      </w:hyperlink>
      <w:r>
        <w:rPr>
          <w:rFonts w:ascii="Helvetica" w:cs="Helvetica" w:eastAsia="Times New Roman" w:hAnsi="Helvetica"/>
          <w:color w:val="333333"/>
          <w:sz w:val="23"/>
          <w:szCs w:val="23"/>
        </w:rPr>
        <w:t>, what </w:t>
      </w:r>
      <w:hyperlink r:id="rId8">
        <w:r>
          <w:rPr>
            <w:rStyle w:val="style17"/>
            <w:rFonts w:ascii="Helvetica" w:cs="Helvetica" w:eastAsia="Times New Roman" w:hAnsi="Helvetica"/>
            <w:color w:val="4183C4"/>
            <w:sz w:val="23"/>
            <w:szCs w:val="23"/>
            <w:u w:val="single"/>
          </w:rPr>
          <w:t>licenses</w:t>
        </w:r>
      </w:hyperlink>
      <w:r>
        <w:rPr>
          <w:rFonts w:ascii="Helvetica" w:cs="Helvetica" w:eastAsia="Times New Roman" w:hAnsi="Helvetica"/>
          <w:color w:val="333333"/>
          <w:sz w:val="23"/>
          <w:szCs w:val="23"/>
        </w:rPr>
        <w:t xml:space="preserve"> datasets have, and how many there are of a </w:t>
      </w:r>
      <w:hyperlink r:id="rId9">
        <w:r>
          <w:rPr>
            <w:rStyle w:val="style17"/>
            <w:rFonts w:ascii="Helvetica" w:cs="Helvetica" w:eastAsia="Times New Roman" w:hAnsi="Helvetica"/>
            <w:color w:val="4183C4"/>
            <w:sz w:val="23"/>
            <w:szCs w:val="23"/>
            <w:u w:val="single"/>
          </w:rPr>
          <w:t>certain category</w:t>
        </w:r>
      </w:hyperlink>
      <w:r>
        <w:rPr>
          <w:rFonts w:ascii="Helvetica" w:cs="Helvetica" w:eastAsia="Times New Roman" w:hAnsi="Helvetica"/>
          <w:color w:val="333333"/>
          <w:sz w:val="23"/>
          <w:szCs w:val="23"/>
        </w:rPr>
        <w:t>. Here are some examples of analyses I have done.</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 xml:space="preserve">Number of Datasets: </w:t>
      </w:r>
      <w:r>
        <w:rPr>
          <w:rFonts w:ascii="Helvetica" w:cs="Helvetica" w:eastAsia="Times New Roman" w:hAnsi="Helvetica"/>
          <w:color w:val="333333"/>
          <w:sz w:val="23"/>
          <w:szCs w:val="23"/>
        </w:rPr>
        <w:t>I compared the number of datasets on some various</w:t>
      </w:r>
      <w:bookmarkStart w:id="1" w:name="_GoBack"/>
      <w:bookmarkEnd w:id="1"/>
      <w:r>
        <w:rPr>
          <w:rFonts w:ascii="Helvetica" w:cs="Helvetica" w:eastAsia="Times New Roman" w:hAnsi="Helvetica"/>
          <w:color w:val="333333"/>
          <w:sz w:val="23"/>
          <w:szCs w:val="23"/>
        </w:rPr>
        <w:t xml:space="preserve"> government data portals that run Socrata's open data catalog software. I found that New York City, Chicago, and the state of Oregon are the governments with the most datasets.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 xml:space="preserve">Licensing: </w:t>
      </w:r>
      <w:r>
        <w:rPr>
          <w:rFonts w:ascii="Helvetica" w:cs="Helvetica" w:eastAsia="Times New Roman" w:hAnsi="Helvetica"/>
          <w:color w:val="333333"/>
          <w:sz w:val="23"/>
          <w:szCs w:val="23"/>
        </w:rPr>
        <w:t>I also used my super-dataset of properties and metadata to look into this question: What licenses do people apply to their open data? I discovered that many portals favor public domain or some form of open license, but most list no license at all.</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 xml:space="preserve">Groupings of datasets: </w:t>
      </w:r>
      <w:r>
        <w:rPr>
          <w:rFonts w:ascii="Helvetica" w:cs="Helvetica" w:eastAsia="Times New Roman" w:hAnsi="Helvetica"/>
          <w:color w:val="333333"/>
          <w:sz w:val="23"/>
          <w:szCs w:val="23"/>
        </w:rPr>
        <w:t>By looking at similarities in the titles, schemas, and other metadata of datasets, I determined what sorts of data were putting on their open data portals and how different datasets were related to each other.</w:t>
      </w:r>
    </w:p>
    <w:p>
      <w:pPr>
        <w:pStyle w:val="style0"/>
        <w:spacing w:after="225" w:before="225" w:line="375" w:lineRule="atLeast"/>
        <w:ind w:hanging="0" w:left="-720" w:right="0"/>
        <w:contextualSpacing w:val="false"/>
        <w:rPr/>
      </w:pPr>
      <w:r>
        <w:rPr/>
        <w:drawing>
          <wp:inline distB="0" distL="0" distR="0" distT="0">
            <wp:extent cx="6858000" cy="5143500"/>
            <wp:effectExtent b="0" l="0" r="0" t="0"/>
            <wp:docPr descr="Number of datasets by data portal"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umber of datasets by data portal" id="1" name="Picture"/>
                    <pic:cNvPicPr>
                      <a:picLocks noChangeArrowheads="1" noChangeAspect="1"/>
                    </pic:cNvPicPr>
                  </pic:nvPicPr>
                  <pic:blipFill>
                    <a:blip r:embed="rId10"/>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This graph, </w:t>
      </w:r>
      <w:r>
        <w:rPr>
          <w:rFonts w:ascii="Helvetica" w:cs="Helvetica" w:eastAsia="Times New Roman" w:hAnsi="Helvetica"/>
          <w:color w:val="333333"/>
          <w:sz w:val="23"/>
          <w:szCs w:val="23"/>
        </w:rPr>
        <w:t>fueled by a super-dataset</w:t>
      </w:r>
      <w:r>
        <w:rPr>
          <w:rFonts w:ascii="Helvetica" w:cs="Helvetica" w:eastAsia="Times New Roman" w:hAnsi="Helvetica"/>
          <w:color w:val="333333"/>
          <w:sz w:val="23"/>
          <w:szCs w:val="23"/>
        </w:rPr>
        <w:t xml:space="preserve"> the number of datasets on various government data portals]</w:t>
      </w:r>
    </w:p>
    <w:p>
      <w:pPr>
        <w:pStyle w:val="style0"/>
        <w:spacing w:after="225" w:before="225" w:line="375" w:lineRule="atLeast"/>
        <w:ind w:hanging="0" w:left="-720" w:right="0"/>
        <w:contextualSpacing w:val="false"/>
        <w:rPr/>
      </w:pPr>
      <w:r>
        <w:rPr/>
        <w:drawing>
          <wp:inline distB="0" distL="0" distR="0" distT="0">
            <wp:extent cx="6858000" cy="3429000"/>
            <wp:effectExtent b="0" l="0" r="0" t="0"/>
            <wp:docPr descr="What licenses do datasets have?"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hat licenses do datasets have?" id="2" name="Picture"/>
                    <pic:cNvPicPr>
                      <a:picLocks noChangeArrowheads="1" noChangeAspect="1"/>
                    </pic:cNvPicPr>
                  </pic:nvPicPr>
                  <pic:blipFill>
                    <a:blip r:embed="rId11"/>
                    <a:srcRect/>
                    <a:stretch>
                      <a:fillRect/>
                    </a:stretch>
                  </pic:blipFill>
                  <pic:spPr bwMode="auto">
                    <a:xfrm>
                      <a:off x="0" y="0"/>
                      <a:ext cx="6858000" cy="3429000"/>
                    </a:xfrm>
                    <a:prstGeom prst="rect">
                      <a:avLst/>
                    </a:prstGeom>
                    <a:noFill/>
                    <a:ln w="9525">
                      <a:noFill/>
                      <a:miter lim="800000"/>
                      <a:headEnd/>
                      <a:tailEnd/>
                    </a:ln>
                  </pic:spPr>
                </pic:pic>
              </a:graphicData>
            </a:graphic>
          </wp:inline>
        </w:drawing>
      </w:r>
    </w:p>
    <w:p>
      <w:pPr>
        <w:pStyle w:val="style0"/>
        <w:spacing w:after="225" w:before="225" w:line="375" w:lineRule="atLeast"/>
        <w:ind w:hanging="0" w:left="-720" w:right="0"/>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This graph, fueled by a super-dataset, reveals </w:t>
      </w:r>
      <w:r>
        <w:rPr>
          <w:rFonts w:ascii="Helvetica" w:cs="Helvetica" w:eastAsia="Times New Roman" w:hAnsi="Helvetica"/>
          <w:color w:val="333333"/>
          <w:sz w:val="23"/>
          <w:szCs w:val="23"/>
        </w:rPr>
        <w:t>some preference by data publishers for public domain dedications, though most datasets had no license all</w:t>
      </w:r>
      <w:r>
        <w:rPr>
          <w:rFonts w:ascii="Helvetica" w:cs="Helvetica" w:eastAsia="Times New Roman" w:hAnsi="Helvetica"/>
          <w:color w:val="333333"/>
          <w:sz w:val="23"/>
          <w:szCs w:val="23"/>
        </w:rPr>
        <w:t>.]</w:t>
      </w:r>
    </w:p>
    <w:p>
      <w:pPr>
        <w:pStyle w:val="style0"/>
        <w:spacing w:after="225" w:before="225" w:line="375" w:lineRule="atLeast"/>
        <w:contextualSpacing w:val="false"/>
        <w:rPr/>
      </w:pPr>
      <w:r>
        <w:rPr/>
        <w:drawing>
          <wp:inline distB="0" distL="0" distR="0" distT="0">
            <wp:extent cx="5943600" cy="5943600"/>
            <wp:effectExtent b="0" l="0" r="0" t="0"/>
            <wp:docPr descr="Traffic surveys"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raffic surveys" id="3" name="Picture"/>
                    <pic:cNvPicPr>
                      <a:picLocks noChangeArrowheads="1" noChangeAspect="1"/>
                    </pic:cNvPicPr>
                  </pic:nvPicPr>
                  <pic:blipFill>
                    <a:blip r:embed="rId12"/>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w:t>
      </w:r>
      <w:r>
        <w:rPr>
          <w:rFonts w:ascii="Helvetica" w:cs="Helvetica" w:eastAsia="Times New Roman" w:hAnsi="Helvetica"/>
          <w:color w:val="333333"/>
          <w:sz w:val="23"/>
          <w:szCs w:val="23"/>
        </w:rPr>
        <w:t>By looking at datasets and their metadata, you can find similar datasets</w:t>
      </w:r>
      <w:r>
        <w:rPr>
          <w:rFonts w:ascii="Helvetica" w:cs="Helvetica" w:eastAsia="Times New Roman" w:hAnsi="Helvetica"/>
          <w:color w:val="333333"/>
          <w:sz w:val="23"/>
          <w:szCs w:val="23"/>
        </w:rPr>
        <w:t>.</w:t>
      </w:r>
      <w:r>
        <w:rPr>
          <w:rFonts w:ascii="Helvetica" w:cs="Helvetica" w:eastAsia="Times New Roman" w:hAnsi="Helvetica"/>
          <w:color w:val="333333"/>
          <w:sz w:val="23"/>
          <w:szCs w:val="23"/>
        </w:rPr>
        <w:t>]</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bookmarkStart w:id="2" w:name="metadata-as-data"/>
      <w:bookmarkEnd w:id="2"/>
      <w:r>
        <w:rPr>
          <w:rFonts w:ascii="Helvetica" w:cs="Helvetica" w:eastAsia="Times New Roman" w:hAnsi="Helvetica"/>
          <w:b/>
          <w:bCs/>
          <w:color w:val="333333"/>
          <w:sz w:val="48"/>
          <w:szCs w:val="48"/>
        </w:rPr>
        <w:t>Metadata as Data</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Even though the word "metadata" contains the word "data," people don’t typically think of metadata as something to analyze. </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Metadata is often invisible. If we can see it, it might just look like background information about web pages and their contents. For example, Socrata’s open data platform displays metadata about each dataset, such as community rating, number of visits, number of downloads, etc.</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When you use metadata to populate records in a super-dataset, that metadata becomes data that we can see, analyze, and learn from.</w:t>
      </w:r>
    </w:p>
    <w:p>
      <w:pPr>
        <w:pStyle w:val="style0"/>
        <w:spacing w:after="225" w:before="225" w:line="375" w:lineRule="atLeast"/>
        <w:contextualSpacing w:val="false"/>
        <w:rPr/>
      </w:pPr>
      <w:r>
        <w:rPr/>
        <w:drawing>
          <wp:inline distB="0" distL="0" distR="0" distT="0">
            <wp:extent cx="5943600" cy="3145790"/>
            <wp:effectExtent b="0" l="0" r="0" t="0"/>
            <wp:docPr descr="Metadata in a spreadsheet"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etadata in a spreadsheet" id="4" name="Picture"/>
                    <pic:cNvPicPr>
                      <a:picLocks noChangeArrowheads="1" noChangeAspect="1"/>
                    </pic:cNvPicPr>
                  </pic:nvPicPr>
                  <pic:blipFill>
                    <a:blip r:embed="rId13"/>
                    <a:srcRect/>
                    <a:stretch>
                      <a:fillRect/>
                    </a:stretch>
                  </pic:blipFill>
                  <pic:spPr bwMode="auto">
                    <a:xfrm>
                      <a:off x="0" y="0"/>
                      <a:ext cx="5943600" cy="314579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Metadata from Socrata’s platform converted into </w:t>
      </w:r>
      <w:r>
        <w:rPr>
          <w:rFonts w:ascii="Helvetica" w:cs="Helvetica" w:eastAsia="Times New Roman" w:hAnsi="Helvetica"/>
          <w:color w:val="333333"/>
          <w:sz w:val="23"/>
          <w:szCs w:val="23"/>
        </w:rPr>
        <w:t xml:space="preserve">a </w:t>
      </w:r>
      <w:r>
        <w:rPr>
          <w:rFonts w:ascii="Helvetica" w:cs="Helvetica" w:eastAsia="Times New Roman" w:hAnsi="Helvetica"/>
          <w:color w:val="333333"/>
          <w:sz w:val="23"/>
          <w:szCs w:val="23"/>
        </w:rPr>
        <w:t>super-dataset.]</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bookmarkStart w:id="3" w:name="why-this-matters"/>
      <w:bookmarkEnd w:id="3"/>
      <w:r>
        <w:rPr>
          <w:rFonts w:ascii="Helvetica" w:cs="Helvetica" w:eastAsia="Times New Roman" w:hAnsi="Helvetica"/>
          <w:b/>
          <w:bCs/>
          <w:color w:val="333333"/>
          <w:sz w:val="48"/>
          <w:szCs w:val="48"/>
        </w:rPr>
        <w:t>Why This Matters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There are numerous case studies, by organizations such as </w:t>
      </w:r>
      <w:hyperlink r:id="rId14">
        <w:r>
          <w:rPr>
            <w:rStyle w:val="style17"/>
            <w:rFonts w:ascii="Helvetica" w:cs="Helvetica" w:eastAsia="Times New Roman" w:hAnsi="Helvetica"/>
            <w:color w:val="4183C4"/>
            <w:sz w:val="23"/>
            <w:szCs w:val="23"/>
            <w:u w:val="single"/>
          </w:rPr>
          <w:t>Code for America</w:t>
        </w:r>
      </w:hyperlink>
      <w:r>
        <w:rPr>
          <w:rFonts w:ascii="Helvetica" w:cs="Helvetica" w:eastAsia="Times New Roman" w:hAnsi="Helvetica"/>
          <w:color w:val="333333"/>
          <w:sz w:val="23"/>
          <w:szCs w:val="23"/>
        </w:rPr>
        <w:t xml:space="preserve">, </w:t>
      </w:r>
      <w:hyperlink r:id="rId15">
        <w:r>
          <w:rPr>
            <w:rStyle w:val="style17"/>
            <w:rFonts w:ascii="Helvetica" w:cs="Helvetica" w:eastAsia="Times New Roman" w:hAnsi="Helvetica"/>
            <w:color w:val="4183C4"/>
            <w:sz w:val="23"/>
            <w:szCs w:val="23"/>
            <w:u w:val="single"/>
          </w:rPr>
          <w:t>CKAN</w:t>
        </w:r>
      </w:hyperlink>
      <w:r>
        <w:rPr>
          <w:rFonts w:ascii="Helvetica" w:cs="Helvetica" w:eastAsia="Times New Roman" w:hAnsi="Helvetica"/>
          <w:color w:val="333333"/>
          <w:sz w:val="23"/>
          <w:szCs w:val="23"/>
        </w:rPr>
        <w:t>, </w:t>
      </w:r>
      <w:hyperlink r:id="rId16">
        <w:r>
          <w:rPr>
            <w:rStyle w:val="style17"/>
            <w:rFonts w:ascii="Helvetica" w:cs="Helvetica" w:eastAsia="Times New Roman" w:hAnsi="Helvetica"/>
            <w:color w:val="4183C4"/>
            <w:sz w:val="23"/>
            <w:szCs w:val="23"/>
            <w:u w:val="single"/>
          </w:rPr>
          <w:t>Open Data Institute</w:t>
        </w:r>
      </w:hyperlink>
      <w:r>
        <w:rPr>
          <w:rFonts w:ascii="Helvetica" w:cs="Helvetica" w:eastAsia="Times New Roman" w:hAnsi="Helvetica"/>
          <w:color w:val="333333"/>
          <w:sz w:val="23"/>
          <w:szCs w:val="23"/>
        </w:rPr>
        <w:t>, about how to open up government data, but these are based strongly on personal experiences, not precise, quantitative statistics. There is </w:t>
      </w:r>
      <w:hyperlink r:id="rId17">
        <w:r>
          <w:rPr>
            <w:rStyle w:val="style17"/>
            <w:rFonts w:ascii="Helvetica" w:cs="Helvetica" w:eastAsia="Times New Roman" w:hAnsi="Helvetica"/>
            <w:color w:val="4183C4"/>
            <w:sz w:val="23"/>
            <w:szCs w:val="23"/>
            <w:u w:val="single"/>
          </w:rPr>
          <w:t>comparatively little</w:t>
        </w:r>
      </w:hyperlink>
      <w:r>
        <w:rPr>
          <w:rFonts w:ascii="Helvetica" w:cs="Helvetica" w:eastAsia="Times New Roman" w:hAnsi="Helvetica"/>
          <w:color w:val="333333"/>
          <w:sz w:val="23"/>
          <w:szCs w:val="23"/>
        </w:rPr>
        <w:t> work that uses data to produce guidelines or best practices for the opening of data.</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Open data experts often talk about making use of open data and building products from it, but a super-dataset accomplishes something different. It reveals information about how people publish and use open data. It paints the bigger picture of what's going on, what's working, and what isn't.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Imagine what we can do with this data-backed understanding of our open data! We can find out what has been done before and what has worked, allowing open data publishers plan their releases more strategically. We can measure release strategies against solid, quantitative statistics to make sure that they are achieving our goals. We can even use these findings to build products that people interact with open data. These are just some of the possibilities that emerge when we think of data catalogs as a datasets of datasets.</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Lucida Grande">
    <w:charset w:val="01"/>
    <w:family w:val="roman"/>
    <w:pitch w:val="variable"/>
  </w:font>
  <w:font w:name="Nimbus Sans L">
    <w:altName w:val="Arial"/>
    <w:charset w:val="01"/>
    <w:family w:val="swiss"/>
    <w:pitch w:val="variable"/>
  </w:font>
  <w:font w:name="Helvetica">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9" w:lineRule="auto"/>
      <w:contextualSpacing w:val="false"/>
    </w:pPr>
    <w:rPr>
      <w:rFonts w:ascii="Calibri" w:cs="" w:eastAsia="DejaVu Sans" w:hAnsi="Calibri"/>
      <w:color w:val="00000A"/>
      <w:sz w:val="22"/>
      <w:szCs w:val="22"/>
      <w:lang w:bidi="ar-SA" w:eastAsia="en-US" w:val="en-US"/>
    </w:rPr>
  </w:style>
  <w:style w:styleId="style2" w:type="paragraph">
    <w:name w:val="Heading 2"/>
    <w:basedOn w:val="style0"/>
    <w:next w:val="style2"/>
    <w:pPr>
      <w:spacing w:after="28" w:before="28" w:line="100" w:lineRule="atLeast"/>
      <w:contextualSpacing w:val="false"/>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Internet Link"/>
    <w:basedOn w:val="style15"/>
    <w:next w:val="style17"/>
    <w:rPr>
      <w:color w:val="0000FF"/>
      <w:u w:val="single"/>
      <w:lang w:bidi="zxx-" w:eastAsia="zxx-" w:val="zxx-"/>
    </w:rPr>
  </w:style>
  <w:style w:styleId="style18" w:type="character">
    <w:name w:val="apple-converted-space"/>
    <w:basedOn w:val="style15"/>
    <w:next w:val="style18"/>
    <w:rPr/>
  </w:style>
  <w:style w:styleId="style19" w:type="character">
    <w:name w:val="HTML Preformatted Char"/>
    <w:basedOn w:val="style15"/>
    <w:next w:val="style19"/>
    <w:rPr>
      <w:rFonts w:ascii="Courier New" w:cs="Courier New" w:eastAsia="Times New Roman" w:hAnsi="Courier New"/>
      <w:sz w:val="20"/>
      <w:szCs w:val="20"/>
    </w:rPr>
  </w:style>
  <w:style w:styleId="style20" w:type="character">
    <w:name w:val="HTML Code"/>
    <w:basedOn w:val="style15"/>
    <w:next w:val="style20"/>
    <w:rPr>
      <w:rFonts w:ascii="Courier New" w:cs="Courier New" w:eastAsia="Times New Roman" w:hAnsi="Courier New"/>
      <w:sz w:val="20"/>
      <w:szCs w:val="20"/>
    </w:rPr>
  </w:style>
  <w:style w:styleId="style21" w:type="character">
    <w:name w:val="Title Char"/>
    <w:basedOn w:val="style15"/>
    <w:next w:val="style21"/>
    <w:rPr>
      <w:rFonts w:ascii="Calibri Light" w:cs="" w:hAnsi="Calibri Light"/>
      <w:spacing w:val="-10"/>
      <w:sz w:val="56"/>
      <w:szCs w:val="56"/>
    </w:rPr>
  </w:style>
  <w:style w:styleId="style22" w:type="character">
    <w:name w:val="Balloon Text Char"/>
    <w:basedOn w:val="style15"/>
    <w:next w:val="style22"/>
    <w:rPr>
      <w:rFonts w:ascii="Lucida Grande" w:cs="Lucida Grande" w:hAnsi="Lucida Grande"/>
      <w:sz w:val="18"/>
      <w:szCs w:val="18"/>
    </w:rPr>
  </w:style>
  <w:style w:styleId="style23" w:type="character">
    <w:name w:val="annotation reference"/>
    <w:basedOn w:val="style15"/>
    <w:next w:val="style23"/>
    <w:rPr>
      <w:sz w:val="18"/>
      <w:szCs w:val="18"/>
    </w:rPr>
  </w:style>
  <w:style w:styleId="style24" w:type="character">
    <w:name w:val="Comment Text Char"/>
    <w:basedOn w:val="style15"/>
    <w:next w:val="style24"/>
    <w:rPr>
      <w:sz w:val="24"/>
      <w:szCs w:val="24"/>
    </w:rPr>
  </w:style>
  <w:style w:styleId="style25" w:type="character">
    <w:name w:val="Comment Subject Char"/>
    <w:basedOn w:val="style24"/>
    <w:next w:val="style25"/>
    <w:rPr>
      <w:b/>
      <w:bCs/>
      <w:sz w:val="20"/>
      <w:szCs w:val="20"/>
    </w:rPr>
  </w:style>
  <w:style w:styleId="style26" w:type="paragraph">
    <w:name w:val="Heading"/>
    <w:basedOn w:val="style0"/>
    <w:next w:val="style27"/>
    <w:pPr>
      <w:keepNext/>
      <w:spacing w:after="120" w:before="240"/>
      <w:contextualSpacing w:val="false"/>
    </w:pPr>
    <w:rPr>
      <w:rFonts w:ascii="Nimbus Sans L" w:cs="FreeSans" w:eastAsia="DejaVu Sans" w:hAnsi="Nimbus Sans 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FreeSans"/>
    </w:rPr>
  </w:style>
  <w:style w:styleId="style29" w:type="paragraph">
    <w:name w:val="Caption"/>
    <w:basedOn w:val="style0"/>
    <w:next w:val="style29"/>
    <w:pPr>
      <w:suppressLineNumbers/>
      <w:spacing w:after="120" w:before="120"/>
      <w:contextualSpacing w:val="false"/>
    </w:pPr>
    <w:rPr>
      <w:rFonts w:cs="FreeSans"/>
      <w:i/>
      <w:iCs/>
      <w:sz w:val="24"/>
      <w:szCs w:val="24"/>
    </w:rPr>
  </w:style>
  <w:style w:styleId="style30" w:type="paragraph">
    <w:name w:val="Index"/>
    <w:basedOn w:val="style0"/>
    <w:next w:val="style30"/>
    <w:pPr>
      <w:suppressLineNumbers/>
    </w:pPr>
    <w:rPr>
      <w:rFonts w:cs="FreeSans"/>
    </w:rPr>
  </w:style>
  <w:style w:styleId="style31" w:type="paragraph">
    <w:name w:val="Normal (Web)"/>
    <w:basedOn w:val="style0"/>
    <w:next w:val="style31"/>
    <w:pPr>
      <w:spacing w:after="28" w:before="28" w:line="100" w:lineRule="atLeast"/>
      <w:contextualSpacing w:val="false"/>
    </w:pPr>
    <w:rPr>
      <w:rFonts w:ascii="Times New Roman" w:cs="Times New Roman" w:eastAsia="Times New Roman" w:hAnsi="Times New Roman"/>
      <w:sz w:val="24"/>
      <w:szCs w:val="24"/>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3" w:type="paragraph">
    <w:name w:val="Title"/>
    <w:basedOn w:val="style0"/>
    <w:next w:val="style33"/>
    <w:pPr>
      <w:spacing w:after="0" w:before="0" w:line="100" w:lineRule="atLeast"/>
      <w:contextualSpacing/>
      <w:jc w:val="left"/>
    </w:pPr>
    <w:rPr>
      <w:rFonts w:ascii="Calibri Light" w:cs="" w:hAnsi="Calibri Light"/>
      <w:spacing w:val="-10"/>
      <w:sz w:val="56"/>
      <w:szCs w:val="56"/>
    </w:rPr>
  </w:style>
  <w:style w:styleId="style34" w:type="paragraph">
    <w:name w:val="Balloon Text"/>
    <w:basedOn w:val="style0"/>
    <w:next w:val="style34"/>
    <w:pPr>
      <w:spacing w:after="0" w:before="0" w:line="100" w:lineRule="atLeast"/>
      <w:contextualSpacing w:val="false"/>
    </w:pPr>
    <w:rPr>
      <w:rFonts w:ascii="Lucida Grande" w:cs="Lucida Grande" w:hAnsi="Lucida Grande"/>
      <w:sz w:val="18"/>
      <w:szCs w:val="18"/>
    </w:rPr>
  </w:style>
  <w:style w:styleId="style35" w:type="paragraph">
    <w:name w:val="annotation text"/>
    <w:basedOn w:val="style0"/>
    <w:next w:val="style35"/>
    <w:pPr>
      <w:spacing w:line="100" w:lineRule="atLeast"/>
    </w:pPr>
    <w:rPr>
      <w:sz w:val="24"/>
      <w:szCs w:val="24"/>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akind.org/blog/whats-in-a-table/" TargetMode="External"/><Relationship Id="rId3" Type="http://schemas.openxmlformats.org/officeDocument/2006/relationships/image" Target="media/image6.jpeg"/><Relationship Id="rId4" Type="http://schemas.openxmlformats.org/officeDocument/2006/relationships/hyperlink" Target="https://data.mo.gov/views/mahp-izvx.json" TargetMode="External"/><Relationship Id="rId5" Type="http://schemas.openxmlformats.org/officeDocument/2006/relationships/hyperlink" Target="https://data.mo.gov/Government-Administration/Open-Meetings-Calendar/mahp-izvx" TargetMode="External"/><Relationship Id="rId6" Type="http://schemas.openxmlformats.org/officeDocument/2006/relationships/hyperlink" Target="http://thomaslevine.com/!/socrata-deduplicate/" TargetMode="External"/><Relationship Id="rId7" Type="http://schemas.openxmlformats.org/officeDocument/2006/relationships/hyperlink" Target="http://www.chriswhong.com/nycopendata/" TargetMode="External"/><Relationship Id="rId8" Type="http://schemas.openxmlformats.org/officeDocument/2006/relationships/hyperlink" Target="http://thomaslevine.com/!/open-data-licensing" TargetMode="External"/><Relationship Id="rId9" Type="http://schemas.openxmlformats.org/officeDocument/2006/relationships/hyperlink" Target="http://thomaslevine.com/!/missouri-data-licensing/"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beyondtransparency.org/" TargetMode="External"/><Relationship Id="rId15" Type="http://schemas.openxmlformats.org/officeDocument/2006/relationships/hyperlink" Target="http://ckan.org/case-studies/" TargetMode="External"/><Relationship Id="rId16" Type="http://schemas.openxmlformats.org/officeDocument/2006/relationships/hyperlink" Target="http://theodi.org/case-studies" TargetMode="External"/><Relationship Id="rId17" Type="http://schemas.openxmlformats.org/officeDocument/2006/relationships/hyperlink" Target="http://thomaslevine.com/open-data"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LibreOffice/4.1.1.2$Linux_X86_64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2013-12-08T18:52:00Z</dcterms:created>
  <dc:creator>Patrick Hasseries</dc:creator>
  <cp:lastModifiedBy>Bridget Quigg</cp:lastModifiedBy>
  <dcterms:modified xsi:type="dcterms:W3CDTF">2013-12-08T18:52:00Z</dcterms:modified>
  <cp:revision>2</cp:revision>
</cp:coreProperties>
</file>