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9.4.280 – Manage External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9.4.300 – Manage Architect/Engineer Communications;</w:t>
      </w:r>
    </w:p>
    <w:p>
      <w:pPr>
        <w:keepLines/>
        <w:keepNext/>
      </w:pPr>
      <w:r>
        <w:t>9.4.305 – Manage Regulatory/Authority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guidelines for all communications with clients, owners, architects, engineers, subcontractors, and vendors.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Field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9.4.280 – Manage External Communications.docx</ns1:SOPFileName>
    <ns1:Description>Manage External Communications</ns1:Description>
    <ns1:RelatedSOPs xsi:nil="true"/>
    <ns1:SOPID>9.4.280</ns1:SOPID>
    <ns1:FileLink>
      <ns1:Url xsi:nil="true"/>
      <ns1:Description xsi:nil="true"/>
    </ns1:FileLink>
    <ns1:Appendix_x003a_ xsi:nil="true"/>
    <ns1:Tags_x002f_Keywords xsi:nil="true"/>
    <ns1:Department_x002f_Division xsi:nil="true"/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9.4.280 – Manage External Communications</dc:title>
  <dc:subject/>
  <dc:creator>Tom Ewing</dc:creator>
  <ns0:keywords>9.4.280, , Team Selection</ns0:keywords>
  <dc:description>To establish guidelines for all communications with clients, owners, architects, engineers, subcontractors, and vendors.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