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9.4.285 – Manage Client Owner Communications</w:t>
      </w:r>
    </w:p>
    <w:p>
      <w:pPr>
        <w:keepNext/>
      </w:pPr>
      <w:r>
        <w:rPr>
          <w:b/>
        </w:rPr>
        <w:t>Department:</w:t>
      </w:r>
      <w:r>
        <w:t xml:space="preserve"> Project Management / Operations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9.4.030 – Conduct Client/Owner Meetings;</w:t>
      </w:r>
    </w:p>
    <w:p>
      <w:pPr>
        <w:keepLines/>
        <w:keepNext/>
      </w:pPr>
      <w:r>
        <w:t>9.4.270 – Manage Project Communications;</w:t>
      </w:r>
    </w:p>
    <w:p>
      <w:pPr>
        <w:keepLines/>
        <w:keepNext/>
      </w:pPr>
      <w:r>
        <w:t>9.4.275 – Manage Internal Communications;</w:t>
      </w:r>
    </w:p>
    <w:p>
      <w:pPr>
        <w:keepLines/>
        <w:keepNext/>
      </w:pPr>
      <w:r>
        <w:t>9.4.280 – Manage External Communications;</w:t>
      </w:r>
    </w:p>
    <w:p>
      <w:pPr>
        <w:keepLines/>
        <w:keepNext/>
      </w:pPr>
      <w:r>
        <w:t>9.4.290 – Manage Subcontractor Communications;</w:t>
      </w:r>
    </w:p>
    <w:p>
      <w:pPr>
        <w:keepLines/>
        <w:keepNext/>
      </w:pPr>
      <w:r>
        <w:t>9.4.295 – Manage Vendor Supplier Communications;</w:t>
      </w:r>
    </w:p>
    <w:p>
      <w:pPr>
        <w:keepLines/>
        <w:keepNext/>
      </w:pPr>
      <w:r>
        <w:t>9.4.300 – Manage Architect/Engineer Communications;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guidelines for consistent and professional communications with the client/owner, ensuring contractual obligations, updates, and issues are clearly documented.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Branch Managers, and Site Administrators.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9.4.285 – Manage Client Owner Communications.docx</ns1:SOPFileName>
    <ns1:Description>Manage Client Owner Communications</ns1:Description>
    <ns1:RelatedSOPs xsi:nil="true"/>
    <ns1:SOPID>9.4.285</ns1:SOPID>
    <ns1:FileLink>
      <ns1:Url xsi:nil="true"/>
      <ns1:Description xsi:nil="true"/>
    </ns1:FileLink>
    <ns1:Appendix_x003a_ xsi:nil="true"/>
    <ns1:Tags_x002f_Keywords xsi:nil="true"/>
    <ns1:Department_x002f_Division xsi:nil="true"/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9.4.285 – Manage Client Owner Communications</dc:title>
  <dc:subject/>
  <dc:creator>Tom Ewing</dc:creator>
  <ns0:keywords>9.4.285, , Team Selection</ns0:keywords>
  <dc:description>To establish guidelines for consistent and professional communications with the client/owner, ensuring contractual obligations, updates, and issues are clearly documented.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