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9.4.325 – Monitor Schedule Performance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9.4.330 – Develop Schedule Recovery Plans;</w:t>
      </w:r>
    </w:p>
    <w:p>
      <w:pPr>
        <w:keepLines/>
        <w:keepNext/>
      </w:pPr>
      <w:r>
        <w:t>9.4.335 – Prepare Lookahead Schedules;</w:t>
      </w:r>
    </w:p>
    <w:p>
      <w:pPr>
        <w:keepLines/>
        <w:keepNext/>
      </w:pPr>
      <w:r>
        <w:t>9.4.340 – Manage Resource-Loaded Schedules;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monitor schedule performance by comparing baseline, updated schedules, and actual field progress to identify variances and risks.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9.4.325 – Monitor Schedule Performance.docx</ns1:SOPFileName>
    <ns1:Description>Monitor Schedule Performance</ns1:Description>
    <ns1:RelatedSOPs xsi:nil="true"/>
    <ns1:SOPID>9.4.325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9.4.325 – Monitor Schedule Performance</dc:title>
  <dc:subject>Project Management / Scheduling Created by: Tom Ewing Effective Date: [Insert Date] Version: 1.0</dc:subject>
  <dc:creator>Tom Ewing</dc:creator>
  <ns0:keywords>9.4.325, Project Management / Scheduling Created by: Tom Ewing Effective Date: [Insert Date] Version: 1.0, Team Selection</ns0:keywords>
  <dc:description>To monitor schedule performance by comparing baseline, updated schedules, and actual field progress to identify variances and risks.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