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9.4.365 – Manage Potential Change Orders (PCOs)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9.4.355 – Manage Project Scope;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9.4.370 – Manage Owner Directives;</w:t>
      </w:r>
    </w:p>
    <w:p>
      <w:pPr>
        <w:keepLines/>
        <w:keepNext/>
      </w:pPr>
      <w:r>
        <w:t>9.4.375 – Manage Scope Clarifications;</w:t>
      </w:r>
    </w:p>
    <w:p>
      <w:pPr>
        <w:keepLines/>
        <w:keepNext/>
      </w:pPr>
      <w:r>
        <w:t>9.4.380 – Manage Backcharges;</w:t>
      </w:r>
    </w:p>
    <w:p>
      <w:pPr>
        <w:keepLines/>
        <w:keepNext/>
      </w:pPr>
      <w:r>
        <w:t>9.4.385 – Manage Force Account Work;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identify, log, and track potential change orders (PCOs) before they become formal change orders, allowing proactive risk management.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9.4.365 – Manage Potential Change Orders (PCOs).docx</ns1:SOPFileName>
    <ns1:Description>Manage Potential Change Orders (PCOs)</ns1:Description>
    <ns1:RelatedSOPs xsi:nil="true"/>
    <ns1:SOPID>9.4.365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9.4.365 – Manage Potential Change Orders (PCOs)</dc:title>
  <dc:subject>Project Management / Contract Administration Created by: Tom Ewing Effective Date: [Insert Date] Version: 1.0</dc:subject>
  <dc:creator>Tom Ewing</dc:creator>
  <ns0:keywords>9.4.365, Project Management / Contract Administration Created by: Tom Ewing Effective Date: [Insert Date] Version: 1.0, Team Selection</ns0:keywords>
  <dc:description>To identify, log, and track potential change orders (PCOs) before they become formal change orders, allowing proactive risk management.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