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9.4.380 – Manage Backcharges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9.4.355 – Manage Project Scope;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9.4.370 – Manage Owner Directives;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document, track, and process backcharges applied to subcontractors or vendors for work not performed, damaged, or corrected by GSL.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9.4.380 – Manage Backcharges.docx</ns1:SOPFileName>
    <ns1:Description>Manage Backcharges</ns1:Description>
    <ns1:RelatedSOPs xsi:nil="true"/>
    <ns1:SOPID>9.4.380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9.4.380 – Manage Backcharges</dc:title>
  <dc:subject>Project Management / Contract Administration / Accounting Created by: Tom Ewing Effective Date: [Insert Date] Version: 1.0</dc:subject>
  <dc:creator>Tom Ewing</dc:creator>
  <ns0:keywords>9.4.380, Project Management / Contract Administration / Accounting Created by: Tom Ewing Effective Date: [Insert Date] Version: 1.0, Team Selection</ns0:keywords>
  <dc:description>To document, track, and process backcharges applied to subcontractors or vendors for work not performed, damaged, or corrected by GSL.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