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9.4.435 – Manage Cost to Complete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9.2.090 – Develop Labor Budget;</w:t>
      </w:r>
    </w:p>
    <w:p>
      <w:pPr>
        <w:keepLines/>
        <w:keepNext/>
      </w:pPr>
      <w:r>
        <w:t>9.2.140 – Develop Project Budget;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9.4.425 – Manage Job Cost Reports;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calculate and monitor cost-to-complete (CTC) values, ensuring accurate forecasting of final project costs and profitability.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9.4.435 – Manage Cost to Complete.docx</ns1:SOPFileName>
    <ns1:Description>Manage Cost to Complete</ns1:Description>
    <ns1:RelatedSOPs xsi:nil="true"/>
    <ns1:SOPID>9.4.435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9.4.435 – Manage Cost to Complete</dc:title>
  <dc:subject>Project Management / Accounting Created by: Tom Ewing Effective Date: [Insert Date] Version: 1.0</dc:subject>
  <dc:creator>Tom Ewing</dc:creator>
  <ns0:keywords>9.4.435, Project Management / Accounting Created by: Tom Ewing Effective Date: [Insert Date] Version: 1.0, Team Selection</ns0:keywords>
  <dc:description>To calculate and monitor cost-to-complete (CTC) values, ensuring accurate forecasting of final project costs and profitability.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