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9.4.450 – Track Accounts Receivable</w:t>
      </w:r>
    </w:p>
    <w:p>
      <w:pPr>
        <w:keepNext/>
      </w:pPr>
      <w:r>
        <w:rPr>
          <w:b/>
        </w:rPr>
        <w:t>Department:</w:t>
      </w:r>
      <w:r>
        <w:t xml:space="preserve"> Accounting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9.4.415 – Manage Committed Costs;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track accounts receivable (AR) from submitted invoices and pay applications, ensuring timely collection of payments.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Accounting, Project Managers,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9.4.450 – Track Accounts Receivable.docx</ns1:SOPFileName>
    <ns1:Description>Track Accounts Receivable</ns1:Description>
    <ns1:RelatedSOPs xsi:nil="true"/>
    <ns1:SOPID>9.4.450</ns1:SOPID>
    <ns1:FileLink>
      <ns1:Url xsi:nil="true"/>
      <ns1:Description xsi:nil="true"/>
    </ns1:FileLink>
    <ns1:Appendix_x003a_ xsi:nil="true"/>
    <ns1:Tags_x002f_Keywords xsi:nil="true"/>
    <ns1:Department_x002f_Division>Accounting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9.4.450 – Track Accounts Receivable</dc:title>
  <dc:subject>Accounting / Project Management Created by: Tom Ewing Effective Date: [Insert Date] Version: 1.0</dc:subject>
  <dc:creator>Tom Ewing</dc:creator>
  <ns0:keywords>9.4.450, Accounting / Project Management Created by: Tom Ewing Effective Date: [Insert Date] Version: 1.0, Team Selection</ns0:keywords>
  <dc:description>To track accounts receivable (AR) from submitted invoices and pay applications, ensuring timely collection of payments.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