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9.3.100 - Setup Laydown Area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9.2.080 - Prepare Material Handling Plan</w:t>
      </w:r>
    </w:p>
    <w:p w14:paraId="77EE974B" w14:textId="77777777" w:rsidR="00B7259D" w:rsidRPr="00643BA7" w:rsidRDefault="002458EA" w:rsidP="001D690A">
      <w:pPr>
        <w:keepLines/>
      </w:pPr>
      <w:r>
        <w:t>9.3.020 - Setup Storage Trailer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9.3.030 - Setup Site Fencing and Access Control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setting up material laydown areas at the project site to support material handling and storage.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Material laydown area is required</w:t>
      </w:r>
    </w:p>
    <w:p>
      <w:pPr>
        <w:pStyle w:val="ListParagraph"/>
      </w:pPr>
      <w:r>
        <w:t>Material handling plan has been developed</w:t>
      </w:r>
    </w:p>
    <w:p>
      <w:pPr>
        <w:pStyle w:val="ListParagraph"/>
      </w:pPr>
      <w:r>
        <w:t>Site logistics have been coordinated with GC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