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9.2.020 – Procurement of Large Feeder Wire</w:t>
      </w:r>
    </w:p>
    <w:p>
      <w:r>
        <w:t>Department: Operations / Purchasing</w:t>
      </w:r>
    </w:p>
    <w:p>
      <w:r>
        <w:rPr>
          <w:b/>
        </w:rPr>
        <w:t>Related SOPs:</w:t>
      </w:r>
    </w:p>
    <w:p>
      <w:pPr>
        <w:pStyle w:val="ListBullet"/>
      </w:pPr>
      <w:r>
        <w:t>• 9.2.005 - Review Contract for High Risk Clauses</w:t>
      </w:r>
    </w:p>
    <w:p>
      <w:pPr>
        <w:pStyle w:val="ListBullet"/>
      </w:pPr>
      <w:r>
        <w:t>• 9.2.010 - Team Selection</w:t>
      </w:r>
    </w:p>
    <w:p>
      <w:pPr>
        <w:pStyle w:val="ListBullet"/>
      </w:pPr>
      <w:r>
        <w:t>• 9.2.015 - Project Turnover Meeting</w:t>
      </w:r>
    </w:p>
    <w:p>
      <w:pPr>
        <w:pStyle w:val="ListBullet"/>
      </w:pPr>
      <w:r>
        <w:t>• 9.2.030 - Review Contract for Unfavorable or High-Risk Clauses</w:t>
      </w:r>
    </w:p>
    <w:p>
      <w:pPr>
        <w:pStyle w:val="ListBullet"/>
      </w:pPr>
      <w:r>
        <w:t>• 9.2.060 - Create Issue List and Begin RFI Process</w:t>
      </w:r>
    </w:p>
    <w:p>
      <w:pPr>
        <w:pStyle w:val="ListBullet"/>
      </w:pPr>
      <w:r>
        <w:t>• 9.2.160 - Develop Procurement Plan</w:t>
      </w:r>
    </w:p>
    <w:p>
      <w:pPr>
        <w:pStyle w:val="ListBullet"/>
      </w:pPr>
      <w:r>
        <w:t>• 9.4.055 - Procurement of Large Feeder Wire</w:t>
      </w:r>
    </w:p>
    <w:p>
      <w:pPr>
        <w:pStyle w:val="ListBullet"/>
      </w:pPr>
      <w:r>
        <w:t>• 9.4.631 - Release of Large Feeder Wire</w:t>
      </w:r>
    </w:p>
    <w:p/>
    <w:p>
      <w:r>
        <w:rPr>
          <w:b/>
          <w:sz w:val="26"/>
        </w:rPr>
        <w:t>Purpose</w:t>
      </w:r>
    </w:p>
    <w:p>
      <w:r>
        <w:t>To define the standardized process for the planning, procurement, and delivery of large feeder wire to ensure that project cost, schedule, and quality targets are achieved in accordance with GSL Electric's Management Directives.</w:t>
      </w:r>
    </w:p>
    <w:p/>
    <w:p>
      <w:r>
        <w:rPr>
          <w:b/>
          <w:sz w:val="26"/>
        </w:rPr>
        <w:t>Scope</w:t>
      </w:r>
    </w:p>
    <w:p>
      <w:r>
        <w:t>This SOP applies to Project Managers, Foremen, Purchasing Department personnel, and any other staff involved in the planning and acquisition of electrical feeder wire for GSL projects. It is triggered upon Notice of Award or Letter of Intent.</w:t>
      </w:r>
    </w:p>
    <w:p/>
    <w:p>
      <w:r>
        <w:rPr>
          <w:b/>
          <w:sz w:val="26"/>
        </w:rPr>
        <w:t>Roles &amp; Responsibilities</w:t>
      </w:r>
    </w:p>
    <w:p>
      <w:r>
        <w:rPr>
          <w:b/>
        </w:rPr>
        <w:t xml:space="preserve">Project Manager (PM): </w:t>
      </w:r>
      <w:r>
        <w:t>Leads pre-planning, prepares bill of materials, issues PO, coordinates vendor engagement, and monitors delivery.</w:t>
      </w:r>
    </w:p>
    <w:p>
      <w:r>
        <w:rPr>
          <w:b/>
        </w:rPr>
        <w:t xml:space="preserve">Foreman / Field Leadership: </w:t>
      </w:r>
      <w:r>
        <w:t>Supports material take-off and validates wire requirements based on field conditions.</w:t>
      </w:r>
    </w:p>
    <w:p>
      <w:r>
        <w:rPr>
          <w:b/>
        </w:rPr>
        <w:t xml:space="preserve">Purchasing / Buyer: </w:t>
      </w:r>
      <w:r>
        <w:t>Assists in issuing PO, ensures compliance with terms, logs PO in tracking system.</w:t>
      </w:r>
    </w:p>
    <w:p/>
    <w:p>
      <w:r>
        <w:rPr>
          <w:b/>
          <w:sz w:val="26"/>
        </w:rPr>
        <w:t>Requirements</w:t>
      </w:r>
    </w:p>
    <w:p>
      <w:pPr>
        <w:pStyle w:val="ListBullet"/>
      </w:pPr>
      <w:r>
        <w:t>• Project drawings and staging plans</w:t>
      </w:r>
    </w:p>
    <w:p>
      <w:pPr>
        <w:pStyle w:val="ListBullet"/>
      </w:pPr>
      <w:r>
        <w:t>• Bid estimates and pricing documentation</w:t>
      </w:r>
    </w:p>
    <w:p>
      <w:pPr>
        <w:pStyle w:val="ListBullet"/>
      </w:pPr>
      <w:r>
        <w:t>• Vendor contact list (bid-day pricing sources)</w:t>
      </w:r>
    </w:p>
    <w:p>
      <w:pPr>
        <w:pStyle w:val="ListBullet"/>
      </w:pPr>
      <w:r>
        <w:t>• Bill of Materials (BOM) template</w:t>
      </w:r>
    </w:p>
    <w:p>
      <w:pPr>
        <w:pStyle w:val="ListBullet"/>
      </w:pPr>
      <w:r>
        <w:t>• Conduit/Wire Pull Schedule template</w:t>
      </w:r>
    </w:p>
    <w:p>
      <w:pPr>
        <w:pStyle w:val="ListBullet"/>
      </w:pPr>
      <w:r>
        <w:t>• Purchase Order (PO) template</w:t>
      </w:r>
    </w:p>
    <w:p>
      <w:pPr>
        <w:pStyle w:val="ListBullet"/>
      </w:pPr>
      <w:r>
        <w:t>• Submittal requirements per project specifications</w:t>
      </w:r>
    </w:p>
    <w:p/>
    <w:p>
      <w:r>
        <w:rPr>
          <w:b/>
          <w:sz w:val="26"/>
        </w:rPr>
        <w:t>Procedure</w:t>
      </w:r>
    </w:p>
    <w:p/>
    <w:p>
      <w:r>
        <w:rPr>
          <w:b/>
        </w:rPr>
        <w:t>Step 1: Pre-Planning and Take-Off</w:t>
      </w:r>
    </w:p>
    <w:p>
      <w:pPr>
        <w:pStyle w:val="ListBullet"/>
      </w:pPr>
      <w:r>
        <w:t>• PM and Foreman review project drawings and staging plans.</w:t>
      </w:r>
    </w:p>
    <w:p>
      <w:pPr>
        <w:pStyle w:val="ListBullet"/>
      </w:pPr>
      <w:r>
        <w:t>• Conduct a comprehensive take-off of large feeder wire, incorporating value engineering strategies, routing alternatives (e.g., duct banks, conduit racks), and pre-fabrication opportunities.</w:t>
      </w:r>
    </w:p>
    <w:p>
      <w:pPr>
        <w:pStyle w:val="ListBullet"/>
      </w:pPr>
      <w:r>
        <w:t>• Priority 1: Secure pricing early – order large wire early in the project to minimize pricing risk and ensure wire costs are consistent with bid estimates. Delays in ordering may lead to increased costs due to market volatility or escalation of cost.</w:t>
      </w:r>
    </w:p>
    <w:p>
      <w:pPr>
        <w:pStyle w:val="ListBullet"/>
      </w:pPr>
      <w:r>
        <w:t>• Priority 2: Validate wire lengths – true tape conduit runs to verify wire lengths whenever feasible. If that is not possible, rely on scaled drawings and planned routing. Always document measurement sources and assumptions.</w:t>
      </w:r>
    </w:p>
    <w:p>
      <w:pPr>
        <w:pStyle w:val="ListBullet"/>
      </w:pPr>
      <w:r>
        <w:t>• Preferred Option: Minimize waste through wire put-ups and pull sequence coordination. Coordinate wire cuts based on grouped pulls of the same type and size.</w:t>
      </w:r>
    </w:p>
    <w:p>
      <w:pPr>
        <w:pStyle w:val="ListBullet"/>
      </w:pPr>
      <w:r>
        <w:t>• Prepare a Conduit/Wire Pull Schedule indicating the specific pulls committed to each reel.</w:t>
      </w:r>
    </w:p>
    <w:p>
      <w:pPr>
        <w:pStyle w:val="ListBullet"/>
      </w:pPr>
      <w:r>
        <w:t>• Prepare a Bill of Materials (BOM) detailing all wire types, sizes, estimated lengths, and accessories (e.g., terminations, labeling).</w:t>
      </w:r>
    </w:p>
    <w:p/>
    <w:p>
      <w:r>
        <w:rPr>
          <w:b/>
        </w:rPr>
        <w:t>Step 2: Vendor Engagement</w:t>
      </w:r>
    </w:p>
    <w:p>
      <w:pPr>
        <w:pStyle w:val="ListBullet"/>
      </w:pPr>
      <w:r>
        <w:t>• Contact vendors that supported bid-day pricing.</w:t>
      </w:r>
    </w:p>
    <w:p>
      <w:pPr>
        <w:pStyle w:val="ListBullet"/>
      </w:pPr>
      <w:r>
        <w:t>• Confirm unit pricing, freight terms, sales tax applicability, escalation risks, and put-ups/storage impacts.</w:t>
      </w:r>
    </w:p>
    <w:p>
      <w:pPr>
        <w:pStyle w:val="ListBullet"/>
      </w:pPr>
      <w:r>
        <w:t>• Document pricing duration and availability terms within the PO.</w:t>
      </w:r>
    </w:p>
    <w:p/>
    <w:p>
      <w:r>
        <w:rPr>
          <w:b/>
        </w:rPr>
        <w:t>Step 3: Purchase Order (PO) Creation</w:t>
      </w:r>
    </w:p>
    <w:p>
      <w:pPr>
        <w:pStyle w:val="ListBullet"/>
      </w:pPr>
      <w:r>
        <w:t>• Prepare PO with itemized quantities and specifications, jobsite delivery location and required delivery dates, submittal requirements, freight and tax details.</w:t>
      </w:r>
    </w:p>
    <w:p>
      <w:pPr>
        <w:pStyle w:val="ListBullet"/>
      </w:pPr>
      <w:r>
        <w:t>• Verify that total cost aligns with the project budget.</w:t>
      </w:r>
    </w:p>
    <w:p/>
    <w:p>
      <w:r>
        <w:rPr>
          <w:b/>
        </w:rPr>
        <w:t>Step 4: Submittal Process</w:t>
      </w:r>
    </w:p>
    <w:p>
      <w:pPr>
        <w:pStyle w:val="ListBullet"/>
      </w:pPr>
      <w:r>
        <w:t>• Identify submittal requirements per project specifications.</w:t>
      </w:r>
    </w:p>
    <w:p>
      <w:pPr>
        <w:pStyle w:val="ListBullet"/>
      </w:pPr>
      <w:r>
        <w:t>• Provide vendor with specification section(s) related to wire.</w:t>
      </w:r>
    </w:p>
    <w:p>
      <w:pPr>
        <w:pStyle w:val="ListBullet"/>
      </w:pPr>
      <w:r>
        <w:t>• Do not release materials for manufacture or delivery until submittals are approved.</w:t>
      </w:r>
    </w:p>
    <w:p/>
    <w:p>
      <w:r>
        <w:rPr>
          <w:b/>
        </w:rPr>
        <w:t>Step 5: Delivery and Inventory Control</w:t>
      </w:r>
    </w:p>
    <w:p>
      <w:pPr>
        <w:pStyle w:val="ListBullet"/>
      </w:pPr>
      <w:r>
        <w:t>• Schedule delivery to the designated jobsite Conex or staging area.</w:t>
      </w:r>
    </w:p>
    <w:p>
      <w:pPr>
        <w:pStyle w:val="ListBullet"/>
      </w:pPr>
      <w:r>
        <w:t>• Prefer not to have wire on site until ready to install, to minimize risk of theft.</w:t>
      </w:r>
    </w:p>
    <w:p>
      <w:pPr>
        <w:pStyle w:val="ListBullet"/>
      </w:pPr>
      <w:r>
        <w:t>• Upon receipt, the Foreman must confirm delivery is accurate and complete, material is undamaged, and quantities match the PO.</w:t>
      </w:r>
    </w:p>
    <w:p>
      <w:pPr>
        <w:pStyle w:val="ListBullet"/>
      </w:pPr>
      <w:r>
        <w:t>• Implement tracking to monitor usage.</w:t>
      </w:r>
    </w:p>
    <w:p/>
    <w:p>
      <w:r>
        <w:rPr>
          <w:b/>
        </w:rPr>
        <w:t>Step 6: Change Control</w:t>
      </w:r>
    </w:p>
    <w:p>
      <w:pPr>
        <w:pStyle w:val="ListBullet"/>
      </w:pPr>
      <w:r>
        <w:t>• All deviations (alternate wire specifications or routing changes) must be authorized by the PM.</w:t>
      </w:r>
    </w:p>
    <w:p>
      <w:pPr>
        <w:pStyle w:val="ListBullet"/>
      </w:pPr>
      <w:r>
        <w:t>• If cost or scope is affected, review with the PM.</w:t>
      </w:r>
    </w:p>
    <w:p>
      <w:pPr>
        <w:pStyle w:val="ListBullet"/>
      </w:pPr>
      <w:r>
        <w:t>• Obtain written approval from the contracting party for all changes.</w:t>
      </w:r>
    </w:p>
    <w:p/>
    <w:p>
      <w:r>
        <w:rPr>
          <w:b/>
          <w:sz w:val="26"/>
        </w:rPr>
        <w:t>Appendix</w:t>
      </w:r>
    </w:p>
    <w:p>
      <w:r>
        <w:t>Appendix – References &amp; Training Materials</w:t>
      </w:r>
    </w:p>
    <w:p/>
    <w:p>
      <w:r>
        <w:t>Training Materials (Foreman Training Binder):</w:t>
      </w:r>
    </w:p>
    <w:p>
      <w:r>
        <w:t>• Tab 6: Scheduling</w:t>
      </w:r>
    </w:p>
    <w:p>
      <w:r>
        <w:t>• Tab 8: Change Order Process</w:t>
      </w:r>
    </w:p>
    <w:p>
      <w:r>
        <w:t>• Tab 9: Submittals</w:t>
      </w:r>
    </w:p>
    <w:p>
      <w:r>
        <w:t>• Tab 12: Look Ahead</w:t>
      </w:r>
    </w:p>
    <w:p>
      <w:r>
        <w:t>• Tab 14: Daily Reports</w:t>
      </w:r>
    </w:p>
    <w:p>
      <w:r>
        <w:t>• Tab 22: Document Management</w:t>
      </w:r>
    </w:p>
    <w:p>
      <w:r>
        <w:t>• Tab 41: Material Management &amp; Control</w:t>
      </w:r>
    </w:p>
    <w:p>
      <w:r>
        <w:t>• Tab 57: ProCore</w:t>
      </w:r>
    </w:p>
    <w:p/>
    <w:p>
      <w:r>
        <w:t>Job Descriptions (Policy Manual Section 7):</w:t>
      </w:r>
    </w:p>
    <w:p>
      <w:r>
        <w:t>• 7.2.4 Foreman</w:t>
      </w:r>
    </w:p>
    <w:p>
      <w:r>
        <w:t>• 7.3.1 Operations Management</w:t>
      </w:r>
    </w:p>
    <w:p>
      <w:r>
        <w:t>• 7.4 Business Administration</w:t>
      </w:r>
    </w:p>
    <w:p/>
    <w:p>
      <w:r>
        <w:t>Management Directives (Policy Manual Section 9):</w:t>
      </w:r>
    </w:p>
    <w:p>
      <w:r>
        <w:t>• 9.5 Project Management</w:t>
      </w:r>
    </w:p>
    <w:p>
      <w:r>
        <w:t>• 9.3 Field Leadership</w:t>
      </w:r>
    </w:p>
    <w:p>
      <w:r>
        <w:t>• 9.4 General Superintendents</w:t>
      </w:r>
    </w:p>
    <w:p/>
    <w:p>
      <w:r>
        <w:t>Related Policies &amp; Directives:</w:t>
      </w:r>
    </w:p>
    <w:p>
      <w:r>
        <w:t>• Management Directives for Purchasing</w:t>
      </w:r>
    </w:p>
    <w:p>
      <w:r>
        <w:t>• Project Management Procedures</w:t>
      </w:r>
    </w:p>
    <w:p>
      <w:r>
        <w:t>• Field Leadership Requirements</w:t>
      </w:r>
    </w:p>
    <w:p>
      <w:r>
        <w:t>• Submittal Procedures and Documentation Standards</w:t>
      </w:r>
    </w:p>
    <w:p/>
    <w:p>
      <w:r>
        <w:t>Compliance &amp; Accountability:</w:t>
      </w:r>
    </w:p>
    <w:p>
      <w:r>
        <w:t>• All personnel must follow this SOP and associated directives.</w:t>
      </w:r>
    </w:p>
    <w:p>
      <w:r>
        <w:t>• Any exception requires approval from Branch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ssignedDate xmlns="b11c1c0a-1848-4118-b7cf-ce9450f86f68">2026-01-19T08:00:00+00:00</AssignedDate>
    <LastReviewedDate xmlns="b11c1c0a-1848-4118-b7cf-ce9450f86f68">2026-01-19T08:00:00+00:00</LastReviewedDate>
    <Appendix_x003a_ xmlns="b11c1c0a-1848-4118-b7cf-ce9450f86f68" xsi:nil="true"/>
    <SOPID xmlns="b11c1c0a-1848-4118-b7cf-ce9450f86f68">9.2.020</SOPID>
    <FileLink xmlns="b11c1c0a-1848-4118-b7cf-ce9450f86f68">
      <Url xsi:nil="true"/>
      <Description xsi:nil="true"/>
    </FileLink>
    <RACI_Informed xmlns="b11c1c0a-1848-4118-b7cf-ce9450f86f68">
      <Value>General Superintendent</Value>
    </RACI_Informed>
    <SOPFileName xmlns="b11c1c0a-1848-4118-b7cf-ce9450f86f68">9.2.020 – – Procurement of Large Feeder Wire</SOPFileName>
    <RelatedSOPs xmlns="b11c1c0a-1848-4118-b7cf-ce9450f86f68">
      <Value>258</Value>
      <Value>259</Value>
      <Value>262</Value>
      <Value>265</Value>
      <Value>273</Value>
      <Value>291</Value>
      <Value>328</Value>
      <Value>411</Value>
    </RelatedSOPs>
    <DocumentType xmlns="b11c1c0a-1848-4118-b7cf-ce9450f86f68">SOP</DocumentType>
    <RACI_Consulted xmlns="b11c1c0a-1848-4118-b7cf-ce9450f86f68" xsi:nil="true"/>
    <RACI_Responsible xmlns="b11c1c0a-1848-4118-b7cf-ce9450f86f68">Foreman</RACI_Responsible>
    <RACI_Accountable xmlns="b11c1c0a-1848-4118-b7cf-ce9450f86f68">Project Manager</RACI_Accountable>
    <Roles_RACI xmlns="b11c1c0a-1848-4118-b7cf-ce9450f86f68">
      <Value>Foreman</Value>
      <Value>General Superintendent</Value>
      <Value>Project Manager</Value>
    </Roles_RACI>
    <Tags xmlns="b11c1c0a-1848-4118-b7cf-ce9450f86f68" xsi:nil="true"/>
    <Description xmlns="b11c1c0a-1848-4118-b7cf-ce9450f86f68" xsi:nil="true"/>
    <Department_x002f_Division xmlns="b11c1c0a-1848-4118-b7cf-ce9450f86f68">Operations</Department_x002f_Division>
    <Tags_x002f_Keywords xmlns="b11c1c0a-1848-4118-b7cf-ce9450f86f68" xsi:nil="true"/>
    <Category_x0028_CCCTag_x0029_ xmlns="b11c1c0a-1848-4118-b7cf-ce9450f86f68">
      <Value>120 Coordination</Value>
      <Value>130 Documentation Mgmt</Value>
      <Value>150 Scheduling</Value>
    </Category_x0028_CCCTag_x0029_>
    <Status xmlns="b11c1c0a-1848-4118-b7cf-ce9450f86f68">Draft</Statu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0E4B2B-DCF1-4A45-A58F-0896A00D50D9}"/>
</file>

<file path=customXml/itemProps3.xml><?xml version="1.0" encoding="utf-8"?>
<ds:datastoreItem xmlns:ds="http://schemas.openxmlformats.org/officeDocument/2006/customXml" ds:itemID="{D8E9ADBE-50F1-49D5-8448-C617661B4E7A}"/>
</file>

<file path=customXml/itemProps4.xml><?xml version="1.0" encoding="utf-8"?>
<ds:datastoreItem xmlns:ds="http://schemas.openxmlformats.org/officeDocument/2006/customXml" ds:itemID="{0B293530-BAA8-4B3A-A2F7-1BF8635886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RACI)Responsible">
    <vt:lpwstr>Foreman</vt:lpwstr>
  </property>
  <property fmtid="{D5CDD505-2E9C-101B-9397-08002B2CF9AE}" pid="4" name="(RACI)Accountable">
    <vt:lpwstr>Project Manager</vt:lpwstr>
  </property>
  <property fmtid="{D5CDD505-2E9C-101B-9397-08002B2CF9AE}" pid="5" name="Roles(RACI)">
    <vt:lpwstr>;#Foreman;#General Superintendent;#Project Manager;#</vt:lpwstr>
  </property>
  <property fmtid="{D5CDD505-2E9C-101B-9397-08002B2CF9AE}" pid="6" name="(RACI)Informed">
    <vt:lpwstr>;#General Superintendent;#</vt:lpwstr>
  </property>
</Properties>
</file>